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A0C3D8" w14:textId="77777777" w:rsidR="005D4F5E" w:rsidRDefault="005D4F5E" w:rsidP="005D4F5E">
      <w:pPr>
        <w:jc w:val="center"/>
        <w:rPr>
          <w:rFonts w:ascii="Arial" w:hAnsi="Arial" w:cs="Arial"/>
          <w:sz w:val="48"/>
          <w:szCs w:val="48"/>
          <w:lang w:val="en-US"/>
        </w:rPr>
      </w:pPr>
    </w:p>
    <w:p w14:paraId="1D8A29EA" w14:textId="77777777" w:rsidR="005D4F5E" w:rsidRDefault="005D4F5E" w:rsidP="005D4F5E">
      <w:pPr>
        <w:jc w:val="center"/>
        <w:rPr>
          <w:rFonts w:ascii="Arial" w:hAnsi="Arial" w:cs="Arial"/>
          <w:sz w:val="48"/>
          <w:szCs w:val="48"/>
          <w:lang w:val="en-US"/>
        </w:rPr>
      </w:pPr>
    </w:p>
    <w:p w14:paraId="5E1F6B63" w14:textId="77777777" w:rsidR="005D4F5E" w:rsidRDefault="005D4F5E" w:rsidP="005D4F5E">
      <w:pPr>
        <w:jc w:val="center"/>
        <w:rPr>
          <w:rFonts w:ascii="Arial" w:hAnsi="Arial" w:cs="Arial"/>
          <w:sz w:val="48"/>
          <w:szCs w:val="48"/>
          <w:lang w:val="en-US"/>
        </w:rPr>
      </w:pPr>
    </w:p>
    <w:p w14:paraId="7EA1BDB6" w14:textId="77777777" w:rsidR="005D4F5E" w:rsidRDefault="005D4F5E" w:rsidP="005D4F5E">
      <w:pPr>
        <w:jc w:val="center"/>
        <w:rPr>
          <w:rFonts w:ascii="Arial" w:hAnsi="Arial" w:cs="Arial"/>
          <w:sz w:val="48"/>
          <w:szCs w:val="48"/>
          <w:lang w:val="en-US"/>
        </w:rPr>
      </w:pPr>
    </w:p>
    <w:p w14:paraId="49D9033A" w14:textId="77777777" w:rsidR="005D4F5E" w:rsidRDefault="005D4F5E" w:rsidP="005D4F5E">
      <w:pPr>
        <w:jc w:val="center"/>
        <w:rPr>
          <w:rFonts w:ascii="Arial" w:hAnsi="Arial" w:cs="Arial"/>
          <w:sz w:val="48"/>
          <w:szCs w:val="48"/>
          <w:lang w:val="en-US"/>
        </w:rPr>
      </w:pPr>
    </w:p>
    <w:p w14:paraId="162741A7" w14:textId="77777777" w:rsidR="005D4F5E" w:rsidRDefault="005D4F5E" w:rsidP="005D4F5E">
      <w:pPr>
        <w:jc w:val="center"/>
        <w:rPr>
          <w:rFonts w:ascii="Arial" w:hAnsi="Arial" w:cs="Arial"/>
          <w:sz w:val="48"/>
          <w:szCs w:val="48"/>
          <w:lang w:val="en-US"/>
        </w:rPr>
      </w:pPr>
    </w:p>
    <w:p w14:paraId="7217C241" w14:textId="77777777" w:rsidR="005D4F5E" w:rsidRDefault="005D4F5E" w:rsidP="005D4F5E">
      <w:pPr>
        <w:jc w:val="center"/>
        <w:rPr>
          <w:rFonts w:ascii="Arial" w:hAnsi="Arial" w:cs="Arial"/>
          <w:sz w:val="48"/>
          <w:szCs w:val="48"/>
          <w:lang w:val="en-US"/>
        </w:rPr>
      </w:pPr>
    </w:p>
    <w:p w14:paraId="349B318A" w14:textId="7B0E63CE" w:rsidR="006B6008" w:rsidRDefault="005D4F5E" w:rsidP="005D4F5E">
      <w:pPr>
        <w:jc w:val="center"/>
        <w:rPr>
          <w:rFonts w:ascii="Arial" w:hAnsi="Arial" w:cs="Arial"/>
          <w:sz w:val="48"/>
          <w:szCs w:val="48"/>
          <w:lang w:val="en-US"/>
        </w:rPr>
      </w:pPr>
      <w:r w:rsidRPr="005D4F5E">
        <w:rPr>
          <w:rFonts w:ascii="Arial" w:hAnsi="Arial" w:cs="Arial"/>
          <w:sz w:val="48"/>
          <w:szCs w:val="48"/>
          <w:lang w:val="en-US"/>
        </w:rPr>
        <w:t>Feasibility plan for international meeting</w:t>
      </w:r>
    </w:p>
    <w:p w14:paraId="2E6CA98A" w14:textId="77777777" w:rsidR="005D4F5E" w:rsidRDefault="005D4F5E" w:rsidP="005D4F5E">
      <w:pPr>
        <w:jc w:val="center"/>
        <w:rPr>
          <w:rFonts w:ascii="Arial" w:hAnsi="Arial" w:cs="Arial"/>
          <w:sz w:val="48"/>
          <w:szCs w:val="48"/>
          <w:lang w:val="en-US"/>
        </w:rPr>
      </w:pPr>
    </w:p>
    <w:p w14:paraId="2EDCB38B" w14:textId="77777777" w:rsidR="005D4F5E" w:rsidRDefault="005D4F5E" w:rsidP="005D4F5E">
      <w:pPr>
        <w:jc w:val="center"/>
        <w:rPr>
          <w:rFonts w:ascii="Arial" w:hAnsi="Arial" w:cs="Arial"/>
          <w:sz w:val="48"/>
          <w:szCs w:val="48"/>
          <w:lang w:val="en-US"/>
        </w:rPr>
      </w:pPr>
    </w:p>
    <w:p w14:paraId="3AE200B9" w14:textId="77777777" w:rsidR="005D4F5E" w:rsidRDefault="005D4F5E" w:rsidP="005D4F5E">
      <w:pPr>
        <w:jc w:val="center"/>
        <w:rPr>
          <w:rFonts w:ascii="Arial" w:hAnsi="Arial" w:cs="Arial"/>
          <w:sz w:val="48"/>
          <w:szCs w:val="48"/>
          <w:lang w:val="en-US"/>
        </w:rPr>
      </w:pPr>
    </w:p>
    <w:p w14:paraId="1172432B" w14:textId="77777777" w:rsidR="005D4F5E" w:rsidRDefault="005D4F5E" w:rsidP="005D4F5E">
      <w:pPr>
        <w:jc w:val="both"/>
        <w:rPr>
          <w:rFonts w:ascii="Arial" w:hAnsi="Arial" w:cs="Arial"/>
          <w:sz w:val="48"/>
          <w:szCs w:val="48"/>
          <w:lang w:val="en-US"/>
        </w:rPr>
      </w:pPr>
    </w:p>
    <w:p w14:paraId="53CA7B97" w14:textId="77777777" w:rsidR="005D4F5E" w:rsidRDefault="005D4F5E" w:rsidP="005D4F5E">
      <w:pPr>
        <w:jc w:val="both"/>
        <w:rPr>
          <w:rFonts w:ascii="Arial" w:hAnsi="Arial" w:cs="Arial"/>
          <w:sz w:val="48"/>
          <w:szCs w:val="48"/>
          <w:lang w:val="en-US"/>
        </w:rPr>
      </w:pPr>
    </w:p>
    <w:p w14:paraId="471001EA" w14:textId="77777777" w:rsidR="005D4F5E" w:rsidRDefault="005D4F5E" w:rsidP="005D4F5E">
      <w:pPr>
        <w:jc w:val="both"/>
        <w:rPr>
          <w:rFonts w:ascii="Arial" w:hAnsi="Arial" w:cs="Arial"/>
          <w:sz w:val="48"/>
          <w:szCs w:val="48"/>
          <w:lang w:val="en-US"/>
        </w:rPr>
      </w:pPr>
    </w:p>
    <w:p w14:paraId="72828E4E" w14:textId="77777777" w:rsidR="005D4F5E" w:rsidRDefault="005D4F5E" w:rsidP="005D4F5E">
      <w:pPr>
        <w:jc w:val="both"/>
        <w:rPr>
          <w:rFonts w:ascii="Arial" w:hAnsi="Arial" w:cs="Arial"/>
          <w:sz w:val="48"/>
          <w:szCs w:val="48"/>
          <w:lang w:val="en-US"/>
        </w:rPr>
      </w:pPr>
    </w:p>
    <w:p w14:paraId="586626EA" w14:textId="5CA2F3D8" w:rsidR="005D4F5E" w:rsidRDefault="005D4F5E" w:rsidP="005D4F5E">
      <w:pPr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Student name: Tony Ancuta</w:t>
      </w:r>
    </w:p>
    <w:p w14:paraId="07280BA2" w14:textId="112B7296" w:rsidR="005D4F5E" w:rsidRDefault="005D4F5E" w:rsidP="005D4F5E">
      <w:pPr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Student number: 2122379</w:t>
      </w:r>
    </w:p>
    <w:p w14:paraId="4D1029B4" w14:textId="6392A2F5" w:rsidR="005D4F5E" w:rsidRDefault="005D4F5E" w:rsidP="005D4F5E">
      <w:pPr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Module number: BMIH6007</w:t>
      </w:r>
    </w:p>
    <w:p w14:paraId="292685A7" w14:textId="2460826C" w:rsidR="005D4F5E" w:rsidRDefault="005D4F5E" w:rsidP="005D4F5E">
      <w:pPr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Module Lecturer: Philippa Fitzgerald</w:t>
      </w:r>
    </w:p>
    <w:p w14:paraId="11394702" w14:textId="77777777" w:rsidR="005D4F5E" w:rsidRDefault="005D4F5E" w:rsidP="005D4F5E">
      <w:pPr>
        <w:jc w:val="both"/>
        <w:rPr>
          <w:rFonts w:ascii="Arial" w:hAnsi="Arial" w:cs="Arial"/>
          <w:sz w:val="28"/>
          <w:szCs w:val="28"/>
          <w:lang w:val="en-US"/>
        </w:rPr>
      </w:pPr>
    </w:p>
    <w:p w14:paraId="07A02D47" w14:textId="77777777" w:rsidR="005D4F5E" w:rsidRDefault="005D4F5E" w:rsidP="005D4F5E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lastRenderedPageBreak/>
        <w:t xml:space="preserve">Presentation Link: </w:t>
      </w:r>
      <w:hyperlink r:id="rId5" w:history="1">
        <w:r w:rsidRPr="00D8054F">
          <w:rPr>
            <w:rStyle w:val="Hyperlink"/>
            <w:rFonts w:ascii="Arial" w:hAnsi="Arial" w:cs="Arial"/>
            <w:sz w:val="28"/>
            <w:szCs w:val="28"/>
            <w:lang w:val="en-US"/>
          </w:rPr>
          <w:t>https://uowtsd-my.sharepoint.com/:v:/g/personal/2122379_student_uwtsd_ac_uk/ESU12gxLHDBFoahiIoSbm-IBeIM6cGS73ijbwHRWJMhE5w?referrer=Teams.TEAMS-ELECTRON&amp;referrerScenario=MeetingChicletGetLink.view.view</w:t>
        </w:r>
      </w:hyperlink>
    </w:p>
    <w:p w14:paraId="3A193D02" w14:textId="77777777" w:rsidR="005D4F5E" w:rsidRDefault="005D4F5E" w:rsidP="005D4F5E">
      <w:pPr>
        <w:rPr>
          <w:rFonts w:ascii="Arial" w:hAnsi="Arial" w:cs="Arial"/>
          <w:sz w:val="28"/>
          <w:szCs w:val="28"/>
          <w:lang w:val="en-US"/>
        </w:rPr>
      </w:pPr>
    </w:p>
    <w:p w14:paraId="5A08332D" w14:textId="77777777" w:rsidR="005D4F5E" w:rsidRDefault="005D4F5E" w:rsidP="005D4F5E">
      <w:pPr>
        <w:jc w:val="both"/>
        <w:rPr>
          <w:rFonts w:ascii="Arial" w:hAnsi="Arial" w:cs="Arial"/>
          <w:sz w:val="28"/>
          <w:szCs w:val="28"/>
          <w:lang w:val="en-US"/>
        </w:rPr>
      </w:pPr>
    </w:p>
    <w:p w14:paraId="28113A75" w14:textId="76C1F2F1" w:rsidR="005D4F5E" w:rsidRDefault="005D4F5E" w:rsidP="005D4F5E">
      <w:pPr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noProof/>
          <w:sz w:val="28"/>
          <w:szCs w:val="28"/>
          <w:lang w:val="en-US"/>
        </w:rPr>
        <w:drawing>
          <wp:inline distT="0" distB="0" distL="0" distR="0" wp14:anchorId="16A247DE" wp14:editId="75463DA8">
            <wp:extent cx="5722620" cy="3154045"/>
            <wp:effectExtent l="0" t="0" r="0" b="8255"/>
            <wp:docPr id="173113260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3154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09863DA" w14:textId="3AF06679" w:rsidR="005D4F5E" w:rsidRDefault="005D4F5E" w:rsidP="005D4F5E">
      <w:pPr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noProof/>
          <w:sz w:val="28"/>
          <w:szCs w:val="28"/>
          <w:lang w:val="en-US"/>
        </w:rPr>
        <w:drawing>
          <wp:inline distT="0" distB="0" distL="0" distR="0" wp14:anchorId="60A8ECFC" wp14:editId="5D26F777">
            <wp:extent cx="5722620" cy="3246755"/>
            <wp:effectExtent l="0" t="0" r="0" b="0"/>
            <wp:docPr id="25063857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3246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214441" w14:textId="28034DB7" w:rsidR="005D4F5E" w:rsidRDefault="005D4F5E" w:rsidP="005D4F5E">
      <w:pPr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noProof/>
          <w:sz w:val="28"/>
          <w:szCs w:val="28"/>
          <w:lang w:val="en-US"/>
        </w:rPr>
        <w:lastRenderedPageBreak/>
        <w:drawing>
          <wp:inline distT="0" distB="0" distL="0" distR="0" wp14:anchorId="26BA6C77" wp14:editId="6DF9ECEE">
            <wp:extent cx="5722620" cy="3225800"/>
            <wp:effectExtent l="0" t="0" r="0" b="0"/>
            <wp:docPr id="206770155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3225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8FAC80" w14:textId="0E16F45E" w:rsidR="005D4F5E" w:rsidRDefault="005D4F5E" w:rsidP="005D4F5E">
      <w:pPr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noProof/>
          <w:sz w:val="28"/>
          <w:szCs w:val="28"/>
          <w:lang w:val="en-US"/>
        </w:rPr>
        <w:drawing>
          <wp:inline distT="0" distB="0" distL="0" distR="0" wp14:anchorId="10ABA045" wp14:editId="22CC2E3F">
            <wp:extent cx="5722620" cy="3215640"/>
            <wp:effectExtent l="0" t="0" r="0" b="3810"/>
            <wp:docPr id="958893573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32156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D130F3" w14:textId="55631843" w:rsidR="005D4F5E" w:rsidRDefault="005D4F5E" w:rsidP="005D4F5E">
      <w:pPr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noProof/>
          <w:sz w:val="28"/>
          <w:szCs w:val="28"/>
          <w:lang w:val="en-US"/>
        </w:rPr>
        <w:lastRenderedPageBreak/>
        <w:drawing>
          <wp:inline distT="0" distB="0" distL="0" distR="0" wp14:anchorId="643E8A04" wp14:editId="5E509B4F">
            <wp:extent cx="5722620" cy="3215640"/>
            <wp:effectExtent l="0" t="0" r="0" b="3810"/>
            <wp:docPr id="1921372488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32156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F29224" w14:textId="01C70CA3" w:rsidR="005D4F5E" w:rsidRDefault="005D4F5E" w:rsidP="005D4F5E">
      <w:pPr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noProof/>
          <w:sz w:val="28"/>
          <w:szCs w:val="28"/>
          <w:lang w:val="en-US"/>
        </w:rPr>
        <w:drawing>
          <wp:inline distT="0" distB="0" distL="0" distR="0" wp14:anchorId="0FB842C2" wp14:editId="3A559F24">
            <wp:extent cx="5722620" cy="3236595"/>
            <wp:effectExtent l="0" t="0" r="0" b="1905"/>
            <wp:docPr id="585670940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32365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629B3C1" w14:textId="45EC6C15" w:rsidR="005D4F5E" w:rsidRDefault="005D4F5E" w:rsidP="005D4F5E">
      <w:pPr>
        <w:jc w:val="both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noProof/>
          <w:sz w:val="28"/>
          <w:szCs w:val="28"/>
          <w:lang w:val="en-US"/>
        </w:rPr>
        <w:lastRenderedPageBreak/>
        <w:drawing>
          <wp:inline distT="0" distB="0" distL="0" distR="0" wp14:anchorId="61FEB8F8" wp14:editId="1C10A73C">
            <wp:extent cx="5722620" cy="3195320"/>
            <wp:effectExtent l="0" t="0" r="0" b="5080"/>
            <wp:docPr id="115159939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31953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CBF4C3" w14:textId="77777777" w:rsidR="005D4F5E" w:rsidRDefault="005D4F5E" w:rsidP="005D4F5E">
      <w:pPr>
        <w:jc w:val="both"/>
        <w:rPr>
          <w:rFonts w:ascii="Arial" w:hAnsi="Arial" w:cs="Arial"/>
          <w:sz w:val="28"/>
          <w:szCs w:val="28"/>
          <w:lang w:val="en-US"/>
        </w:rPr>
      </w:pPr>
    </w:p>
    <w:p w14:paraId="01BD50B5" w14:textId="77777777" w:rsidR="005D4F5E" w:rsidRDefault="005D4F5E" w:rsidP="005D4F5E">
      <w:pPr>
        <w:jc w:val="both"/>
        <w:rPr>
          <w:rFonts w:ascii="Arial" w:hAnsi="Arial" w:cs="Arial"/>
          <w:sz w:val="28"/>
          <w:szCs w:val="28"/>
          <w:lang w:val="en-US"/>
        </w:rPr>
      </w:pPr>
    </w:p>
    <w:p w14:paraId="35594BAD" w14:textId="77777777" w:rsidR="005D4F5E" w:rsidRDefault="005D4F5E" w:rsidP="005D4F5E">
      <w:pPr>
        <w:jc w:val="both"/>
        <w:rPr>
          <w:rFonts w:ascii="Arial" w:hAnsi="Arial" w:cs="Arial"/>
          <w:sz w:val="28"/>
          <w:szCs w:val="28"/>
          <w:lang w:val="en-US"/>
        </w:rPr>
      </w:pPr>
    </w:p>
    <w:p w14:paraId="7BE5BC15" w14:textId="2FA2698E" w:rsidR="005D4F5E" w:rsidRDefault="005D4F5E" w:rsidP="005D4F5E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Presentation Link: </w:t>
      </w:r>
      <w:hyperlink r:id="rId13" w:history="1">
        <w:r w:rsidRPr="00D8054F">
          <w:rPr>
            <w:rStyle w:val="Hyperlink"/>
            <w:rFonts w:ascii="Arial" w:hAnsi="Arial" w:cs="Arial"/>
            <w:sz w:val="28"/>
            <w:szCs w:val="28"/>
            <w:lang w:val="en-US"/>
          </w:rPr>
          <w:t>https://uowtsd-my.sharepoint.com/:v:/g/personal/2122379_student_uwtsd_ac_uk/ESU12gxLHDBFoahiIoSbm-IBeIM6cGS73ijbwH</w:t>
        </w:r>
        <w:r w:rsidRPr="00D8054F">
          <w:rPr>
            <w:rStyle w:val="Hyperlink"/>
            <w:rFonts w:ascii="Arial" w:hAnsi="Arial" w:cs="Arial"/>
            <w:sz w:val="28"/>
            <w:szCs w:val="28"/>
            <w:lang w:val="en-US"/>
          </w:rPr>
          <w:t>RWJMhE5w?referrer=Teams.TEAMS-ELECTRON&amp;referrerScenario=MeetingChicletGetLink.view.view</w:t>
        </w:r>
      </w:hyperlink>
    </w:p>
    <w:p w14:paraId="16959DEF" w14:textId="77777777" w:rsidR="005D4F5E" w:rsidRDefault="005D4F5E" w:rsidP="005D4F5E">
      <w:pPr>
        <w:rPr>
          <w:rFonts w:ascii="Arial" w:hAnsi="Arial" w:cs="Arial"/>
          <w:sz w:val="28"/>
          <w:szCs w:val="28"/>
          <w:lang w:val="en-US"/>
        </w:rPr>
      </w:pPr>
    </w:p>
    <w:p w14:paraId="206E9624" w14:textId="77777777" w:rsidR="005D4F5E" w:rsidRDefault="005D4F5E" w:rsidP="005D4F5E">
      <w:pPr>
        <w:rPr>
          <w:rFonts w:ascii="Arial" w:hAnsi="Arial" w:cs="Arial"/>
          <w:sz w:val="28"/>
          <w:szCs w:val="28"/>
          <w:lang w:val="en-US"/>
        </w:rPr>
      </w:pPr>
    </w:p>
    <w:p w14:paraId="269A0E77" w14:textId="77777777" w:rsidR="005D4F5E" w:rsidRDefault="005D4F5E" w:rsidP="005D4F5E">
      <w:pPr>
        <w:rPr>
          <w:rFonts w:ascii="Arial" w:hAnsi="Arial" w:cs="Arial"/>
          <w:sz w:val="28"/>
          <w:szCs w:val="28"/>
          <w:lang w:val="en-US"/>
        </w:rPr>
      </w:pPr>
    </w:p>
    <w:p w14:paraId="7EA86A28" w14:textId="77777777" w:rsidR="005D4F5E" w:rsidRDefault="005D4F5E" w:rsidP="005D4F5E">
      <w:pPr>
        <w:rPr>
          <w:rFonts w:ascii="Arial" w:hAnsi="Arial" w:cs="Arial"/>
          <w:sz w:val="28"/>
          <w:szCs w:val="28"/>
          <w:lang w:val="en-US"/>
        </w:rPr>
      </w:pPr>
    </w:p>
    <w:p w14:paraId="237F642E" w14:textId="77777777" w:rsidR="005D4F5E" w:rsidRDefault="005D4F5E" w:rsidP="005D4F5E">
      <w:pPr>
        <w:rPr>
          <w:rFonts w:ascii="Arial" w:hAnsi="Arial" w:cs="Arial"/>
          <w:sz w:val="28"/>
          <w:szCs w:val="28"/>
          <w:lang w:val="en-US"/>
        </w:rPr>
      </w:pPr>
    </w:p>
    <w:p w14:paraId="658CB1B7" w14:textId="77777777" w:rsidR="005D4F5E" w:rsidRDefault="005D4F5E" w:rsidP="005D4F5E">
      <w:pPr>
        <w:rPr>
          <w:rFonts w:ascii="Arial" w:hAnsi="Arial" w:cs="Arial"/>
          <w:sz w:val="28"/>
          <w:szCs w:val="28"/>
          <w:lang w:val="en-US"/>
        </w:rPr>
      </w:pPr>
    </w:p>
    <w:p w14:paraId="1DE34FB6" w14:textId="77777777" w:rsidR="005D4F5E" w:rsidRDefault="005D4F5E" w:rsidP="005D4F5E">
      <w:pPr>
        <w:rPr>
          <w:rFonts w:ascii="Arial" w:hAnsi="Arial" w:cs="Arial"/>
          <w:sz w:val="28"/>
          <w:szCs w:val="28"/>
          <w:lang w:val="en-US"/>
        </w:rPr>
      </w:pPr>
    </w:p>
    <w:p w14:paraId="23C9999B" w14:textId="77777777" w:rsidR="005D4F5E" w:rsidRDefault="005D4F5E" w:rsidP="005D4F5E">
      <w:pPr>
        <w:rPr>
          <w:rFonts w:ascii="Arial" w:hAnsi="Arial" w:cs="Arial"/>
          <w:sz w:val="28"/>
          <w:szCs w:val="28"/>
          <w:lang w:val="en-US"/>
        </w:rPr>
      </w:pPr>
    </w:p>
    <w:p w14:paraId="647E755A" w14:textId="77777777" w:rsidR="005D4F5E" w:rsidRDefault="005D4F5E" w:rsidP="005D4F5E">
      <w:pPr>
        <w:rPr>
          <w:rFonts w:ascii="Arial" w:hAnsi="Arial" w:cs="Arial"/>
          <w:sz w:val="28"/>
          <w:szCs w:val="28"/>
          <w:lang w:val="en-US"/>
        </w:rPr>
      </w:pPr>
    </w:p>
    <w:p w14:paraId="6CBF635B" w14:textId="77777777" w:rsidR="005D4F5E" w:rsidRDefault="005D4F5E" w:rsidP="005D4F5E">
      <w:pPr>
        <w:rPr>
          <w:rFonts w:ascii="Arial" w:hAnsi="Arial" w:cs="Arial"/>
          <w:sz w:val="28"/>
          <w:szCs w:val="28"/>
          <w:lang w:val="en-US"/>
        </w:rPr>
      </w:pPr>
    </w:p>
    <w:p w14:paraId="6E5E2731" w14:textId="396610BA" w:rsidR="005D4F5E" w:rsidRPr="005D4F5E" w:rsidRDefault="005D4F5E" w:rsidP="005D4F5E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5D4F5E">
        <w:rPr>
          <w:rFonts w:ascii="Arial" w:hAnsi="Arial" w:cs="Arial"/>
          <w:sz w:val="24"/>
          <w:szCs w:val="24"/>
          <w:lang w:val="en-US"/>
        </w:rPr>
        <w:lastRenderedPageBreak/>
        <w:t>References</w:t>
      </w:r>
    </w:p>
    <w:p w14:paraId="5FC06DC5" w14:textId="77777777" w:rsidR="005D4F5E" w:rsidRPr="005D4F5E" w:rsidRDefault="005D4F5E" w:rsidP="005D4F5E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2FBD75E5" w14:textId="77777777" w:rsidR="005D4F5E" w:rsidRPr="005D4F5E" w:rsidRDefault="005D4F5E" w:rsidP="005D4F5E">
      <w:pPr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5D4F5E">
        <w:rPr>
          <w:rFonts w:ascii="Arial" w:hAnsi="Arial" w:cs="Arial"/>
          <w:sz w:val="24"/>
          <w:szCs w:val="24"/>
        </w:rPr>
        <w:t xml:space="preserve">Stephen (2023). </w:t>
      </w:r>
      <w:r w:rsidRPr="005D4F5E">
        <w:rPr>
          <w:rFonts w:ascii="Arial" w:hAnsi="Arial" w:cs="Arial"/>
          <w:i/>
          <w:iCs/>
          <w:sz w:val="24"/>
          <w:szCs w:val="24"/>
        </w:rPr>
        <w:t xml:space="preserve">Find Out How </w:t>
      </w:r>
      <w:proofErr w:type="gramStart"/>
      <w:r w:rsidRPr="005D4F5E">
        <w:rPr>
          <w:rFonts w:ascii="Arial" w:hAnsi="Arial" w:cs="Arial"/>
          <w:i/>
          <w:iCs/>
          <w:sz w:val="24"/>
          <w:szCs w:val="24"/>
        </w:rPr>
        <w:t>To</w:t>
      </w:r>
      <w:proofErr w:type="gramEnd"/>
      <w:r w:rsidRPr="005D4F5E">
        <w:rPr>
          <w:rFonts w:ascii="Arial" w:hAnsi="Arial" w:cs="Arial"/>
          <w:i/>
          <w:iCs/>
          <w:sz w:val="24"/>
          <w:szCs w:val="24"/>
        </w:rPr>
        <w:t xml:space="preserve"> Measure Your Company’s Carbon Footprint</w:t>
      </w:r>
      <w:r w:rsidRPr="005D4F5E">
        <w:rPr>
          <w:rFonts w:ascii="Arial" w:hAnsi="Arial" w:cs="Arial"/>
          <w:sz w:val="24"/>
          <w:szCs w:val="24"/>
        </w:rPr>
        <w:t>. [online] Positive Planet. Available at: https://positiveplanet.uk/three-pillars-of-sustainability/ [Accessed 06 Feb. 2024].</w:t>
      </w:r>
    </w:p>
    <w:p w14:paraId="12608EF6" w14:textId="77777777" w:rsidR="005D4F5E" w:rsidRPr="005D4F5E" w:rsidRDefault="005D4F5E" w:rsidP="005D4F5E">
      <w:pPr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5D4F5E">
        <w:rPr>
          <w:rFonts w:ascii="Arial" w:hAnsi="Arial" w:cs="Arial"/>
          <w:sz w:val="24"/>
          <w:szCs w:val="24"/>
        </w:rPr>
        <w:t xml:space="preserve">University of South Wales (2019). </w:t>
      </w:r>
      <w:r w:rsidRPr="005D4F5E">
        <w:rPr>
          <w:rFonts w:ascii="Arial" w:hAnsi="Arial" w:cs="Arial"/>
          <w:i/>
          <w:iCs/>
          <w:sz w:val="24"/>
          <w:szCs w:val="24"/>
        </w:rPr>
        <w:t>Why sustainability is key for the future of the hospitality industry</w:t>
      </w:r>
      <w:r w:rsidRPr="005D4F5E">
        <w:rPr>
          <w:rFonts w:ascii="Arial" w:hAnsi="Arial" w:cs="Arial"/>
          <w:sz w:val="24"/>
          <w:szCs w:val="24"/>
        </w:rPr>
        <w:t xml:space="preserve">. [online] Southwales.ac.uk. Available at: https://www.southwales.ac.uk/courses/ba-hons-hotel-and-hospitality-management/2484/why-sustainability-is-key-for-the-future-of-the-hospitality-industry/ </w:t>
      </w:r>
    </w:p>
    <w:p w14:paraId="1D5932C2" w14:textId="77777777" w:rsidR="005D4F5E" w:rsidRPr="005D4F5E" w:rsidRDefault="005D4F5E" w:rsidP="005D4F5E">
      <w:pPr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5D4F5E">
        <w:rPr>
          <w:rFonts w:ascii="Arial" w:hAnsi="Arial" w:cs="Arial"/>
          <w:sz w:val="24"/>
          <w:szCs w:val="24"/>
          <w:lang w:val="en-US"/>
        </w:rPr>
        <w:t xml:space="preserve">INSIGHTS, E. (2023). </w:t>
      </w:r>
      <w:r w:rsidRPr="005D4F5E">
        <w:rPr>
          <w:rFonts w:ascii="Arial" w:hAnsi="Arial" w:cs="Arial"/>
          <w:i/>
          <w:iCs/>
          <w:sz w:val="24"/>
          <w:szCs w:val="24"/>
          <w:lang w:val="en-US"/>
        </w:rPr>
        <w:t>Sustainability in the hospitality industry and the most in-demand jobs</w:t>
      </w:r>
      <w:r w:rsidRPr="005D4F5E">
        <w:rPr>
          <w:rFonts w:ascii="Arial" w:hAnsi="Arial" w:cs="Arial"/>
          <w:sz w:val="24"/>
          <w:szCs w:val="24"/>
          <w:lang w:val="en-US"/>
        </w:rPr>
        <w:t>. [online] hospitalityinsights.ehl.edu. Available at: https://hospitalityinsights.ehl.edu/sustainability-in-the-hospitality-industry-careers.</w:t>
      </w:r>
    </w:p>
    <w:p w14:paraId="01FD0995" w14:textId="77777777" w:rsidR="005D4F5E" w:rsidRPr="005D4F5E" w:rsidRDefault="005D4F5E" w:rsidP="005D4F5E">
      <w:pPr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5D4F5E">
        <w:rPr>
          <w:rFonts w:ascii="Arial" w:hAnsi="Arial" w:cs="Arial"/>
          <w:sz w:val="24"/>
          <w:szCs w:val="24"/>
          <w:lang w:val="en-US"/>
        </w:rPr>
        <w:t>International Encyclopedia of Hospitality Management. (2005) Germania, Elsevier.</w:t>
      </w:r>
    </w:p>
    <w:p w14:paraId="63654915" w14:textId="77777777" w:rsidR="005D4F5E" w:rsidRPr="005D4F5E" w:rsidRDefault="005D4F5E" w:rsidP="005D4F5E">
      <w:pPr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5D4F5E">
        <w:rPr>
          <w:rFonts w:ascii="Arial" w:hAnsi="Arial" w:cs="Arial"/>
          <w:sz w:val="24"/>
          <w:szCs w:val="24"/>
          <w:lang w:val="en-US"/>
        </w:rPr>
        <w:t>Burkard, Nora. (2011) Market Segmentation and Branding in the Hotel Industry with Special References to Hilton Cooperation. Germania, GRIN Verlag.</w:t>
      </w:r>
    </w:p>
    <w:p w14:paraId="3FB18E10" w14:textId="77777777" w:rsidR="005D4F5E" w:rsidRPr="005D4F5E" w:rsidRDefault="005D4F5E" w:rsidP="005D4F5E">
      <w:pPr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5D4F5E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5D4F5E">
        <w:rPr>
          <w:rFonts w:ascii="Arial" w:hAnsi="Arial" w:cs="Arial"/>
          <w:sz w:val="24"/>
          <w:szCs w:val="24"/>
          <w:lang w:val="en-US"/>
        </w:rPr>
        <w:t>Gardetti</w:t>
      </w:r>
      <w:proofErr w:type="spellEnd"/>
      <w:r w:rsidRPr="005D4F5E">
        <w:rPr>
          <w:rFonts w:ascii="Arial" w:hAnsi="Arial" w:cs="Arial"/>
          <w:sz w:val="24"/>
          <w:szCs w:val="24"/>
          <w:lang w:val="en-US"/>
        </w:rPr>
        <w:t xml:space="preserve">, M. A., &amp; Torres, A. L. (Eds.). (2016). Sustainability in </w:t>
      </w:r>
      <w:proofErr w:type="gramStart"/>
      <w:r w:rsidRPr="005D4F5E">
        <w:rPr>
          <w:rFonts w:ascii="Arial" w:hAnsi="Arial" w:cs="Arial"/>
          <w:sz w:val="24"/>
          <w:szCs w:val="24"/>
          <w:lang w:val="en-US"/>
        </w:rPr>
        <w:t>hospitality :</w:t>
      </w:r>
      <w:proofErr w:type="gramEnd"/>
      <w:r w:rsidRPr="005D4F5E">
        <w:rPr>
          <w:rFonts w:ascii="Arial" w:hAnsi="Arial" w:cs="Arial"/>
          <w:sz w:val="24"/>
          <w:szCs w:val="24"/>
          <w:lang w:val="en-US"/>
        </w:rPr>
        <w:t xml:space="preserve"> how innovative hotels are transforming the industry. Greenleaf Publishing.</w:t>
      </w:r>
    </w:p>
    <w:p w14:paraId="19A3C7B8" w14:textId="043C28D9" w:rsidR="005D4F5E" w:rsidRPr="005D4F5E" w:rsidRDefault="005D4F5E" w:rsidP="005D4F5E">
      <w:pPr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5D4F5E">
        <w:rPr>
          <w:rFonts w:ascii="Arial" w:hAnsi="Arial" w:cs="Arial"/>
          <w:sz w:val="24"/>
          <w:szCs w:val="24"/>
        </w:rPr>
        <w:t xml:space="preserve"> Zhang, J. J., Joglekar, N. R., &amp; Verma, R. (2012). Exploring Resource Efficiency Benchmarks for Environmental Sustainability in Hotels. Cornell Hospitality Quarterly, 53(3), 229–241. </w:t>
      </w:r>
      <w:hyperlink r:id="rId14" w:history="1">
        <w:r w:rsidRPr="005D4F5E">
          <w:rPr>
            <w:rStyle w:val="Hyperlink"/>
            <w:rFonts w:ascii="Arial" w:hAnsi="Arial" w:cs="Arial"/>
            <w:sz w:val="24"/>
            <w:szCs w:val="24"/>
          </w:rPr>
          <w:t>https://doi.org/10.1177/1938965512441165</w:t>
        </w:r>
      </w:hyperlink>
    </w:p>
    <w:p w14:paraId="2E6FCC1D" w14:textId="77777777" w:rsidR="005D4F5E" w:rsidRPr="005D4F5E" w:rsidRDefault="005D4F5E" w:rsidP="005D4F5E">
      <w:pPr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5D4F5E">
        <w:rPr>
          <w:rFonts w:ascii="Arial" w:hAnsi="Arial" w:cs="Arial"/>
          <w:sz w:val="24"/>
          <w:szCs w:val="24"/>
        </w:rPr>
        <w:t xml:space="preserve">Zhang, J. J., Joglekar, N. R., &amp; Verma, R. (2012). Exploring Resource Efficiency Benchmarks for Environmental Sustainability in Hotels. </w:t>
      </w:r>
      <w:r w:rsidRPr="005D4F5E">
        <w:rPr>
          <w:rFonts w:ascii="Arial" w:hAnsi="Arial" w:cs="Arial"/>
          <w:i/>
          <w:iCs/>
          <w:sz w:val="24"/>
          <w:szCs w:val="24"/>
        </w:rPr>
        <w:t>Cornell Hospitality Quarterly</w:t>
      </w:r>
      <w:r w:rsidRPr="005D4F5E">
        <w:rPr>
          <w:rFonts w:ascii="Arial" w:hAnsi="Arial" w:cs="Arial"/>
          <w:sz w:val="24"/>
          <w:szCs w:val="24"/>
        </w:rPr>
        <w:t xml:space="preserve">, </w:t>
      </w:r>
      <w:r w:rsidRPr="005D4F5E">
        <w:rPr>
          <w:rFonts w:ascii="Arial" w:hAnsi="Arial" w:cs="Arial"/>
          <w:i/>
          <w:iCs/>
          <w:sz w:val="24"/>
          <w:szCs w:val="24"/>
        </w:rPr>
        <w:t>53</w:t>
      </w:r>
      <w:r w:rsidRPr="005D4F5E">
        <w:rPr>
          <w:rFonts w:ascii="Arial" w:hAnsi="Arial" w:cs="Arial"/>
          <w:sz w:val="24"/>
          <w:szCs w:val="24"/>
        </w:rPr>
        <w:t>(3), 229–241. https://doi.org/10.1177/1938965512441165</w:t>
      </w:r>
    </w:p>
    <w:p w14:paraId="11F65113" w14:textId="77777777" w:rsidR="005D4F5E" w:rsidRPr="005D4F5E" w:rsidRDefault="005D4F5E" w:rsidP="005D4F5E">
      <w:pPr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5D4F5E">
        <w:rPr>
          <w:rFonts w:ascii="Arial" w:hAnsi="Arial" w:cs="Arial"/>
          <w:sz w:val="24"/>
          <w:szCs w:val="24"/>
          <w:lang w:val="en-US"/>
        </w:rPr>
        <w:lastRenderedPageBreak/>
        <w:t>Qamariah</w:t>
      </w:r>
      <w:proofErr w:type="spellEnd"/>
      <w:r w:rsidRPr="005D4F5E">
        <w:rPr>
          <w:rFonts w:ascii="Arial" w:hAnsi="Arial" w:cs="Arial"/>
          <w:sz w:val="24"/>
          <w:szCs w:val="24"/>
          <w:lang w:val="en-US"/>
        </w:rPr>
        <w:t xml:space="preserve">, I., Muchtar, Y. C., &amp; dli, F. (2021). The Dependability of Event Organizers as Hotel Clients in Medan. </w:t>
      </w:r>
      <w:proofErr w:type="spellStart"/>
      <w:r w:rsidRPr="005D4F5E">
        <w:rPr>
          <w:rFonts w:ascii="Arial" w:hAnsi="Arial" w:cs="Arial"/>
          <w:i/>
          <w:iCs/>
          <w:sz w:val="24"/>
          <w:szCs w:val="24"/>
          <w:lang w:val="en-US"/>
        </w:rPr>
        <w:t>Webology</w:t>
      </w:r>
      <w:proofErr w:type="spellEnd"/>
      <w:r w:rsidRPr="005D4F5E">
        <w:rPr>
          <w:rFonts w:ascii="Arial" w:hAnsi="Arial" w:cs="Arial"/>
          <w:sz w:val="24"/>
          <w:szCs w:val="24"/>
          <w:lang w:val="en-US"/>
        </w:rPr>
        <w:t xml:space="preserve">, </w:t>
      </w:r>
      <w:r w:rsidRPr="005D4F5E">
        <w:rPr>
          <w:rFonts w:ascii="Arial" w:hAnsi="Arial" w:cs="Arial"/>
          <w:i/>
          <w:iCs/>
          <w:sz w:val="24"/>
          <w:szCs w:val="24"/>
          <w:lang w:val="en-US"/>
        </w:rPr>
        <w:t>18</w:t>
      </w:r>
      <w:r w:rsidRPr="005D4F5E">
        <w:rPr>
          <w:rFonts w:ascii="Arial" w:hAnsi="Arial" w:cs="Arial"/>
          <w:sz w:val="24"/>
          <w:szCs w:val="24"/>
          <w:lang w:val="en-US"/>
        </w:rPr>
        <w:t>(Special Issue 03), 186–201. https://doi.org/10.14704/WEB/V18SI03/WEB18034</w:t>
      </w:r>
    </w:p>
    <w:p w14:paraId="319105E4" w14:textId="77777777" w:rsidR="005D4F5E" w:rsidRPr="005D4F5E" w:rsidRDefault="005D4F5E" w:rsidP="005D4F5E">
      <w:pPr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5D4F5E">
        <w:rPr>
          <w:rFonts w:ascii="Arial" w:hAnsi="Arial" w:cs="Arial"/>
          <w:sz w:val="24"/>
          <w:szCs w:val="24"/>
          <w:lang w:val="en-US"/>
        </w:rPr>
        <w:t xml:space="preserve">Helms, M. M., &amp; Nixon, J. (2010). Exploring SWOT analysis - where are we </w:t>
      </w:r>
      <w:proofErr w:type="gramStart"/>
      <w:r w:rsidRPr="005D4F5E">
        <w:rPr>
          <w:rFonts w:ascii="Arial" w:hAnsi="Arial" w:cs="Arial"/>
          <w:sz w:val="24"/>
          <w:szCs w:val="24"/>
          <w:lang w:val="en-US"/>
        </w:rPr>
        <w:t>now?:</w:t>
      </w:r>
      <w:proofErr w:type="gramEnd"/>
      <w:r w:rsidRPr="005D4F5E">
        <w:rPr>
          <w:rFonts w:ascii="Arial" w:hAnsi="Arial" w:cs="Arial"/>
          <w:sz w:val="24"/>
          <w:szCs w:val="24"/>
          <w:lang w:val="en-US"/>
        </w:rPr>
        <w:t xml:space="preserve"> A review of academic research from the last decade. </w:t>
      </w:r>
      <w:r w:rsidRPr="005D4F5E">
        <w:rPr>
          <w:rFonts w:ascii="Arial" w:hAnsi="Arial" w:cs="Arial"/>
          <w:i/>
          <w:iCs/>
          <w:sz w:val="24"/>
          <w:szCs w:val="24"/>
          <w:lang w:val="en-US"/>
        </w:rPr>
        <w:t>Journal of Strategy and Management</w:t>
      </w:r>
      <w:r w:rsidRPr="005D4F5E">
        <w:rPr>
          <w:rFonts w:ascii="Arial" w:hAnsi="Arial" w:cs="Arial"/>
          <w:sz w:val="24"/>
          <w:szCs w:val="24"/>
          <w:lang w:val="en-US"/>
        </w:rPr>
        <w:t xml:space="preserve">, </w:t>
      </w:r>
      <w:r w:rsidRPr="005D4F5E">
        <w:rPr>
          <w:rFonts w:ascii="Arial" w:hAnsi="Arial" w:cs="Arial"/>
          <w:i/>
          <w:iCs/>
          <w:sz w:val="24"/>
          <w:szCs w:val="24"/>
          <w:lang w:val="en-US"/>
        </w:rPr>
        <w:t>3</w:t>
      </w:r>
      <w:r w:rsidRPr="005D4F5E">
        <w:rPr>
          <w:rFonts w:ascii="Arial" w:hAnsi="Arial" w:cs="Arial"/>
          <w:sz w:val="24"/>
          <w:szCs w:val="24"/>
          <w:lang w:val="en-US"/>
        </w:rPr>
        <w:t>(3), 215-. https://doi.org/10.1108/17554251011064837</w:t>
      </w:r>
    </w:p>
    <w:p w14:paraId="239BDA51" w14:textId="77777777" w:rsidR="005D4F5E" w:rsidRPr="005D4F5E" w:rsidRDefault="005D4F5E" w:rsidP="005D4F5E">
      <w:pPr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5D4F5E">
        <w:rPr>
          <w:rFonts w:ascii="Arial" w:hAnsi="Arial" w:cs="Arial"/>
          <w:sz w:val="24"/>
          <w:szCs w:val="24"/>
          <w:lang w:val="fr-FR"/>
        </w:rPr>
        <w:t>Marmol</w:t>
      </w:r>
      <w:proofErr w:type="spellEnd"/>
      <w:r w:rsidRPr="005D4F5E">
        <w:rPr>
          <w:rFonts w:ascii="Arial" w:hAnsi="Arial" w:cs="Arial"/>
          <w:sz w:val="24"/>
          <w:szCs w:val="24"/>
          <w:lang w:val="fr-FR"/>
        </w:rPr>
        <w:t xml:space="preserve">, T. </w:t>
      </w:r>
      <w:proofErr w:type="spellStart"/>
      <w:r w:rsidRPr="005D4F5E">
        <w:rPr>
          <w:rFonts w:ascii="Arial" w:hAnsi="Arial" w:cs="Arial"/>
          <w:sz w:val="24"/>
          <w:szCs w:val="24"/>
          <w:lang w:val="fr-FR"/>
        </w:rPr>
        <w:t>del</w:t>
      </w:r>
      <w:proofErr w:type="spellEnd"/>
      <w:r w:rsidRPr="005D4F5E">
        <w:rPr>
          <w:rFonts w:ascii="Arial" w:hAnsi="Arial" w:cs="Arial"/>
          <w:sz w:val="24"/>
          <w:szCs w:val="24"/>
          <w:lang w:val="fr-FR"/>
        </w:rPr>
        <w:t xml:space="preserve">, &amp; </w:t>
      </w:r>
      <w:proofErr w:type="spellStart"/>
      <w:r w:rsidRPr="005D4F5E">
        <w:rPr>
          <w:rFonts w:ascii="Arial" w:hAnsi="Arial" w:cs="Arial"/>
          <w:sz w:val="24"/>
          <w:szCs w:val="24"/>
          <w:lang w:val="fr-FR"/>
        </w:rPr>
        <w:t>Feys</w:t>
      </w:r>
      <w:proofErr w:type="spellEnd"/>
      <w:r w:rsidRPr="005D4F5E">
        <w:rPr>
          <w:rFonts w:ascii="Arial" w:hAnsi="Arial" w:cs="Arial"/>
          <w:sz w:val="24"/>
          <w:szCs w:val="24"/>
          <w:lang w:val="fr-FR"/>
        </w:rPr>
        <w:t xml:space="preserve">, B. (2015). </w:t>
      </w:r>
      <w:r w:rsidRPr="005D4F5E">
        <w:rPr>
          <w:rFonts w:ascii="Arial" w:hAnsi="Arial" w:cs="Arial"/>
          <w:i/>
          <w:iCs/>
          <w:sz w:val="24"/>
          <w:szCs w:val="24"/>
          <w:lang w:val="fr-FR"/>
        </w:rPr>
        <w:t xml:space="preserve">PESTLE </w:t>
      </w:r>
      <w:proofErr w:type="spellStart"/>
      <w:r w:rsidRPr="005D4F5E">
        <w:rPr>
          <w:rFonts w:ascii="Arial" w:hAnsi="Arial" w:cs="Arial"/>
          <w:i/>
          <w:iCs/>
          <w:sz w:val="24"/>
          <w:szCs w:val="24"/>
          <w:lang w:val="fr-FR"/>
        </w:rPr>
        <w:t>analysis</w:t>
      </w:r>
      <w:proofErr w:type="spellEnd"/>
      <w:r w:rsidRPr="005D4F5E">
        <w:rPr>
          <w:rFonts w:ascii="Arial" w:hAnsi="Arial" w:cs="Arial"/>
          <w:sz w:val="24"/>
          <w:szCs w:val="24"/>
          <w:lang w:val="fr-FR"/>
        </w:rPr>
        <w:t xml:space="preserve"> (C. </w:t>
      </w:r>
      <w:proofErr w:type="spellStart"/>
      <w:r w:rsidRPr="005D4F5E">
        <w:rPr>
          <w:rFonts w:ascii="Arial" w:hAnsi="Arial" w:cs="Arial"/>
          <w:sz w:val="24"/>
          <w:szCs w:val="24"/>
          <w:lang w:val="fr-FR"/>
        </w:rPr>
        <w:t>Probert</w:t>
      </w:r>
      <w:proofErr w:type="spellEnd"/>
      <w:r w:rsidRPr="005D4F5E">
        <w:rPr>
          <w:rFonts w:ascii="Arial" w:hAnsi="Arial" w:cs="Arial"/>
          <w:sz w:val="24"/>
          <w:szCs w:val="24"/>
          <w:lang w:val="fr-FR"/>
        </w:rPr>
        <w:t xml:space="preserve">, Trans.). Lemaitre </w:t>
      </w:r>
      <w:proofErr w:type="spellStart"/>
      <w:r w:rsidRPr="005D4F5E">
        <w:rPr>
          <w:rFonts w:ascii="Arial" w:hAnsi="Arial" w:cs="Arial"/>
          <w:sz w:val="24"/>
          <w:szCs w:val="24"/>
          <w:lang w:val="fr-FR"/>
        </w:rPr>
        <w:t>Publishing</w:t>
      </w:r>
      <w:proofErr w:type="spellEnd"/>
      <w:r w:rsidRPr="005D4F5E">
        <w:rPr>
          <w:rFonts w:ascii="Arial" w:hAnsi="Arial" w:cs="Arial"/>
          <w:sz w:val="24"/>
          <w:szCs w:val="24"/>
          <w:lang w:val="fr-FR"/>
        </w:rPr>
        <w:t>.</w:t>
      </w:r>
    </w:p>
    <w:p w14:paraId="2D130AC7" w14:textId="77777777" w:rsidR="005D4F5E" w:rsidRPr="005D4F5E" w:rsidRDefault="005D4F5E" w:rsidP="005D4F5E">
      <w:pPr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5D4F5E">
        <w:rPr>
          <w:rFonts w:ascii="Arial" w:hAnsi="Arial" w:cs="Arial"/>
          <w:sz w:val="24"/>
          <w:szCs w:val="24"/>
          <w:lang w:val="en-US"/>
        </w:rPr>
        <w:t>Sezerel</w:t>
      </w:r>
      <w:proofErr w:type="spellEnd"/>
      <w:r w:rsidRPr="005D4F5E">
        <w:rPr>
          <w:rFonts w:ascii="Arial" w:hAnsi="Arial" w:cs="Arial"/>
          <w:sz w:val="24"/>
          <w:szCs w:val="24"/>
          <w:lang w:val="en-US"/>
        </w:rPr>
        <w:t xml:space="preserve">, H. (2023). </w:t>
      </w:r>
      <w:r w:rsidRPr="005D4F5E">
        <w:rPr>
          <w:rFonts w:ascii="Arial" w:hAnsi="Arial" w:cs="Arial"/>
          <w:i/>
          <w:iCs/>
          <w:sz w:val="24"/>
          <w:szCs w:val="24"/>
          <w:lang w:val="en-US"/>
        </w:rPr>
        <w:t>Handbook of research on sustainable tourism and hotel operations in global hypercompetition</w:t>
      </w:r>
      <w:r w:rsidRPr="005D4F5E">
        <w:rPr>
          <w:rFonts w:ascii="Arial" w:hAnsi="Arial" w:cs="Arial"/>
          <w:sz w:val="24"/>
          <w:szCs w:val="24"/>
          <w:lang w:val="en-US"/>
        </w:rPr>
        <w:t xml:space="preserve"> (H. </w:t>
      </w:r>
      <w:proofErr w:type="spellStart"/>
      <w:r w:rsidRPr="005D4F5E">
        <w:rPr>
          <w:rFonts w:ascii="Arial" w:hAnsi="Arial" w:cs="Arial"/>
          <w:sz w:val="24"/>
          <w:szCs w:val="24"/>
          <w:lang w:val="en-US"/>
        </w:rPr>
        <w:t>Sezerel</w:t>
      </w:r>
      <w:proofErr w:type="spellEnd"/>
      <w:r w:rsidRPr="005D4F5E">
        <w:rPr>
          <w:rFonts w:ascii="Arial" w:hAnsi="Arial" w:cs="Arial"/>
          <w:sz w:val="24"/>
          <w:szCs w:val="24"/>
          <w:lang w:val="en-US"/>
        </w:rPr>
        <w:t xml:space="preserve"> &amp; B. Christiansen, Eds.). Business Science Reference, an imprint of IGI Global.</w:t>
      </w:r>
    </w:p>
    <w:p w14:paraId="4E91345B" w14:textId="77777777" w:rsidR="005D4F5E" w:rsidRPr="005D4F5E" w:rsidRDefault="005D4F5E" w:rsidP="005D4F5E">
      <w:pPr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5D4F5E">
        <w:rPr>
          <w:rFonts w:ascii="Arial" w:hAnsi="Arial" w:cs="Arial"/>
          <w:sz w:val="24"/>
          <w:szCs w:val="24"/>
          <w:lang w:val="en-US"/>
        </w:rPr>
        <w:t xml:space="preserve">Cousins, J. A., Foskett, D., &amp; Pennington, Andrew. (2011). </w:t>
      </w:r>
      <w:r w:rsidRPr="005D4F5E">
        <w:rPr>
          <w:rFonts w:ascii="Arial" w:hAnsi="Arial" w:cs="Arial"/>
          <w:i/>
          <w:iCs/>
          <w:sz w:val="24"/>
          <w:szCs w:val="24"/>
          <w:lang w:val="en-US"/>
        </w:rPr>
        <w:t xml:space="preserve">Food and beverage </w:t>
      </w:r>
      <w:proofErr w:type="gramStart"/>
      <w:r w:rsidRPr="005D4F5E">
        <w:rPr>
          <w:rFonts w:ascii="Arial" w:hAnsi="Arial" w:cs="Arial"/>
          <w:i/>
          <w:iCs/>
          <w:sz w:val="24"/>
          <w:szCs w:val="24"/>
          <w:lang w:val="en-US"/>
        </w:rPr>
        <w:t>management :</w:t>
      </w:r>
      <w:proofErr w:type="gramEnd"/>
      <w:r w:rsidRPr="005D4F5E">
        <w:rPr>
          <w:rFonts w:ascii="Arial" w:hAnsi="Arial" w:cs="Arial"/>
          <w:i/>
          <w:iCs/>
          <w:sz w:val="24"/>
          <w:szCs w:val="24"/>
          <w:lang w:val="en-US"/>
        </w:rPr>
        <w:t xml:space="preserve"> for the hospitality, tourism and event industries</w:t>
      </w:r>
      <w:r w:rsidRPr="005D4F5E">
        <w:rPr>
          <w:rFonts w:ascii="Arial" w:hAnsi="Arial" w:cs="Arial"/>
          <w:sz w:val="24"/>
          <w:szCs w:val="24"/>
          <w:lang w:val="en-US"/>
        </w:rPr>
        <w:t xml:space="preserve"> (3rd ed.). Goodfellow.</w:t>
      </w:r>
    </w:p>
    <w:p w14:paraId="33926C83" w14:textId="77777777" w:rsidR="005D4F5E" w:rsidRPr="005D4F5E" w:rsidRDefault="005D4F5E" w:rsidP="005D4F5E">
      <w:pPr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5D4F5E">
        <w:rPr>
          <w:rFonts w:ascii="Arial" w:hAnsi="Arial" w:cs="Arial"/>
          <w:sz w:val="24"/>
          <w:szCs w:val="24"/>
          <w:lang w:val="en-US"/>
        </w:rPr>
        <w:t>Ognjanović</w:t>
      </w:r>
      <w:proofErr w:type="spellEnd"/>
      <w:r w:rsidRPr="005D4F5E">
        <w:rPr>
          <w:rFonts w:ascii="Arial" w:hAnsi="Arial" w:cs="Arial"/>
          <w:sz w:val="24"/>
          <w:szCs w:val="24"/>
          <w:lang w:val="en-US"/>
        </w:rPr>
        <w:t xml:space="preserve">, J. (2020). The impact of the employer brand on the corporate reputation of hotel companies. </w:t>
      </w:r>
      <w:r w:rsidRPr="005D4F5E">
        <w:rPr>
          <w:rFonts w:ascii="Arial" w:hAnsi="Arial" w:cs="Arial"/>
          <w:i/>
          <w:iCs/>
          <w:sz w:val="24"/>
          <w:szCs w:val="24"/>
          <w:lang w:val="en-US"/>
        </w:rPr>
        <w:t>Marketing (Beograd)</w:t>
      </w:r>
      <w:r w:rsidRPr="005D4F5E">
        <w:rPr>
          <w:rFonts w:ascii="Arial" w:hAnsi="Arial" w:cs="Arial"/>
          <w:sz w:val="24"/>
          <w:szCs w:val="24"/>
          <w:lang w:val="en-US"/>
        </w:rPr>
        <w:t xml:space="preserve">, </w:t>
      </w:r>
      <w:r w:rsidRPr="005D4F5E">
        <w:rPr>
          <w:rFonts w:ascii="Arial" w:hAnsi="Arial" w:cs="Arial"/>
          <w:i/>
          <w:iCs/>
          <w:sz w:val="24"/>
          <w:szCs w:val="24"/>
          <w:lang w:val="en-US"/>
        </w:rPr>
        <w:t>51</w:t>
      </w:r>
      <w:r w:rsidRPr="005D4F5E">
        <w:rPr>
          <w:rFonts w:ascii="Arial" w:hAnsi="Arial" w:cs="Arial"/>
          <w:sz w:val="24"/>
          <w:szCs w:val="24"/>
          <w:lang w:val="en-US"/>
        </w:rPr>
        <w:t>(4), 259–270. https://doi.org/10.5937/markt2004259O</w:t>
      </w:r>
    </w:p>
    <w:p w14:paraId="20CF0ED2" w14:textId="77777777" w:rsidR="005D4F5E" w:rsidRPr="005D4F5E" w:rsidRDefault="005D4F5E" w:rsidP="005D4F5E">
      <w:pPr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5D4F5E">
        <w:rPr>
          <w:rFonts w:ascii="Arial" w:hAnsi="Arial" w:cs="Arial"/>
          <w:sz w:val="24"/>
          <w:szCs w:val="24"/>
        </w:rPr>
        <w:t xml:space="preserve">Munoz Duenas, M. del P., Aiello, L., </w:t>
      </w:r>
      <w:proofErr w:type="spellStart"/>
      <w:r w:rsidRPr="005D4F5E">
        <w:rPr>
          <w:rFonts w:ascii="Arial" w:hAnsi="Arial" w:cs="Arial"/>
          <w:sz w:val="24"/>
          <w:szCs w:val="24"/>
        </w:rPr>
        <w:t>Cabrita</w:t>
      </w:r>
      <w:proofErr w:type="spellEnd"/>
      <w:r w:rsidRPr="005D4F5E">
        <w:rPr>
          <w:rFonts w:ascii="Arial" w:hAnsi="Arial" w:cs="Arial"/>
          <w:sz w:val="24"/>
          <w:szCs w:val="24"/>
        </w:rPr>
        <w:t xml:space="preserve">, R., &amp; Gatti, M. (Eds.). (2018). </w:t>
      </w:r>
      <w:r w:rsidRPr="005D4F5E">
        <w:rPr>
          <w:rFonts w:ascii="Arial" w:hAnsi="Arial" w:cs="Arial"/>
          <w:i/>
          <w:iCs/>
          <w:sz w:val="24"/>
          <w:szCs w:val="24"/>
        </w:rPr>
        <w:t xml:space="preserve">Corporate social responsibility for </w:t>
      </w:r>
      <w:proofErr w:type="spellStart"/>
      <w:r w:rsidRPr="005D4F5E">
        <w:rPr>
          <w:rFonts w:ascii="Arial" w:hAnsi="Arial" w:cs="Arial"/>
          <w:i/>
          <w:iCs/>
          <w:sz w:val="24"/>
          <w:szCs w:val="24"/>
        </w:rPr>
        <w:t>valorization</w:t>
      </w:r>
      <w:proofErr w:type="spellEnd"/>
      <w:r w:rsidRPr="005D4F5E">
        <w:rPr>
          <w:rFonts w:ascii="Arial" w:hAnsi="Arial" w:cs="Arial"/>
          <w:i/>
          <w:iCs/>
          <w:sz w:val="24"/>
          <w:szCs w:val="24"/>
        </w:rPr>
        <w:t xml:space="preserve"> of cultural organizations</w:t>
      </w:r>
      <w:r w:rsidRPr="005D4F5E">
        <w:rPr>
          <w:rFonts w:ascii="Arial" w:hAnsi="Arial" w:cs="Arial"/>
          <w:sz w:val="24"/>
          <w:szCs w:val="24"/>
        </w:rPr>
        <w:t>. IGI Global. https://doi.org/10.4018/978-1-5225-3551-5</w:t>
      </w:r>
    </w:p>
    <w:p w14:paraId="42784B35" w14:textId="77777777" w:rsidR="005D4F5E" w:rsidRPr="005D4F5E" w:rsidRDefault="005D4F5E" w:rsidP="005D4F5E">
      <w:pPr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5D4F5E">
        <w:rPr>
          <w:rFonts w:ascii="Arial" w:hAnsi="Arial" w:cs="Arial"/>
          <w:sz w:val="24"/>
          <w:szCs w:val="24"/>
          <w:lang w:val="en-US"/>
        </w:rPr>
        <w:t xml:space="preserve">Bladen, C., Kennell, J., Abson, E., &amp; Wilde, N. (2023). </w:t>
      </w:r>
      <w:r w:rsidRPr="005D4F5E">
        <w:rPr>
          <w:rFonts w:ascii="Arial" w:hAnsi="Arial" w:cs="Arial"/>
          <w:i/>
          <w:iCs/>
          <w:sz w:val="24"/>
          <w:szCs w:val="24"/>
          <w:lang w:val="en-US"/>
        </w:rPr>
        <w:t xml:space="preserve">Events </w:t>
      </w:r>
      <w:proofErr w:type="gramStart"/>
      <w:r w:rsidRPr="005D4F5E">
        <w:rPr>
          <w:rFonts w:ascii="Arial" w:hAnsi="Arial" w:cs="Arial"/>
          <w:i/>
          <w:iCs/>
          <w:sz w:val="24"/>
          <w:szCs w:val="24"/>
          <w:lang w:val="en-US"/>
        </w:rPr>
        <w:t>management :</w:t>
      </w:r>
      <w:proofErr w:type="gramEnd"/>
      <w:r w:rsidRPr="005D4F5E">
        <w:rPr>
          <w:rFonts w:ascii="Arial" w:hAnsi="Arial" w:cs="Arial"/>
          <w:i/>
          <w:iCs/>
          <w:sz w:val="24"/>
          <w:szCs w:val="24"/>
          <w:lang w:val="en-US"/>
        </w:rPr>
        <w:t xml:space="preserve"> an introduction</w:t>
      </w:r>
      <w:r w:rsidRPr="005D4F5E">
        <w:rPr>
          <w:rFonts w:ascii="Arial" w:hAnsi="Arial" w:cs="Arial"/>
          <w:sz w:val="24"/>
          <w:szCs w:val="24"/>
          <w:lang w:val="en-US"/>
        </w:rPr>
        <w:t xml:space="preserve"> (Third edition.). Routledge, Taylor &amp; Francis Group.</w:t>
      </w:r>
    </w:p>
    <w:p w14:paraId="1BE9FD95" w14:textId="77777777" w:rsidR="005D4F5E" w:rsidRPr="005D4F5E" w:rsidRDefault="005D4F5E" w:rsidP="005D4F5E">
      <w:pPr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5D4F5E">
        <w:rPr>
          <w:rFonts w:ascii="Arial" w:hAnsi="Arial" w:cs="Arial"/>
          <w:sz w:val="24"/>
          <w:szCs w:val="24"/>
          <w:lang w:val="en-US"/>
        </w:rPr>
        <w:t xml:space="preserve">Flowers, M. E., Smith, M. K., Parsekian, A. W., </w:t>
      </w:r>
      <w:proofErr w:type="spellStart"/>
      <w:r w:rsidRPr="005D4F5E">
        <w:rPr>
          <w:rFonts w:ascii="Arial" w:hAnsi="Arial" w:cs="Arial"/>
          <w:sz w:val="24"/>
          <w:szCs w:val="24"/>
          <w:lang w:val="en-US"/>
        </w:rPr>
        <w:t>Boyuk</w:t>
      </w:r>
      <w:proofErr w:type="spellEnd"/>
      <w:r w:rsidRPr="005D4F5E">
        <w:rPr>
          <w:rFonts w:ascii="Arial" w:hAnsi="Arial" w:cs="Arial"/>
          <w:sz w:val="24"/>
          <w:szCs w:val="24"/>
          <w:lang w:val="en-US"/>
        </w:rPr>
        <w:t xml:space="preserve">, D. S., McGrath, J. K., &amp; Yates, L. (2016). Climate impacts on the cost of solar energy. </w:t>
      </w:r>
      <w:r w:rsidRPr="005D4F5E">
        <w:rPr>
          <w:rFonts w:ascii="Arial" w:hAnsi="Arial" w:cs="Arial"/>
          <w:i/>
          <w:iCs/>
          <w:sz w:val="24"/>
          <w:szCs w:val="24"/>
          <w:lang w:val="en-US"/>
        </w:rPr>
        <w:t>Energy Policy</w:t>
      </w:r>
      <w:r w:rsidRPr="005D4F5E">
        <w:rPr>
          <w:rFonts w:ascii="Arial" w:hAnsi="Arial" w:cs="Arial"/>
          <w:sz w:val="24"/>
          <w:szCs w:val="24"/>
          <w:lang w:val="en-US"/>
        </w:rPr>
        <w:t xml:space="preserve">, </w:t>
      </w:r>
      <w:r w:rsidRPr="005D4F5E">
        <w:rPr>
          <w:rFonts w:ascii="Arial" w:hAnsi="Arial" w:cs="Arial"/>
          <w:i/>
          <w:iCs/>
          <w:sz w:val="24"/>
          <w:szCs w:val="24"/>
          <w:lang w:val="en-US"/>
        </w:rPr>
        <w:t>94</w:t>
      </w:r>
      <w:r w:rsidRPr="005D4F5E">
        <w:rPr>
          <w:rFonts w:ascii="Arial" w:hAnsi="Arial" w:cs="Arial"/>
          <w:sz w:val="24"/>
          <w:szCs w:val="24"/>
          <w:lang w:val="en-US"/>
        </w:rPr>
        <w:t xml:space="preserve">, 264–273. </w:t>
      </w:r>
      <w:hyperlink r:id="rId15" w:history="1">
        <w:r w:rsidRPr="005D4F5E">
          <w:rPr>
            <w:rStyle w:val="Hyperlink"/>
            <w:rFonts w:ascii="Arial" w:hAnsi="Arial" w:cs="Arial"/>
            <w:sz w:val="24"/>
            <w:szCs w:val="24"/>
            <w:lang w:val="en-US"/>
          </w:rPr>
          <w:t>https://doi.org/10.1016/j.enpol.2016.04.018</w:t>
        </w:r>
      </w:hyperlink>
    </w:p>
    <w:p w14:paraId="7AB201FC" w14:textId="77777777" w:rsidR="005D4F5E" w:rsidRPr="005D4F5E" w:rsidRDefault="005D4F5E" w:rsidP="005D4F5E">
      <w:pPr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5D4F5E">
        <w:rPr>
          <w:rFonts w:ascii="Arial" w:hAnsi="Arial" w:cs="Arial"/>
          <w:sz w:val="24"/>
          <w:szCs w:val="24"/>
        </w:rPr>
        <w:t xml:space="preserve">Aznar, J. P., </w:t>
      </w:r>
      <w:proofErr w:type="spellStart"/>
      <w:r w:rsidRPr="005D4F5E">
        <w:rPr>
          <w:rFonts w:ascii="Arial" w:hAnsi="Arial" w:cs="Arial"/>
          <w:sz w:val="24"/>
          <w:szCs w:val="24"/>
        </w:rPr>
        <w:t>Sayeras</w:t>
      </w:r>
      <w:proofErr w:type="spellEnd"/>
      <w:r w:rsidRPr="005D4F5E">
        <w:rPr>
          <w:rFonts w:ascii="Arial" w:hAnsi="Arial" w:cs="Arial"/>
          <w:sz w:val="24"/>
          <w:szCs w:val="24"/>
        </w:rPr>
        <w:t xml:space="preserve">, J. M., Galiana, J., &amp; Rocafort, A. (2016). Sustainability Commitment, New Competitors’ Presence, and Hotel Performance: The Hotel Industry in Barcelona. </w:t>
      </w:r>
      <w:r w:rsidRPr="005D4F5E">
        <w:rPr>
          <w:rFonts w:ascii="Arial" w:hAnsi="Arial" w:cs="Arial"/>
          <w:i/>
          <w:iCs/>
          <w:sz w:val="24"/>
          <w:szCs w:val="24"/>
        </w:rPr>
        <w:t>Sustainability (Basel, Switzerland)</w:t>
      </w:r>
      <w:r w:rsidRPr="005D4F5E">
        <w:rPr>
          <w:rFonts w:ascii="Arial" w:hAnsi="Arial" w:cs="Arial"/>
          <w:sz w:val="24"/>
          <w:szCs w:val="24"/>
        </w:rPr>
        <w:t xml:space="preserve">, </w:t>
      </w:r>
      <w:r w:rsidRPr="005D4F5E">
        <w:rPr>
          <w:rFonts w:ascii="Arial" w:hAnsi="Arial" w:cs="Arial"/>
          <w:i/>
          <w:iCs/>
          <w:sz w:val="24"/>
          <w:szCs w:val="24"/>
        </w:rPr>
        <w:t>8</w:t>
      </w:r>
      <w:r w:rsidRPr="005D4F5E">
        <w:rPr>
          <w:rFonts w:ascii="Arial" w:hAnsi="Arial" w:cs="Arial"/>
          <w:sz w:val="24"/>
          <w:szCs w:val="24"/>
        </w:rPr>
        <w:t xml:space="preserve">(8), 755–755. </w:t>
      </w:r>
      <w:hyperlink r:id="rId16" w:history="1">
        <w:r w:rsidRPr="005D4F5E">
          <w:rPr>
            <w:rStyle w:val="Hyperlink"/>
            <w:rFonts w:ascii="Arial" w:hAnsi="Arial" w:cs="Arial"/>
            <w:sz w:val="24"/>
            <w:szCs w:val="24"/>
          </w:rPr>
          <w:t>https://doi.org/10.3390/su8080755</w:t>
        </w:r>
      </w:hyperlink>
    </w:p>
    <w:p w14:paraId="1A031DFB" w14:textId="77777777" w:rsidR="005D4F5E" w:rsidRPr="005D4F5E" w:rsidRDefault="005D4F5E" w:rsidP="005D4F5E">
      <w:pPr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5D4F5E">
        <w:rPr>
          <w:rFonts w:ascii="Arial" w:hAnsi="Arial" w:cs="Arial"/>
          <w:sz w:val="24"/>
          <w:szCs w:val="24"/>
        </w:rPr>
        <w:lastRenderedPageBreak/>
        <w:t xml:space="preserve">Kujala, Johanna., Heikkinen, Anna., &amp; Blomberg, Annika. (Eds.). (2023). </w:t>
      </w:r>
      <w:r w:rsidRPr="005D4F5E">
        <w:rPr>
          <w:rFonts w:ascii="Arial" w:hAnsi="Arial" w:cs="Arial"/>
          <w:i/>
          <w:iCs/>
          <w:sz w:val="24"/>
          <w:szCs w:val="24"/>
        </w:rPr>
        <w:t xml:space="preserve">Stakeholder Engagement in a Sustainable Circular </w:t>
      </w:r>
      <w:proofErr w:type="gramStart"/>
      <w:r w:rsidRPr="005D4F5E">
        <w:rPr>
          <w:rFonts w:ascii="Arial" w:hAnsi="Arial" w:cs="Arial"/>
          <w:i/>
          <w:iCs/>
          <w:sz w:val="24"/>
          <w:szCs w:val="24"/>
        </w:rPr>
        <w:t>Economy  Theoretical</w:t>
      </w:r>
      <w:proofErr w:type="gramEnd"/>
      <w:r w:rsidRPr="005D4F5E">
        <w:rPr>
          <w:rFonts w:ascii="Arial" w:hAnsi="Arial" w:cs="Arial"/>
          <w:i/>
          <w:iCs/>
          <w:sz w:val="24"/>
          <w:szCs w:val="24"/>
        </w:rPr>
        <w:t xml:space="preserve"> and Practical Perspectives</w:t>
      </w:r>
      <w:r w:rsidRPr="005D4F5E">
        <w:rPr>
          <w:rFonts w:ascii="Arial" w:hAnsi="Arial" w:cs="Arial"/>
          <w:sz w:val="24"/>
          <w:szCs w:val="24"/>
        </w:rPr>
        <w:t xml:space="preserve"> (1st ed. 2023.). Springer International Publishing. </w:t>
      </w:r>
      <w:hyperlink r:id="rId17" w:history="1">
        <w:r w:rsidRPr="005D4F5E">
          <w:rPr>
            <w:rStyle w:val="Hyperlink"/>
            <w:rFonts w:ascii="Arial" w:hAnsi="Arial" w:cs="Arial"/>
            <w:sz w:val="24"/>
            <w:szCs w:val="24"/>
          </w:rPr>
          <w:t>https://doi.org/10.1007/978-3-031-31937-2</w:t>
        </w:r>
      </w:hyperlink>
    </w:p>
    <w:p w14:paraId="04A1DC5C" w14:textId="77777777" w:rsidR="005D4F5E" w:rsidRPr="005D4F5E" w:rsidRDefault="005D4F5E" w:rsidP="005D4F5E">
      <w:pPr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5D4F5E">
        <w:rPr>
          <w:rFonts w:ascii="Arial" w:hAnsi="Arial" w:cs="Arial"/>
          <w:sz w:val="24"/>
          <w:szCs w:val="24"/>
          <w:lang w:val="en-US"/>
        </w:rPr>
        <w:t xml:space="preserve">Lee, T. J. (2009). The Successful Conference Venue: Perceptions of Conference Organizers and Hotel Managers. </w:t>
      </w:r>
      <w:r w:rsidRPr="005D4F5E">
        <w:rPr>
          <w:rFonts w:ascii="Arial" w:hAnsi="Arial" w:cs="Arial"/>
          <w:i/>
          <w:iCs/>
          <w:sz w:val="24"/>
          <w:szCs w:val="24"/>
          <w:lang w:val="en-US"/>
        </w:rPr>
        <w:t>Event Management</w:t>
      </w:r>
      <w:r w:rsidRPr="005D4F5E">
        <w:rPr>
          <w:rFonts w:ascii="Arial" w:hAnsi="Arial" w:cs="Arial"/>
          <w:sz w:val="24"/>
          <w:szCs w:val="24"/>
          <w:lang w:val="en-US"/>
        </w:rPr>
        <w:t xml:space="preserve">, </w:t>
      </w:r>
      <w:r w:rsidRPr="005D4F5E">
        <w:rPr>
          <w:rFonts w:ascii="Arial" w:hAnsi="Arial" w:cs="Arial"/>
          <w:i/>
          <w:iCs/>
          <w:sz w:val="24"/>
          <w:szCs w:val="24"/>
          <w:lang w:val="en-US"/>
        </w:rPr>
        <w:t>13</w:t>
      </w:r>
      <w:r w:rsidRPr="005D4F5E">
        <w:rPr>
          <w:rFonts w:ascii="Arial" w:hAnsi="Arial" w:cs="Arial"/>
          <w:sz w:val="24"/>
          <w:szCs w:val="24"/>
          <w:lang w:val="en-US"/>
        </w:rPr>
        <w:t>(3), 171–180. https://doi.org/10.3727/152599509790029819</w:t>
      </w:r>
    </w:p>
    <w:p w14:paraId="72A2EB67" w14:textId="77777777" w:rsidR="005D4F5E" w:rsidRPr="005D4F5E" w:rsidRDefault="005D4F5E" w:rsidP="005D4F5E">
      <w:pPr>
        <w:numPr>
          <w:ilvl w:val="0"/>
          <w:numId w:val="1"/>
        </w:numPr>
        <w:rPr>
          <w:rFonts w:ascii="Arial" w:hAnsi="Arial" w:cs="Arial"/>
          <w:sz w:val="28"/>
          <w:szCs w:val="28"/>
        </w:rPr>
      </w:pPr>
    </w:p>
    <w:p w14:paraId="59C12A8F" w14:textId="77777777" w:rsidR="005D4F5E" w:rsidRPr="005D4F5E" w:rsidRDefault="005D4F5E" w:rsidP="005D4F5E">
      <w:pPr>
        <w:rPr>
          <w:rFonts w:ascii="Arial" w:hAnsi="Arial" w:cs="Arial"/>
          <w:sz w:val="28"/>
          <w:szCs w:val="28"/>
          <w:lang w:val="en-US"/>
        </w:rPr>
      </w:pPr>
    </w:p>
    <w:sectPr w:rsidR="005D4F5E" w:rsidRPr="005D4F5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F013BC"/>
    <w:multiLevelType w:val="hybridMultilevel"/>
    <w:tmpl w:val="800CC6D6"/>
    <w:lvl w:ilvl="0" w:tplc="87FEA60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61ED45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1500DA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BC6F89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9EAA93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F1A855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AB431A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6FA905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5B433E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B6E75AD"/>
    <w:multiLevelType w:val="hybridMultilevel"/>
    <w:tmpl w:val="8A3C88B4"/>
    <w:lvl w:ilvl="0" w:tplc="EFD8B29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8E4E92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0EAE0F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7DEB72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A50C3A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6C2AB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05ABEB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CFE42B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85C249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4BBD645D"/>
    <w:multiLevelType w:val="hybridMultilevel"/>
    <w:tmpl w:val="31723F1E"/>
    <w:lvl w:ilvl="0" w:tplc="C5A2565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66E63C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5BAD05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19C6A3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4E2EDA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702D62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10C8C9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07CA62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4EE3A7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132554743">
    <w:abstractNumId w:val="2"/>
  </w:num>
  <w:num w:numId="2" w16cid:durableId="963846080">
    <w:abstractNumId w:val="1"/>
  </w:num>
  <w:num w:numId="3" w16cid:durableId="12818861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5C81"/>
    <w:rsid w:val="005D4F5E"/>
    <w:rsid w:val="006B6008"/>
    <w:rsid w:val="00C75C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437AFF"/>
  <w15:chartTrackingRefBased/>
  <w15:docId w15:val="{AB917ED7-2728-409F-90C2-39DE553FD1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D4F5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D4F5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D4F5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7889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473811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334598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372415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141635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360637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880790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769867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3592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024311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147855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508828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070947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76872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272493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65595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8441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616702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586772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599405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741896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824823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573084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yperlink" Target="https://uowtsd-my.sharepoint.com/:v:/g/personal/2122379_student_uwtsd_ac_uk/ESU12gxLHDBFoahiIoSbm-IBeIM6cGS73ijbwHRWJMhE5w?referrer=Teams.TEAMS-ELECTRON&amp;referrerScenario=MeetingChicletGetLink.view.view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hyperlink" Target="https://doi.org/10.1007/978-3-031-31937-2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3390/su8080755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hyperlink" Target="https://uowtsd-my.sharepoint.com/:v:/g/personal/2122379_student_uwtsd_ac_uk/ESU12gxLHDBFoahiIoSbm-IBeIM6cGS73ijbwHRWJMhE5w?referrer=Teams.TEAMS-ELECTRON&amp;referrerScenario=MeetingChicletGetLink.view.view" TargetMode="External"/><Relationship Id="rId15" Type="http://schemas.openxmlformats.org/officeDocument/2006/relationships/hyperlink" Target="https://doi.org/10.1016/j.enpol.2016.04.018" TargetMode="External"/><Relationship Id="rId10" Type="http://schemas.openxmlformats.org/officeDocument/2006/relationships/image" Target="media/image5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hyperlink" Target="https://doi.org/10.1177/193896551244116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8</Pages>
  <Words>777</Words>
  <Characters>4432</Characters>
  <Application>Microsoft Office Word</Application>
  <DocSecurity>0</DocSecurity>
  <Lines>36</Lines>
  <Paragraphs>10</Paragraphs>
  <ScaleCrop>false</ScaleCrop>
  <Company/>
  <LinksUpToDate>false</LinksUpToDate>
  <CharactersWithSpaces>5199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Tony Ancuta</dc:creator>
  <cp:keywords/>
  <dc:description/>
  <cp:lastModifiedBy>Tony Ancuta</cp:lastModifiedBy>
  <cp:revision>2</cp:revision>
  <dcterms:created xsi:type="dcterms:W3CDTF">2024-02-09T18:09:00Z</dcterms:created>
  <dcterms:modified xsi:type="dcterms:W3CDTF">2024-02-09T18:19:00Z</dcterms:modified>
</cp:coreProperties>
</file>