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847A4B" wp14:paraId="2C078E63" wp14:textId="5221BF25">
      <w:pPr>
        <w:rPr>
          <w:sz w:val="20"/>
          <w:szCs w:val="20"/>
          <w:u w:val="single"/>
        </w:rPr>
      </w:pPr>
      <w:r w:rsidRPr="11847A4B" w:rsidR="6AF68655">
        <w:rPr>
          <w:sz w:val="24"/>
          <w:szCs w:val="24"/>
          <w:u w:val="single"/>
        </w:rPr>
        <w:t>The Tomb of the Pharaoh’s Chancellor Senneferi (TT99): Architecture, Material Culture, and Elite Identity in Ancient Egypt</w:t>
      </w:r>
    </w:p>
    <w:p w:rsidR="6AF68655" w:rsidP="11847A4B" w:rsidRDefault="6AF68655" w14:paraId="183D4413" w14:textId="57ECFBBB">
      <w:pPr>
        <w:rPr>
          <w:sz w:val="20"/>
          <w:szCs w:val="20"/>
          <w:u w:val="none"/>
        </w:rPr>
      </w:pPr>
      <w:r w:rsidRPr="11847A4B" w:rsidR="6AF68655">
        <w:rPr>
          <w:sz w:val="22"/>
          <w:szCs w:val="22"/>
          <w:u w:val="none"/>
        </w:rPr>
        <w:t xml:space="preserve">The Theban tomb of Senneferi (TT99) serves as an important case study for understanding elite funerary practices and social identity during the Eighteenth Dynasty of Ancient Egypt. Located in the necropolis at Sheikh Abd </w:t>
      </w:r>
      <w:r w:rsidRPr="11847A4B" w:rsidR="6AF68655">
        <w:rPr>
          <w:sz w:val="22"/>
          <w:szCs w:val="22"/>
          <w:u w:val="none"/>
        </w:rPr>
        <w:t>el</w:t>
      </w:r>
      <w:r w:rsidRPr="11847A4B" w:rsidR="6AF68655">
        <w:rPr>
          <w:sz w:val="22"/>
          <w:szCs w:val="22"/>
          <w:u w:val="none"/>
        </w:rPr>
        <w:t xml:space="preserve">-Qurna on the west bank of the Nile, TT99 formed part of a landscape of monumental rock-cut tombs belonging to high-ranking officials of the New Kingdom administration. </w:t>
      </w:r>
      <w:bookmarkStart w:name="_Int_cVywp3Bt" w:id="618400500"/>
      <w:r w:rsidRPr="11847A4B" w:rsidR="6AF68655">
        <w:rPr>
          <w:sz w:val="22"/>
          <w:szCs w:val="22"/>
          <w:u w:val="none"/>
        </w:rPr>
        <w:t>Senneferi</w:t>
      </w:r>
      <w:bookmarkEnd w:id="618400500"/>
      <w:r w:rsidRPr="11847A4B" w:rsidR="6AF68655">
        <w:rPr>
          <w:sz w:val="22"/>
          <w:szCs w:val="22"/>
          <w:u w:val="none"/>
        </w:rPr>
        <w:t xml:space="preserve"> himself served during the reign of Thutmose III under the prestigious title of ‘Overseer of the Seal of the King</w:t>
      </w:r>
      <w:r w:rsidRPr="11847A4B" w:rsidR="6AF68655">
        <w:rPr>
          <w:sz w:val="22"/>
          <w:szCs w:val="22"/>
          <w:u w:val="none"/>
        </w:rPr>
        <w:t>’,</w:t>
      </w:r>
      <w:r w:rsidRPr="11847A4B" w:rsidR="6AF68655">
        <w:rPr>
          <w:sz w:val="22"/>
          <w:szCs w:val="22"/>
          <w:u w:val="none"/>
        </w:rPr>
        <w:t xml:space="preserve"> often translated </w:t>
      </w:r>
      <w:r w:rsidRPr="11847A4B" w:rsidR="29F403E8">
        <w:rPr>
          <w:sz w:val="22"/>
          <w:szCs w:val="22"/>
          <w:u w:val="none"/>
        </w:rPr>
        <w:t>to mean</w:t>
      </w:r>
      <w:r w:rsidRPr="11847A4B" w:rsidR="6AF68655">
        <w:rPr>
          <w:sz w:val="22"/>
          <w:szCs w:val="22"/>
          <w:u w:val="none"/>
        </w:rPr>
        <w:t xml:space="preserve"> chancellor or royal treasurer</w:t>
      </w:r>
      <w:r w:rsidRPr="11847A4B">
        <w:rPr>
          <w:rStyle w:val="FootnoteReference"/>
          <w:sz w:val="22"/>
          <w:szCs w:val="22"/>
          <w:u w:val="none"/>
        </w:rPr>
        <w:footnoteReference w:id="3955"/>
      </w:r>
      <w:r w:rsidRPr="11847A4B" w:rsidR="6AF68655">
        <w:rPr>
          <w:sz w:val="22"/>
          <w:szCs w:val="22"/>
          <w:u w:val="none"/>
        </w:rPr>
        <w:t>. Since 1992, excavations conducted by the Cam</w:t>
      </w:r>
      <w:r w:rsidRPr="11847A4B" w:rsidR="7430F1F5">
        <w:rPr>
          <w:sz w:val="22"/>
          <w:szCs w:val="22"/>
          <w:u w:val="none"/>
        </w:rPr>
        <w:t xml:space="preserve">bridge Theban Tombs Project under the direction of Nigel Strudwick have revealed significant information about the tomb’s architecture, decoration, and material contents. </w:t>
      </w:r>
    </w:p>
    <w:p w:rsidR="7430F1F5" w:rsidP="11847A4B" w:rsidRDefault="7430F1F5" w14:paraId="382876E6" w14:textId="48ADD6F2">
      <w:pPr>
        <w:rPr>
          <w:sz w:val="20"/>
          <w:szCs w:val="20"/>
          <w:u w:val="none"/>
        </w:rPr>
      </w:pPr>
      <w:r w:rsidRPr="11847A4B" w:rsidR="7430F1F5">
        <w:rPr>
          <w:sz w:val="22"/>
          <w:szCs w:val="22"/>
          <w:u w:val="none"/>
        </w:rPr>
        <w:t xml:space="preserve">This essay examines the architectural layout and archaeological findings from TT99 and </w:t>
      </w:r>
      <w:r w:rsidRPr="11847A4B" w:rsidR="7430F1F5">
        <w:rPr>
          <w:sz w:val="22"/>
          <w:szCs w:val="22"/>
          <w:u w:val="none"/>
        </w:rPr>
        <w:t>seeks</w:t>
      </w:r>
      <w:r w:rsidRPr="11847A4B" w:rsidR="7430F1F5">
        <w:rPr>
          <w:sz w:val="22"/>
          <w:szCs w:val="22"/>
          <w:u w:val="none"/>
        </w:rPr>
        <w:t xml:space="preserve"> to analyse how this material culture reflects the social status of Senneferi within the elite of Egypt’s early New Kingdom. While the tomb follows the standard architectural pattern of private tombs of the Eighteenth Dynasty, its scale, decoration, and burial goods </w:t>
      </w:r>
      <w:r w:rsidRPr="11847A4B" w:rsidR="7430F1F5">
        <w:rPr>
          <w:sz w:val="22"/>
          <w:szCs w:val="22"/>
          <w:u w:val="none"/>
        </w:rPr>
        <w:t>demonstrate</w:t>
      </w:r>
      <w:r w:rsidRPr="11847A4B" w:rsidR="7430F1F5">
        <w:rPr>
          <w:sz w:val="22"/>
          <w:szCs w:val="22"/>
          <w:u w:val="none"/>
        </w:rPr>
        <w:t xml:space="preserve"> the wealth and authority of its owner. By combining archaeological evidence from the excavation with broader scholarship on Egyptian funerary practices, it becomes clear that TT99 functioned not merely as a burial place but also as a monumental statement of elite identity. </w:t>
      </w:r>
    </w:p>
    <w:p w:rsidR="7430F1F5" w:rsidP="11847A4B" w:rsidRDefault="7430F1F5" w14:paraId="25DE1C39" w14:textId="50BD7CC0">
      <w:pPr>
        <w:rPr>
          <w:sz w:val="24"/>
          <w:szCs w:val="24"/>
          <w:u w:val="none"/>
        </w:rPr>
      </w:pPr>
      <w:r w:rsidRPr="11847A4B" w:rsidR="7430F1F5">
        <w:rPr>
          <w:sz w:val="24"/>
          <w:szCs w:val="24"/>
          <w:u w:val="single"/>
        </w:rPr>
        <w:t>Senneferi and the Administrative Elite</w:t>
      </w:r>
    </w:p>
    <w:p w:rsidR="7430F1F5" w:rsidP="11847A4B" w:rsidRDefault="7430F1F5" w14:paraId="5C25B92E" w14:textId="01228AEA">
      <w:pPr>
        <w:rPr>
          <w:sz w:val="20"/>
          <w:szCs w:val="20"/>
          <w:u w:val="none"/>
        </w:rPr>
      </w:pPr>
      <w:r w:rsidRPr="11847A4B" w:rsidR="7430F1F5">
        <w:rPr>
          <w:sz w:val="22"/>
          <w:szCs w:val="22"/>
          <w:u w:val="none"/>
        </w:rPr>
        <w:t xml:space="preserve">Senneferi belonged to the powerful bureaucratic elite that </w:t>
      </w:r>
      <w:r w:rsidRPr="11847A4B" w:rsidR="7430F1F5">
        <w:rPr>
          <w:sz w:val="22"/>
          <w:szCs w:val="22"/>
          <w:u w:val="none"/>
        </w:rPr>
        <w:t>emerged</w:t>
      </w:r>
      <w:r w:rsidRPr="11847A4B" w:rsidR="7430F1F5">
        <w:rPr>
          <w:sz w:val="22"/>
          <w:szCs w:val="22"/>
          <w:u w:val="none"/>
        </w:rPr>
        <w:t xml:space="preserve"> in the early New Kingdom, a period characterised by imperial expansion and administrative development. As chancellor, Senneferi </w:t>
      </w:r>
      <w:r w:rsidRPr="11847A4B" w:rsidR="7430F1F5">
        <w:rPr>
          <w:sz w:val="22"/>
          <w:szCs w:val="22"/>
          <w:u w:val="none"/>
        </w:rPr>
        <w:t>was responsible for</w:t>
      </w:r>
      <w:r w:rsidRPr="11847A4B" w:rsidR="7430F1F5">
        <w:rPr>
          <w:sz w:val="22"/>
          <w:szCs w:val="22"/>
          <w:u w:val="none"/>
        </w:rPr>
        <w:t xml:space="preserve"> managing royal resources and overseeing aspects of the state treasury and administrative systems</w:t>
      </w:r>
      <w:r w:rsidRPr="11847A4B">
        <w:rPr>
          <w:rStyle w:val="FootnoteReference"/>
          <w:sz w:val="22"/>
          <w:szCs w:val="22"/>
          <w:u w:val="none"/>
        </w:rPr>
        <w:footnoteReference w:id="14251"/>
      </w:r>
      <w:r w:rsidRPr="11847A4B" w:rsidR="7430F1F5">
        <w:rPr>
          <w:sz w:val="22"/>
          <w:szCs w:val="22"/>
          <w:u w:val="none"/>
        </w:rPr>
        <w:t xml:space="preserve">. In this role, he would </w:t>
      </w:r>
      <w:r w:rsidRPr="11847A4B" w:rsidR="7430F1F5">
        <w:rPr>
          <w:sz w:val="22"/>
          <w:szCs w:val="22"/>
          <w:u w:val="none"/>
        </w:rPr>
        <w:t>operate</w:t>
      </w:r>
      <w:r w:rsidRPr="11847A4B" w:rsidR="7430F1F5">
        <w:rPr>
          <w:sz w:val="22"/>
          <w:szCs w:val="22"/>
          <w:u w:val="none"/>
        </w:rPr>
        <w:t xml:space="preserve"> </w:t>
      </w:r>
      <w:r w:rsidRPr="11847A4B" w:rsidR="7430F1F5">
        <w:rPr>
          <w:sz w:val="22"/>
          <w:szCs w:val="22"/>
          <w:u w:val="none"/>
        </w:rPr>
        <w:t>in close proximity to</w:t>
      </w:r>
      <w:r w:rsidRPr="11847A4B" w:rsidR="7430F1F5">
        <w:rPr>
          <w:sz w:val="22"/>
          <w:szCs w:val="22"/>
          <w:u w:val="none"/>
        </w:rPr>
        <w:t xml:space="preserve"> the king and </w:t>
      </w:r>
      <w:r w:rsidRPr="11847A4B" w:rsidR="7430F1F5">
        <w:rPr>
          <w:sz w:val="22"/>
          <w:szCs w:val="22"/>
          <w:u w:val="none"/>
        </w:rPr>
        <w:t>likely exercised</w:t>
      </w:r>
      <w:r w:rsidRPr="11847A4B" w:rsidR="7430F1F5">
        <w:rPr>
          <w:sz w:val="22"/>
          <w:szCs w:val="22"/>
          <w:u w:val="none"/>
        </w:rPr>
        <w:t xml:space="preserve"> considerable authority within the government. </w:t>
      </w:r>
    </w:p>
    <w:p w:rsidR="7430F1F5" w:rsidP="11847A4B" w:rsidRDefault="7430F1F5" w14:paraId="06BCF899" w14:textId="0DA7616E">
      <w:pPr>
        <w:rPr>
          <w:sz w:val="20"/>
          <w:szCs w:val="20"/>
          <w:u w:val="none"/>
        </w:rPr>
      </w:pPr>
      <w:r w:rsidRPr="11847A4B" w:rsidR="7430F1F5">
        <w:rPr>
          <w:sz w:val="22"/>
          <w:szCs w:val="22"/>
          <w:u w:val="none"/>
        </w:rPr>
        <w:t>The New Kingdom saw the development of a distinct culture of elite commemoration in which officials constructed monumental tombs in the Theban necropolis. These tombs served as more than just burial places, often displaying the achievements and social standing of their inhabitants. As John H. Taylor has argued, funerary monuments in Egypt functioned not only as religious structures, but as expressions of social identity and status</w:t>
      </w:r>
      <w:r w:rsidRPr="11847A4B">
        <w:rPr>
          <w:rStyle w:val="FootnoteReference"/>
          <w:sz w:val="22"/>
          <w:szCs w:val="22"/>
          <w:u w:val="none"/>
        </w:rPr>
        <w:footnoteReference w:id="4542"/>
      </w:r>
      <w:r w:rsidRPr="11847A4B" w:rsidR="7430F1F5">
        <w:rPr>
          <w:sz w:val="22"/>
          <w:szCs w:val="22"/>
          <w:u w:val="none"/>
        </w:rPr>
        <w:t xml:space="preserve">. In this context, the tomb of Senneferi can be understood as a material reflection of his role within the administrative hierarchy of the Egyptian state. </w:t>
      </w:r>
    </w:p>
    <w:p w:rsidR="7430F1F5" w:rsidP="11847A4B" w:rsidRDefault="7430F1F5" w14:paraId="1AB8CD56" w14:textId="7CFDC117">
      <w:pPr>
        <w:rPr>
          <w:sz w:val="24"/>
          <w:szCs w:val="24"/>
          <w:u w:val="none"/>
        </w:rPr>
      </w:pPr>
      <w:r w:rsidRPr="11847A4B" w:rsidR="7430F1F5">
        <w:rPr>
          <w:sz w:val="24"/>
          <w:szCs w:val="24"/>
          <w:u w:val="single"/>
        </w:rPr>
        <w:t>Architectural Layout of TT99</w:t>
      </w:r>
    </w:p>
    <w:p w:rsidR="7430F1F5" w:rsidP="11847A4B" w:rsidRDefault="7430F1F5" w14:paraId="0D1DB9D8" w14:textId="4F901858">
      <w:pPr>
        <w:rPr>
          <w:sz w:val="20"/>
          <w:szCs w:val="20"/>
          <w:u w:val="none"/>
        </w:rPr>
      </w:pPr>
      <w:r w:rsidRPr="11847A4B" w:rsidR="7430F1F5">
        <w:rPr>
          <w:sz w:val="22"/>
          <w:szCs w:val="22"/>
          <w:u w:val="none"/>
        </w:rPr>
        <w:t xml:space="preserve">The architecture of TT99 demonstrates how elite officials of the New Kingdom used funerary monuments as carefully designed spaces that communicated wealth, authority, and religious legitimacy. The layout follows the general framework characteristic of private tombs constructed during this period. It consists of four </w:t>
      </w:r>
      <w:r w:rsidRPr="11847A4B" w:rsidR="3EFB4E42">
        <w:rPr>
          <w:sz w:val="22"/>
          <w:szCs w:val="22"/>
          <w:u w:val="none"/>
        </w:rPr>
        <w:t>principal</w:t>
      </w:r>
      <w:r w:rsidRPr="11847A4B" w:rsidR="7430F1F5">
        <w:rPr>
          <w:sz w:val="22"/>
          <w:szCs w:val="22"/>
          <w:u w:val="none"/>
        </w:rPr>
        <w:t xml:space="preserve"> components that Strudwick discusses in detail: a superstructure, an open courtyard, a rock-cut chapel used for funerary rites, and subterranean burial chambers intended to house the coffin and funerary equipment of the deceased</w:t>
      </w:r>
      <w:r w:rsidRPr="11847A4B" w:rsidR="7430F1F5">
        <w:rPr>
          <w:sz w:val="22"/>
          <w:szCs w:val="22"/>
          <w:u w:val="none"/>
        </w:rPr>
        <w:t xml:space="preserve">. While this arrangement was conventional for the time, the size and complexity of this tomb </w:t>
      </w:r>
      <w:r w:rsidRPr="11847A4B" w:rsidR="7430F1F5">
        <w:rPr>
          <w:sz w:val="22"/>
          <w:szCs w:val="22"/>
          <w:u w:val="none"/>
        </w:rPr>
        <w:t>indicates</w:t>
      </w:r>
      <w:r w:rsidRPr="11847A4B" w:rsidR="7430F1F5">
        <w:rPr>
          <w:sz w:val="22"/>
          <w:szCs w:val="22"/>
          <w:u w:val="none"/>
        </w:rPr>
        <w:t xml:space="preserve"> that Senneferi possessed significant resources. </w:t>
      </w:r>
    </w:p>
    <w:p w:rsidR="7430F1F5" w:rsidP="11847A4B" w:rsidRDefault="7430F1F5" w14:paraId="50B48258" w14:textId="33F33E9F">
      <w:pPr>
        <w:rPr>
          <w:sz w:val="20"/>
          <w:szCs w:val="20"/>
          <w:u w:val="single"/>
        </w:rPr>
      </w:pPr>
      <w:r w:rsidRPr="11847A4B" w:rsidR="7430F1F5">
        <w:rPr>
          <w:sz w:val="22"/>
          <w:szCs w:val="22"/>
          <w:u w:val="single"/>
        </w:rPr>
        <w:t>The Courtyard</w:t>
      </w:r>
    </w:p>
    <w:p w:rsidR="7430F1F5" w:rsidP="11847A4B" w:rsidRDefault="7430F1F5" w14:paraId="7DC7BD3B" w14:textId="0FE1D4A2">
      <w:pPr>
        <w:rPr>
          <w:sz w:val="20"/>
          <w:szCs w:val="20"/>
          <w:u w:val="none"/>
        </w:rPr>
      </w:pPr>
      <w:r w:rsidRPr="11847A4B" w:rsidR="7430F1F5">
        <w:rPr>
          <w:sz w:val="22"/>
          <w:szCs w:val="22"/>
          <w:u w:val="none"/>
        </w:rPr>
        <w:t xml:space="preserve">An open courtyard in the shape of an irregular rectangle begins the approach to the tomb. This forecourt illustrates the importance of public ritual space within elite funerary architecture and reflects the continued interaction between the living and the deceased in Egyptian funerary culture. Two depressions </w:t>
      </w:r>
      <w:r w:rsidRPr="11847A4B" w:rsidR="7430F1F5">
        <w:rPr>
          <w:sz w:val="22"/>
          <w:szCs w:val="22"/>
          <w:u w:val="none"/>
        </w:rPr>
        <w:t>containing</w:t>
      </w:r>
      <w:r w:rsidRPr="11847A4B" w:rsidR="7430F1F5">
        <w:rPr>
          <w:sz w:val="22"/>
          <w:szCs w:val="22"/>
          <w:u w:val="none"/>
        </w:rPr>
        <w:t xml:space="preserve"> earth and plant roots are cut from the bedrock close to the tomb doorway, the</w:t>
      </w:r>
      <w:r w:rsidRPr="11847A4B" w:rsidR="2F07E02A">
        <w:rPr>
          <w:sz w:val="22"/>
          <w:szCs w:val="22"/>
          <w:u w:val="none"/>
        </w:rPr>
        <w:t>se</w:t>
      </w:r>
      <w:r w:rsidRPr="11847A4B" w:rsidR="7430F1F5">
        <w:rPr>
          <w:sz w:val="22"/>
          <w:szCs w:val="22"/>
          <w:u w:val="none"/>
        </w:rPr>
        <w:t xml:space="preserve"> date to the 18th dynasty and are </w:t>
      </w:r>
      <w:r w:rsidRPr="11847A4B" w:rsidR="7430F1F5">
        <w:rPr>
          <w:sz w:val="22"/>
          <w:szCs w:val="22"/>
          <w:u w:val="none"/>
        </w:rPr>
        <w:t>possibly the</w:t>
      </w:r>
      <w:r w:rsidRPr="11847A4B" w:rsidR="7430F1F5">
        <w:rPr>
          <w:sz w:val="22"/>
          <w:szCs w:val="22"/>
          <w:u w:val="none"/>
        </w:rPr>
        <w:t xml:space="preserve"> earliest examples of such emplacements</w:t>
      </w:r>
      <w:r w:rsidRPr="11847A4B">
        <w:rPr>
          <w:rStyle w:val="FootnoteReference"/>
          <w:sz w:val="22"/>
          <w:szCs w:val="22"/>
          <w:u w:val="none"/>
        </w:rPr>
        <w:footnoteReference w:id="8476"/>
      </w:r>
      <w:r w:rsidRPr="11847A4B" w:rsidR="7430F1F5">
        <w:rPr>
          <w:sz w:val="22"/>
          <w:szCs w:val="22"/>
          <w:u w:val="none"/>
        </w:rPr>
        <w:t xml:space="preserve">. Such features were used to connect the tomb to Osiris, </w:t>
      </w:r>
      <w:r w:rsidRPr="11847A4B" w:rsidR="7430F1F5">
        <w:rPr>
          <w:sz w:val="22"/>
          <w:szCs w:val="22"/>
          <w:u w:val="none"/>
        </w:rPr>
        <w:t>indicating</w:t>
      </w:r>
      <w:r w:rsidRPr="11847A4B" w:rsidR="7430F1F5">
        <w:rPr>
          <w:sz w:val="22"/>
          <w:szCs w:val="22"/>
          <w:u w:val="none"/>
        </w:rPr>
        <w:t xml:space="preserve"> the importance of religious adherence as well as personal </w:t>
      </w:r>
      <w:bookmarkStart w:name="_Int_xHo3THIF" w:id="399278874"/>
      <w:r w:rsidRPr="11847A4B" w:rsidR="7430F1F5">
        <w:rPr>
          <w:sz w:val="22"/>
          <w:szCs w:val="22"/>
          <w:u w:val="none"/>
        </w:rPr>
        <w:t>monumentalisation</w:t>
      </w:r>
      <w:bookmarkEnd w:id="399278874"/>
      <w:r w:rsidRPr="11847A4B" w:rsidR="7430F1F5">
        <w:rPr>
          <w:sz w:val="22"/>
          <w:szCs w:val="22"/>
          <w:u w:val="none"/>
        </w:rPr>
        <w:t xml:space="preserve">. Courtyards in </w:t>
      </w:r>
      <w:r w:rsidRPr="11847A4B" w:rsidR="0AE8BD89">
        <w:rPr>
          <w:sz w:val="22"/>
          <w:szCs w:val="22"/>
          <w:u w:val="none"/>
        </w:rPr>
        <w:t>elite</w:t>
      </w:r>
      <w:r w:rsidRPr="11847A4B" w:rsidR="7430F1F5">
        <w:rPr>
          <w:sz w:val="22"/>
          <w:szCs w:val="22"/>
          <w:u w:val="none"/>
        </w:rPr>
        <w:t xml:space="preserve"> tombs were not merely architectural flourishes but formed part of the ritual landscape associated with funerary activities. Offerings to the deceased could be conducted within this open space, allowing contact between the living and deceased. </w:t>
      </w:r>
    </w:p>
    <w:p w:rsidR="7430F1F5" w:rsidP="11847A4B" w:rsidRDefault="7430F1F5" w14:paraId="5DC31056" w14:textId="6C413E4D">
      <w:pPr>
        <w:rPr>
          <w:sz w:val="20"/>
          <w:szCs w:val="20"/>
          <w:u w:val="none"/>
        </w:rPr>
      </w:pPr>
      <w:r w:rsidRPr="11847A4B" w:rsidR="7430F1F5">
        <w:rPr>
          <w:sz w:val="22"/>
          <w:szCs w:val="22"/>
          <w:u w:val="none"/>
        </w:rPr>
        <w:t xml:space="preserve">Archaeological excavations conducted by the Cambridge Theban Tombs Project revealed that the courtyard </w:t>
      </w:r>
      <w:r w:rsidRPr="11847A4B" w:rsidR="7430F1F5">
        <w:rPr>
          <w:sz w:val="22"/>
          <w:szCs w:val="22"/>
          <w:u w:val="none"/>
        </w:rPr>
        <w:t>contained</w:t>
      </w:r>
      <w:r w:rsidRPr="11847A4B" w:rsidR="7430F1F5">
        <w:rPr>
          <w:sz w:val="22"/>
          <w:szCs w:val="22"/>
          <w:u w:val="none"/>
        </w:rPr>
        <w:t xml:space="preserve"> three main shafts</w:t>
      </w:r>
      <w:r w:rsidRPr="11847A4B" w:rsidR="7430F1F5">
        <w:rPr>
          <w:sz w:val="22"/>
          <w:szCs w:val="22"/>
          <w:u w:val="none"/>
        </w:rPr>
        <w:t xml:space="preserve">, only one of which was ever completed, leading to burial chambers. Deposited within these shafts and throughout the courtyard were substantial accumulations of pottery and other debris resulting from both ancient and later activity. The presence of multiple shafts within the courtyard also suggests that the tomb complex was used for </w:t>
      </w:r>
      <w:r w:rsidRPr="11847A4B" w:rsidR="7430F1F5">
        <w:rPr>
          <w:sz w:val="22"/>
          <w:szCs w:val="22"/>
          <w:u w:val="none"/>
        </w:rPr>
        <w:t>additional</w:t>
      </w:r>
      <w:r w:rsidRPr="11847A4B" w:rsidR="7430F1F5">
        <w:rPr>
          <w:sz w:val="22"/>
          <w:szCs w:val="22"/>
          <w:u w:val="none"/>
        </w:rPr>
        <w:t xml:space="preserve"> burials </w:t>
      </w:r>
      <w:r w:rsidRPr="11847A4B" w:rsidR="66B89DD9">
        <w:rPr>
          <w:sz w:val="22"/>
          <w:szCs w:val="22"/>
          <w:u w:val="none"/>
        </w:rPr>
        <w:t xml:space="preserve">or deposits </w:t>
      </w:r>
      <w:r w:rsidRPr="11847A4B" w:rsidR="7430F1F5">
        <w:rPr>
          <w:sz w:val="22"/>
          <w:szCs w:val="22"/>
          <w:u w:val="none"/>
        </w:rPr>
        <w:t xml:space="preserve">during later periods, </w:t>
      </w:r>
      <w:r w:rsidRPr="11847A4B" w:rsidR="7430F1F5">
        <w:rPr>
          <w:sz w:val="22"/>
          <w:szCs w:val="22"/>
          <w:u w:val="none"/>
        </w:rPr>
        <w:t>indicating</w:t>
      </w:r>
      <w:r w:rsidRPr="11847A4B" w:rsidR="7430F1F5">
        <w:rPr>
          <w:sz w:val="22"/>
          <w:szCs w:val="22"/>
          <w:u w:val="none"/>
        </w:rPr>
        <w:t xml:space="preserve"> the long-term significance of the site within the wider necropolis. </w:t>
      </w:r>
    </w:p>
    <w:p w:rsidR="7430F1F5" w:rsidP="11847A4B" w:rsidRDefault="7430F1F5" w14:paraId="3222901C" w14:textId="4A5894F4">
      <w:pPr>
        <w:rPr>
          <w:sz w:val="20"/>
          <w:szCs w:val="20"/>
          <w:u w:val="single"/>
        </w:rPr>
      </w:pPr>
      <w:r w:rsidRPr="11847A4B" w:rsidR="7430F1F5">
        <w:rPr>
          <w:sz w:val="22"/>
          <w:szCs w:val="22"/>
          <w:u w:val="single"/>
        </w:rPr>
        <w:t>The Chapel</w:t>
      </w:r>
    </w:p>
    <w:p w:rsidR="7430F1F5" w:rsidP="11847A4B" w:rsidRDefault="7430F1F5" w14:paraId="4005A410" w14:textId="4BCD4AC1">
      <w:pPr>
        <w:rPr>
          <w:sz w:val="20"/>
          <w:szCs w:val="20"/>
          <w:u w:val="none"/>
        </w:rPr>
      </w:pPr>
      <w:r w:rsidRPr="11847A4B" w:rsidR="7430F1F5">
        <w:rPr>
          <w:sz w:val="22"/>
          <w:szCs w:val="22"/>
          <w:u w:val="none"/>
        </w:rPr>
        <w:t xml:space="preserve">Beyond the courtyard lies the rock-cut chapel of TT99, which follows the conventional inverted T-shape common to many of the private tombs dating to the New Kingdom. The chapel consists of two rectangular wings cut into the rock and separated by the entrance, with emplacements cut into the walls at either side of the room that Strudwick suggests were used for stelae and false doors. A long rectangular shaped passage leads to a rear chamber </w:t>
      </w:r>
      <w:r w:rsidRPr="11847A4B" w:rsidR="7430F1F5">
        <w:rPr>
          <w:sz w:val="22"/>
          <w:szCs w:val="22"/>
          <w:u w:val="none"/>
        </w:rPr>
        <w:t>containing</w:t>
      </w:r>
      <w:r w:rsidRPr="11847A4B" w:rsidR="7430F1F5">
        <w:rPr>
          <w:sz w:val="22"/>
          <w:szCs w:val="22"/>
          <w:u w:val="none"/>
        </w:rPr>
        <w:t xml:space="preserve"> fractured pillars and a statue niche</w:t>
      </w:r>
      <w:r w:rsidRPr="11847A4B">
        <w:rPr>
          <w:rStyle w:val="FootnoteReference"/>
          <w:sz w:val="22"/>
          <w:szCs w:val="22"/>
          <w:u w:val="none"/>
        </w:rPr>
        <w:footnoteReference w:id="16666"/>
      </w:r>
      <w:r w:rsidRPr="11847A4B" w:rsidR="68A8F057">
        <w:rPr>
          <w:sz w:val="22"/>
          <w:szCs w:val="22"/>
          <w:u w:val="none"/>
        </w:rPr>
        <w:t>. This architectural arrangement created a sequence of ritual spaces culminating in the innermost ‘shrine</w:t>
      </w:r>
      <w:r w:rsidRPr="11847A4B" w:rsidR="68A8F057">
        <w:rPr>
          <w:sz w:val="22"/>
          <w:szCs w:val="22"/>
          <w:u w:val="none"/>
        </w:rPr>
        <w:t>’.</w:t>
      </w:r>
      <w:r w:rsidRPr="11847A4B" w:rsidR="68A8F057">
        <w:rPr>
          <w:sz w:val="22"/>
          <w:szCs w:val="22"/>
          <w:u w:val="none"/>
        </w:rPr>
        <w:t xml:space="preserve"> The central niche </w:t>
      </w:r>
      <w:r w:rsidRPr="11847A4B" w:rsidR="44D41420">
        <w:rPr>
          <w:sz w:val="22"/>
          <w:szCs w:val="22"/>
          <w:u w:val="none"/>
        </w:rPr>
        <w:t xml:space="preserve">of which </w:t>
      </w:r>
      <w:r w:rsidRPr="11847A4B" w:rsidR="68A8F057">
        <w:rPr>
          <w:sz w:val="22"/>
          <w:szCs w:val="22"/>
          <w:u w:val="none"/>
        </w:rPr>
        <w:t>likely held</w:t>
      </w:r>
      <w:r w:rsidRPr="11847A4B" w:rsidR="68A8F057">
        <w:rPr>
          <w:sz w:val="22"/>
          <w:szCs w:val="22"/>
          <w:u w:val="none"/>
        </w:rPr>
        <w:t xml:space="preserve"> a statue of Senneferi and functioned as a focal point for the reception of offerings, thus allowing the spirit of the deceased to </w:t>
      </w:r>
      <w:r w:rsidRPr="11847A4B" w:rsidR="68A8F057">
        <w:rPr>
          <w:sz w:val="22"/>
          <w:szCs w:val="22"/>
          <w:u w:val="none"/>
        </w:rPr>
        <w:t>participate</w:t>
      </w:r>
      <w:r w:rsidRPr="11847A4B" w:rsidR="68A8F057">
        <w:rPr>
          <w:sz w:val="22"/>
          <w:szCs w:val="22"/>
          <w:u w:val="none"/>
        </w:rPr>
        <w:t xml:space="preserve"> in rituals performed by the living. The placement of the statue within the shrine emphasised the continuing presence of the tomb owner within the ritual space. </w:t>
      </w:r>
    </w:p>
    <w:p w:rsidR="68A8F057" w:rsidP="11847A4B" w:rsidRDefault="68A8F057" w14:paraId="47B9D11F" w14:textId="6B646514">
      <w:pPr>
        <w:rPr>
          <w:sz w:val="20"/>
          <w:szCs w:val="20"/>
          <w:u w:val="none"/>
        </w:rPr>
      </w:pPr>
      <w:r w:rsidRPr="11847A4B" w:rsidR="68A8F057">
        <w:rPr>
          <w:sz w:val="22"/>
          <w:szCs w:val="22"/>
          <w:u w:val="none"/>
        </w:rPr>
        <w:t>Although much of decoration in the chapel has been damaged or destroyed, Strudwick found no evidence of deliberate cutting out, and the surviving fragments provide valuable evidence concerning the original decorative framework. Scenes depicting funerary processions, rituals, and episodes from the life of Senneferi once covered the walls and roof of the chapel space. These images served both religious and commemorative purposes in ensuring the continuation of the funerary cult by depicting offerings presented to the deceased, while also commemorating Senneferi’s individual achievements and reinforcing his status within Egyptian society</w:t>
      </w:r>
      <w:r w:rsidRPr="11847A4B">
        <w:rPr>
          <w:rStyle w:val="FootnoteReference"/>
          <w:sz w:val="22"/>
          <w:szCs w:val="22"/>
          <w:u w:val="none"/>
        </w:rPr>
        <w:footnoteReference w:id="1245"/>
      </w:r>
      <w:r w:rsidRPr="11847A4B" w:rsidR="68A8F057">
        <w:rPr>
          <w:sz w:val="22"/>
          <w:szCs w:val="22"/>
          <w:u w:val="none"/>
        </w:rPr>
        <w:t xml:space="preserve">. This </w:t>
      </w:r>
      <w:r w:rsidRPr="11847A4B" w:rsidR="68A8F057">
        <w:rPr>
          <w:sz w:val="22"/>
          <w:szCs w:val="22"/>
          <w:u w:val="none"/>
        </w:rPr>
        <w:t>demonstrates</w:t>
      </w:r>
      <w:r w:rsidRPr="11847A4B" w:rsidR="68A8F057">
        <w:rPr>
          <w:sz w:val="22"/>
          <w:szCs w:val="22"/>
          <w:u w:val="none"/>
        </w:rPr>
        <w:t xml:space="preserve"> how the rock-cut chapel formed the ideological centre of the tomb, where architecture, decoration, and sustained ritual practice combined to reinforce </w:t>
      </w:r>
      <w:bookmarkStart w:name="_Int_8szJRnYk" w:id="1015371145"/>
      <w:r w:rsidRPr="11847A4B" w:rsidR="68A8F057">
        <w:rPr>
          <w:sz w:val="22"/>
          <w:szCs w:val="22"/>
          <w:u w:val="none"/>
        </w:rPr>
        <w:t>Senneferi’s</w:t>
      </w:r>
      <w:bookmarkEnd w:id="1015371145"/>
      <w:r w:rsidRPr="11847A4B" w:rsidR="68A8F057">
        <w:rPr>
          <w:sz w:val="22"/>
          <w:szCs w:val="22"/>
          <w:u w:val="none"/>
        </w:rPr>
        <w:t xml:space="preserve"> identity as both an elite official and a participant in the religious order of the Egyptian state. </w:t>
      </w:r>
    </w:p>
    <w:p w:rsidR="68A8F057" w:rsidP="11847A4B" w:rsidRDefault="68A8F057" w14:paraId="0B91F48C" w14:textId="5B5C0CD0">
      <w:pPr>
        <w:rPr>
          <w:sz w:val="20"/>
          <w:szCs w:val="20"/>
          <w:u w:val="single"/>
        </w:rPr>
      </w:pPr>
      <w:r w:rsidRPr="11847A4B" w:rsidR="68A8F057">
        <w:rPr>
          <w:sz w:val="22"/>
          <w:szCs w:val="22"/>
          <w:u w:val="single"/>
        </w:rPr>
        <w:t>The Burial Chambers</w:t>
      </w:r>
    </w:p>
    <w:p w:rsidR="68A8F057" w:rsidP="11847A4B" w:rsidRDefault="68A8F057" w14:paraId="6A11D136" w14:textId="23F7D0C4">
      <w:pPr>
        <w:rPr>
          <w:sz w:val="20"/>
          <w:szCs w:val="20"/>
          <w:u w:val="none"/>
        </w:rPr>
      </w:pPr>
      <w:r w:rsidRPr="11847A4B" w:rsidR="68A8F057">
        <w:rPr>
          <w:sz w:val="22"/>
          <w:szCs w:val="22"/>
          <w:u w:val="none"/>
        </w:rPr>
        <w:t xml:space="preserve">The burial chambers of TT99 were </w:t>
      </w:r>
      <w:r w:rsidRPr="11847A4B" w:rsidR="68A8F057">
        <w:rPr>
          <w:sz w:val="22"/>
          <w:szCs w:val="22"/>
          <w:u w:val="none"/>
        </w:rPr>
        <w:t>located</w:t>
      </w:r>
      <w:r w:rsidRPr="11847A4B" w:rsidR="68A8F057">
        <w:rPr>
          <w:sz w:val="22"/>
          <w:szCs w:val="22"/>
          <w:u w:val="none"/>
        </w:rPr>
        <w:t xml:space="preserve"> beneath the chapel and accessed through the main shafts referenced above. These subterranean spaces originally housed the coffin of Senneferi and the objects placed within his burial. As with many tombs in the Sheikh Abd </w:t>
      </w:r>
      <w:r w:rsidRPr="11847A4B" w:rsidR="68A8F057">
        <w:rPr>
          <w:sz w:val="22"/>
          <w:szCs w:val="22"/>
          <w:u w:val="none"/>
        </w:rPr>
        <w:t>el</w:t>
      </w:r>
      <w:r w:rsidRPr="11847A4B" w:rsidR="68A8F057">
        <w:rPr>
          <w:sz w:val="22"/>
          <w:szCs w:val="22"/>
          <w:u w:val="none"/>
        </w:rPr>
        <w:t xml:space="preserve">-Qurna necropolis, the site had been robbed throughout </w:t>
      </w:r>
      <w:r w:rsidRPr="11847A4B" w:rsidR="1C7B57FD">
        <w:rPr>
          <w:sz w:val="22"/>
          <w:szCs w:val="22"/>
          <w:u w:val="none"/>
        </w:rPr>
        <w:t>antiquity,</w:t>
      </w:r>
      <w:r w:rsidRPr="11847A4B" w:rsidR="68A8F057">
        <w:rPr>
          <w:sz w:val="22"/>
          <w:szCs w:val="22"/>
          <w:u w:val="none"/>
        </w:rPr>
        <w:t xml:space="preserve"> and the chambers were later reused and disturbed during </w:t>
      </w:r>
      <w:r w:rsidRPr="11847A4B" w:rsidR="68A8F057">
        <w:rPr>
          <w:sz w:val="22"/>
          <w:szCs w:val="22"/>
          <w:u w:val="none"/>
        </w:rPr>
        <w:t>subsequent</w:t>
      </w:r>
      <w:r w:rsidRPr="11847A4B" w:rsidR="68A8F057">
        <w:rPr>
          <w:sz w:val="22"/>
          <w:szCs w:val="22"/>
          <w:u w:val="none"/>
        </w:rPr>
        <w:t xml:space="preserve"> periods. </w:t>
      </w:r>
    </w:p>
    <w:p w:rsidR="68A8F057" w:rsidP="11847A4B" w:rsidRDefault="68A8F057" w14:paraId="45FBF8BE" w14:textId="5ECE9C2F">
      <w:pPr>
        <w:rPr>
          <w:sz w:val="20"/>
          <w:szCs w:val="20"/>
          <w:u w:val="none"/>
        </w:rPr>
      </w:pPr>
      <w:r w:rsidRPr="11847A4B" w:rsidR="68A8F057">
        <w:rPr>
          <w:sz w:val="22"/>
          <w:szCs w:val="22"/>
          <w:u w:val="none"/>
        </w:rPr>
        <w:t xml:space="preserve">Despite this disturbance, excavations of the shafts leading to the burial chambers revealed </w:t>
      </w:r>
      <w:r w:rsidRPr="11847A4B" w:rsidR="68A8F057">
        <w:rPr>
          <w:sz w:val="22"/>
          <w:szCs w:val="22"/>
          <w:u w:val="none"/>
        </w:rPr>
        <w:t>numerous</w:t>
      </w:r>
      <w:r w:rsidRPr="11847A4B" w:rsidR="68A8F057">
        <w:rPr>
          <w:sz w:val="22"/>
          <w:szCs w:val="22"/>
          <w:u w:val="none"/>
        </w:rPr>
        <w:t xml:space="preserve"> fragments of funerary equipment, including coffin fragments, wooden boxes, and other burial materials. These remains </w:t>
      </w:r>
      <w:r w:rsidRPr="11847A4B" w:rsidR="68A8F057">
        <w:rPr>
          <w:sz w:val="22"/>
          <w:szCs w:val="22"/>
          <w:u w:val="none"/>
        </w:rPr>
        <w:t>indicate</w:t>
      </w:r>
      <w:r w:rsidRPr="11847A4B" w:rsidR="68A8F057">
        <w:rPr>
          <w:sz w:val="22"/>
          <w:szCs w:val="22"/>
          <w:u w:val="none"/>
        </w:rPr>
        <w:t xml:space="preserve"> that the original burial assemblage was </w:t>
      </w:r>
      <w:r w:rsidRPr="11847A4B" w:rsidR="68A8F057">
        <w:rPr>
          <w:sz w:val="22"/>
          <w:szCs w:val="22"/>
          <w:u w:val="none"/>
        </w:rPr>
        <w:t>substantial</w:t>
      </w:r>
      <w:r w:rsidRPr="11847A4B" w:rsidR="68A8F057">
        <w:rPr>
          <w:sz w:val="22"/>
          <w:szCs w:val="22"/>
          <w:u w:val="none"/>
        </w:rPr>
        <w:t xml:space="preserve"> and </w:t>
      </w:r>
      <w:r w:rsidRPr="11847A4B" w:rsidR="68A8F057">
        <w:rPr>
          <w:sz w:val="22"/>
          <w:szCs w:val="22"/>
          <w:u w:val="none"/>
        </w:rPr>
        <w:t>likely comparable</w:t>
      </w:r>
      <w:r w:rsidRPr="11847A4B" w:rsidR="68A8F057">
        <w:rPr>
          <w:sz w:val="22"/>
          <w:szCs w:val="22"/>
          <w:u w:val="none"/>
        </w:rPr>
        <w:t xml:space="preserve"> to those of other elite officials of the period. </w:t>
      </w:r>
    </w:p>
    <w:p w:rsidR="68A8F057" w:rsidP="11847A4B" w:rsidRDefault="68A8F057" w14:paraId="68BF69B5" w14:textId="38223355">
      <w:pPr>
        <w:rPr>
          <w:sz w:val="24"/>
          <w:szCs w:val="24"/>
          <w:u w:val="none"/>
        </w:rPr>
      </w:pPr>
      <w:r w:rsidRPr="11847A4B" w:rsidR="68A8F057">
        <w:rPr>
          <w:sz w:val="24"/>
          <w:szCs w:val="24"/>
          <w:u w:val="single"/>
        </w:rPr>
        <w:t>Archaeological Finds from the tomb</w:t>
      </w:r>
    </w:p>
    <w:p w:rsidR="68A8F057" w:rsidP="11847A4B" w:rsidRDefault="68A8F057" w14:paraId="55580884" w14:textId="3EB1FD68">
      <w:pPr>
        <w:rPr>
          <w:sz w:val="20"/>
          <w:szCs w:val="20"/>
          <w:u w:val="none"/>
        </w:rPr>
      </w:pPr>
      <w:r w:rsidRPr="11847A4B" w:rsidR="68A8F057">
        <w:rPr>
          <w:sz w:val="22"/>
          <w:szCs w:val="22"/>
          <w:u w:val="none"/>
        </w:rPr>
        <w:t xml:space="preserve">The material </w:t>
      </w:r>
      <w:r w:rsidRPr="11847A4B" w:rsidR="68A8F057">
        <w:rPr>
          <w:sz w:val="22"/>
          <w:szCs w:val="22"/>
          <w:u w:val="none"/>
        </w:rPr>
        <w:t>remains</w:t>
      </w:r>
      <w:r w:rsidRPr="11847A4B" w:rsidR="68A8F057">
        <w:rPr>
          <w:sz w:val="22"/>
          <w:szCs w:val="22"/>
          <w:u w:val="none"/>
        </w:rPr>
        <w:t xml:space="preserve"> recovered from TT99 </w:t>
      </w:r>
      <w:r w:rsidRPr="11847A4B" w:rsidR="68A8F057">
        <w:rPr>
          <w:sz w:val="22"/>
          <w:szCs w:val="22"/>
          <w:u w:val="none"/>
        </w:rPr>
        <w:t>provide</w:t>
      </w:r>
      <w:r w:rsidRPr="11847A4B" w:rsidR="68A8F057">
        <w:rPr>
          <w:sz w:val="22"/>
          <w:szCs w:val="22"/>
          <w:u w:val="none"/>
        </w:rPr>
        <w:t xml:space="preserve"> significant insight into the funerary practices associated with </w:t>
      </w:r>
      <w:r w:rsidRPr="11847A4B" w:rsidR="68A8F057">
        <w:rPr>
          <w:sz w:val="22"/>
          <w:szCs w:val="22"/>
          <w:u w:val="none"/>
        </w:rPr>
        <w:t>Senneferi’s</w:t>
      </w:r>
      <w:r w:rsidRPr="11847A4B" w:rsidR="68A8F057">
        <w:rPr>
          <w:sz w:val="22"/>
          <w:szCs w:val="22"/>
          <w:u w:val="none"/>
        </w:rPr>
        <w:t xml:space="preserve"> burial and continuing commemoration. </w:t>
      </w:r>
    </w:p>
    <w:p w:rsidR="68A8F057" w:rsidP="11847A4B" w:rsidRDefault="68A8F057" w14:paraId="1DF053ED" w14:textId="26C934DD">
      <w:pPr>
        <w:rPr>
          <w:sz w:val="20"/>
          <w:szCs w:val="20"/>
          <w:u w:val="single"/>
        </w:rPr>
      </w:pPr>
      <w:r w:rsidRPr="11847A4B" w:rsidR="68A8F057">
        <w:rPr>
          <w:sz w:val="22"/>
          <w:szCs w:val="22"/>
          <w:u w:val="single"/>
        </w:rPr>
        <w:t>Ritual Implements</w:t>
      </w:r>
    </w:p>
    <w:p w:rsidR="68A8F057" w:rsidP="11847A4B" w:rsidRDefault="68A8F057" w14:paraId="035E7B5A" w14:textId="58B252B6">
      <w:pPr>
        <w:rPr>
          <w:sz w:val="20"/>
          <w:szCs w:val="20"/>
          <w:u w:val="none"/>
        </w:rPr>
      </w:pPr>
      <w:r w:rsidRPr="11847A4B" w:rsidR="68A8F057">
        <w:rPr>
          <w:sz w:val="22"/>
          <w:szCs w:val="22"/>
          <w:u w:val="none"/>
        </w:rPr>
        <w:t>One of the most significant discoveries from the excavation was a set of implements associated with the ‘Opening of the Mouth’ ritual. This ceremony was a central element of Egyptian funerary practice and was performed with the belief that it would restore the senses of the deceased so that they could breathe, see, and eat in the afterlife</w:t>
      </w:r>
      <w:r w:rsidRPr="11847A4B">
        <w:rPr>
          <w:rStyle w:val="FootnoteReference"/>
          <w:sz w:val="22"/>
          <w:szCs w:val="22"/>
          <w:u w:val="none"/>
        </w:rPr>
        <w:footnoteReference w:id="4970"/>
      </w:r>
      <w:r w:rsidRPr="11847A4B" w:rsidR="68A8F057">
        <w:rPr>
          <w:sz w:val="22"/>
          <w:szCs w:val="22"/>
          <w:u w:val="none"/>
        </w:rPr>
        <w:t xml:space="preserve">. </w:t>
      </w:r>
    </w:p>
    <w:p w:rsidR="68A8F057" w:rsidP="11847A4B" w:rsidRDefault="68A8F057" w14:paraId="7F3A60F1" w14:textId="531EC0C2">
      <w:pPr>
        <w:rPr>
          <w:sz w:val="20"/>
          <w:szCs w:val="20"/>
          <w:u w:val="none"/>
        </w:rPr>
      </w:pPr>
      <w:r w:rsidRPr="11847A4B" w:rsidR="68A8F057">
        <w:rPr>
          <w:sz w:val="22"/>
          <w:szCs w:val="22"/>
          <w:u w:val="none"/>
        </w:rPr>
        <w:t xml:space="preserve">Among the objects </w:t>
      </w:r>
      <w:r w:rsidRPr="11847A4B" w:rsidR="68A8F057">
        <w:rPr>
          <w:sz w:val="22"/>
          <w:szCs w:val="22"/>
          <w:u w:val="none"/>
        </w:rPr>
        <w:t>identified</w:t>
      </w:r>
      <w:r w:rsidRPr="11847A4B" w:rsidR="68A8F057">
        <w:rPr>
          <w:sz w:val="22"/>
          <w:szCs w:val="22"/>
          <w:u w:val="none"/>
        </w:rPr>
        <w:t xml:space="preserve"> were ceremonial tools used during the ritual such as ivory adzes. The presence of these instruments </w:t>
      </w:r>
      <w:r w:rsidRPr="11847A4B" w:rsidR="68A8F057">
        <w:rPr>
          <w:sz w:val="22"/>
          <w:szCs w:val="22"/>
          <w:u w:val="none"/>
        </w:rPr>
        <w:t>demonstrates</w:t>
      </w:r>
      <w:r w:rsidRPr="11847A4B" w:rsidR="68A8F057">
        <w:rPr>
          <w:sz w:val="22"/>
          <w:szCs w:val="22"/>
          <w:u w:val="none"/>
        </w:rPr>
        <w:t xml:space="preserve"> that </w:t>
      </w:r>
      <w:r w:rsidRPr="11847A4B" w:rsidR="68A8F057">
        <w:rPr>
          <w:sz w:val="22"/>
          <w:szCs w:val="22"/>
          <w:u w:val="none"/>
        </w:rPr>
        <w:t>Senneferi’s</w:t>
      </w:r>
      <w:r w:rsidRPr="11847A4B" w:rsidR="68A8F057">
        <w:rPr>
          <w:sz w:val="22"/>
          <w:szCs w:val="22"/>
          <w:u w:val="none"/>
        </w:rPr>
        <w:t xml:space="preserve"> burial involved elaborate religious ceremonies </w:t>
      </w:r>
      <w:r w:rsidRPr="11847A4B" w:rsidR="68A8F057">
        <w:rPr>
          <w:sz w:val="22"/>
          <w:szCs w:val="22"/>
          <w:u w:val="none"/>
        </w:rPr>
        <w:t>likely conducted</w:t>
      </w:r>
      <w:r w:rsidRPr="11847A4B" w:rsidR="68A8F057">
        <w:rPr>
          <w:sz w:val="22"/>
          <w:szCs w:val="22"/>
          <w:u w:val="none"/>
        </w:rPr>
        <w:t xml:space="preserve"> by trained individuals. Such rituals were typically associated with elite burials and reinforced the understanding of Senneferi as a member of the highest administrative class. </w:t>
      </w:r>
    </w:p>
    <w:p w:rsidR="68A8F057" w:rsidP="11847A4B" w:rsidRDefault="68A8F057" w14:paraId="498F5724" w14:textId="17D66D3F">
      <w:pPr>
        <w:rPr>
          <w:sz w:val="20"/>
          <w:szCs w:val="20"/>
          <w:u w:val="single"/>
        </w:rPr>
      </w:pPr>
      <w:r w:rsidRPr="11847A4B" w:rsidR="68A8F057">
        <w:rPr>
          <w:sz w:val="22"/>
          <w:szCs w:val="22"/>
          <w:u w:val="single"/>
        </w:rPr>
        <w:t>Burial Equipment</w:t>
      </w:r>
    </w:p>
    <w:p w:rsidR="68A8F057" w:rsidP="11847A4B" w:rsidRDefault="68A8F057" w14:paraId="5B427664" w14:textId="03FC6056">
      <w:pPr>
        <w:rPr>
          <w:sz w:val="20"/>
          <w:szCs w:val="20"/>
          <w:u w:val="none"/>
        </w:rPr>
      </w:pPr>
      <w:r w:rsidRPr="11847A4B" w:rsidR="68A8F057">
        <w:rPr>
          <w:sz w:val="22"/>
          <w:szCs w:val="22"/>
          <w:u w:val="none"/>
        </w:rPr>
        <w:t>Additional</w:t>
      </w:r>
      <w:r w:rsidRPr="11847A4B" w:rsidR="68A8F057">
        <w:rPr>
          <w:sz w:val="22"/>
          <w:szCs w:val="22"/>
          <w:u w:val="none"/>
        </w:rPr>
        <w:t xml:space="preserve"> finds from the tomb include fragments of wooden boxes, canopic equipment, and stone vessels used to store oils and perfumes. Stone vessels including alabaster containers </w:t>
      </w:r>
      <w:r w:rsidRPr="11847A4B" w:rsidR="68A8F057">
        <w:rPr>
          <w:sz w:val="22"/>
          <w:szCs w:val="22"/>
          <w:u w:val="none"/>
        </w:rPr>
        <w:t>likely used</w:t>
      </w:r>
      <w:r w:rsidRPr="11847A4B" w:rsidR="68A8F057">
        <w:rPr>
          <w:sz w:val="22"/>
          <w:szCs w:val="22"/>
          <w:u w:val="none"/>
        </w:rPr>
        <w:t xml:space="preserve"> to store ritual oils associated with the burial were also </w:t>
      </w:r>
      <w:r w:rsidRPr="11847A4B" w:rsidR="68A8F057">
        <w:rPr>
          <w:sz w:val="22"/>
          <w:szCs w:val="22"/>
          <w:u w:val="none"/>
        </w:rPr>
        <w:t>identified</w:t>
      </w:r>
      <w:r w:rsidRPr="11847A4B" w:rsidR="68A8F057">
        <w:rPr>
          <w:sz w:val="22"/>
          <w:szCs w:val="22"/>
          <w:u w:val="none"/>
        </w:rPr>
        <w:t xml:space="preserve">. The burial assemblage discovered in TT99 provides crucial evidence for how elite Egyptians materially prepared for the afterlife and </w:t>
      </w:r>
      <w:r w:rsidRPr="11847A4B" w:rsidR="68A8F057">
        <w:rPr>
          <w:sz w:val="22"/>
          <w:szCs w:val="22"/>
          <w:u w:val="none"/>
        </w:rPr>
        <w:t>subsequent</w:t>
      </w:r>
      <w:r w:rsidRPr="11847A4B" w:rsidR="68A8F057">
        <w:rPr>
          <w:sz w:val="22"/>
          <w:szCs w:val="22"/>
          <w:u w:val="none"/>
        </w:rPr>
        <w:t xml:space="preserve"> ceremonies, revealing both the wealth of Senneferi and his participation in </w:t>
      </w:r>
      <w:r w:rsidRPr="11847A4B" w:rsidR="68A8F057">
        <w:rPr>
          <w:sz w:val="22"/>
          <w:szCs w:val="22"/>
          <w:u w:val="none"/>
        </w:rPr>
        <w:t>established</w:t>
      </w:r>
      <w:r w:rsidRPr="11847A4B" w:rsidR="68A8F057">
        <w:rPr>
          <w:sz w:val="22"/>
          <w:szCs w:val="22"/>
          <w:u w:val="none"/>
        </w:rPr>
        <w:t xml:space="preserve"> religious practices. </w:t>
      </w:r>
    </w:p>
    <w:p w:rsidR="68A8F057" w:rsidP="11847A4B" w:rsidRDefault="68A8F057" w14:paraId="346F5E4E" w14:textId="192528A2">
      <w:pPr>
        <w:rPr>
          <w:sz w:val="20"/>
          <w:szCs w:val="20"/>
          <w:u w:val="none"/>
        </w:rPr>
      </w:pPr>
      <w:r w:rsidRPr="11847A4B" w:rsidR="68A8F057">
        <w:rPr>
          <w:sz w:val="22"/>
          <w:szCs w:val="22"/>
          <w:u w:val="none"/>
        </w:rPr>
        <w:t>Taylor emphasises that the objects placed within Egyptian burials were intended to provide the deceased with the resources necessary for existence in the afterlife</w:t>
      </w:r>
      <w:r w:rsidRPr="11847A4B">
        <w:rPr>
          <w:rStyle w:val="FootnoteReference"/>
          <w:sz w:val="22"/>
          <w:szCs w:val="22"/>
          <w:u w:val="none"/>
        </w:rPr>
        <w:footnoteReference w:id="10616"/>
      </w:r>
      <w:r w:rsidRPr="11847A4B" w:rsidR="68A8F057">
        <w:rPr>
          <w:sz w:val="22"/>
          <w:szCs w:val="22"/>
          <w:u w:val="none"/>
        </w:rPr>
        <w:t xml:space="preserve">. Items such as vessels, oils, and ritual objects were therefore not merely </w:t>
      </w:r>
      <w:r w:rsidRPr="11847A4B" w:rsidR="11F8EDD6">
        <w:rPr>
          <w:sz w:val="22"/>
          <w:szCs w:val="22"/>
          <w:u w:val="none"/>
        </w:rPr>
        <w:t>symbolic,</w:t>
      </w:r>
      <w:r w:rsidRPr="11847A4B" w:rsidR="68A8F057">
        <w:rPr>
          <w:sz w:val="22"/>
          <w:szCs w:val="22"/>
          <w:u w:val="none"/>
        </w:rPr>
        <w:t xml:space="preserve"> but part of a carefully constructed assemblage designed to ensure the continued well-being and prosperity of the deceased. </w:t>
      </w:r>
    </w:p>
    <w:p w:rsidR="68A8F057" w:rsidP="11847A4B" w:rsidRDefault="68A8F057" w14:paraId="296B0900" w14:textId="38017C2A">
      <w:pPr>
        <w:rPr>
          <w:sz w:val="20"/>
          <w:szCs w:val="20"/>
          <w:u w:val="single"/>
        </w:rPr>
      </w:pPr>
      <w:r w:rsidRPr="11847A4B" w:rsidR="68A8F057">
        <w:rPr>
          <w:sz w:val="22"/>
          <w:szCs w:val="22"/>
          <w:u w:val="single"/>
        </w:rPr>
        <w:t>Ceramic Assemblage</w:t>
      </w:r>
    </w:p>
    <w:p w:rsidR="68A8F057" w:rsidP="11847A4B" w:rsidRDefault="68A8F057" w14:paraId="1B763BF8" w14:textId="20A48A59">
      <w:pPr>
        <w:rPr>
          <w:sz w:val="20"/>
          <w:szCs w:val="20"/>
          <w:u w:val="none"/>
        </w:rPr>
      </w:pPr>
      <w:r w:rsidRPr="11847A4B" w:rsidR="68A8F057">
        <w:rPr>
          <w:sz w:val="22"/>
          <w:szCs w:val="22"/>
          <w:u w:val="none"/>
        </w:rPr>
        <w:t xml:space="preserve">Another striking feature of the excavation was the </w:t>
      </w:r>
      <w:r w:rsidRPr="11847A4B" w:rsidR="68A8F057">
        <w:rPr>
          <w:sz w:val="22"/>
          <w:szCs w:val="22"/>
          <w:u w:val="none"/>
        </w:rPr>
        <w:t>large collection</w:t>
      </w:r>
      <w:r w:rsidRPr="11847A4B" w:rsidR="68A8F057">
        <w:rPr>
          <w:sz w:val="22"/>
          <w:szCs w:val="22"/>
          <w:u w:val="none"/>
        </w:rPr>
        <w:t xml:space="preserve"> of pottery discovered within the TT99 complex. These pottery vessels were used to store offerings presented to the deceased. The scale of the collection suggests that significant resources were devoted to Senneferi’s burial and the maintenance of his funerary rites. This level of investment further emphasises his high social status. </w:t>
      </w:r>
    </w:p>
    <w:p w:rsidR="68A8F057" w:rsidP="11847A4B" w:rsidRDefault="68A8F057" w14:paraId="47678A60" w14:textId="36754480">
      <w:pPr>
        <w:rPr>
          <w:sz w:val="20"/>
          <w:szCs w:val="20"/>
          <w:u w:val="single"/>
        </w:rPr>
      </w:pPr>
      <w:r w:rsidRPr="11847A4B" w:rsidR="68A8F057">
        <w:rPr>
          <w:sz w:val="22"/>
          <w:szCs w:val="22"/>
          <w:u w:val="single"/>
        </w:rPr>
        <w:t xml:space="preserve">The </w:t>
      </w:r>
      <w:bookmarkStart w:name="_Int_4miiGcoQ" w:id="1419984972"/>
      <w:r w:rsidRPr="11847A4B" w:rsidR="68A8F057">
        <w:rPr>
          <w:sz w:val="22"/>
          <w:szCs w:val="22"/>
          <w:u w:val="single"/>
        </w:rPr>
        <w:t>Halaham</w:t>
      </w:r>
      <w:bookmarkEnd w:id="1419984972"/>
      <w:r w:rsidRPr="11847A4B" w:rsidR="68A8F057">
        <w:rPr>
          <w:sz w:val="22"/>
          <w:szCs w:val="22"/>
          <w:u w:val="single"/>
        </w:rPr>
        <w:t xml:space="preserve"> Ostracon</w:t>
      </w:r>
    </w:p>
    <w:p w:rsidR="68A8F057" w:rsidP="11847A4B" w:rsidRDefault="68A8F057" w14:paraId="4E9F18F7" w14:textId="68FFE8FF">
      <w:pPr>
        <w:rPr>
          <w:sz w:val="20"/>
          <w:szCs w:val="20"/>
          <w:u w:val="none"/>
        </w:rPr>
      </w:pPr>
      <w:r w:rsidRPr="11847A4B" w:rsidR="68A8F057">
        <w:rPr>
          <w:sz w:val="22"/>
          <w:szCs w:val="22"/>
          <w:u w:val="none"/>
        </w:rPr>
        <w:t>Among the more unusual discoveries from TT99 was an inscribed limestone ostracon bearing an early alphabetical sequence known as the ‘</w:t>
      </w:r>
      <w:r w:rsidRPr="11847A4B" w:rsidR="68A8F057">
        <w:rPr>
          <w:sz w:val="22"/>
          <w:szCs w:val="22"/>
          <w:u w:val="none"/>
        </w:rPr>
        <w:t>Halaham</w:t>
      </w:r>
      <w:r w:rsidRPr="11847A4B" w:rsidR="68A8F057">
        <w:rPr>
          <w:sz w:val="22"/>
          <w:szCs w:val="22"/>
          <w:u w:val="none"/>
        </w:rPr>
        <w:t>’ order</w:t>
      </w:r>
      <w:r w:rsidRPr="11847A4B">
        <w:rPr>
          <w:rStyle w:val="FootnoteReference"/>
          <w:sz w:val="22"/>
          <w:szCs w:val="22"/>
          <w:u w:val="none"/>
        </w:rPr>
        <w:footnoteReference w:id="31206"/>
      </w:r>
      <w:r w:rsidRPr="11847A4B" w:rsidR="68A8F057">
        <w:rPr>
          <w:sz w:val="22"/>
          <w:szCs w:val="22"/>
          <w:u w:val="none"/>
        </w:rPr>
        <w:t xml:space="preserve">. This inscription </w:t>
      </w:r>
      <w:r w:rsidRPr="11847A4B" w:rsidR="68A8F057">
        <w:rPr>
          <w:sz w:val="22"/>
          <w:szCs w:val="22"/>
          <w:u w:val="none"/>
        </w:rPr>
        <w:t>represents</w:t>
      </w:r>
      <w:r w:rsidRPr="11847A4B" w:rsidR="68A8F057">
        <w:rPr>
          <w:sz w:val="22"/>
          <w:szCs w:val="22"/>
          <w:u w:val="none"/>
        </w:rPr>
        <w:t xml:space="preserve"> one of the earliest known examples of Semitic alphabetic writing from Egypt and suggests an interaction between Egyptian scribal traditions and the emerging alphabetic scripts used by Semitic-speaking populations. </w:t>
      </w:r>
    </w:p>
    <w:p w:rsidR="68A8F057" w:rsidP="11847A4B" w:rsidRDefault="68A8F057" w14:paraId="17147799" w14:textId="27249A62">
      <w:pPr>
        <w:rPr>
          <w:sz w:val="20"/>
          <w:szCs w:val="20"/>
          <w:u w:val="none"/>
        </w:rPr>
      </w:pPr>
      <w:r w:rsidRPr="11847A4B" w:rsidR="68A8F057">
        <w:rPr>
          <w:sz w:val="22"/>
          <w:szCs w:val="22"/>
          <w:u w:val="none"/>
        </w:rPr>
        <w:t xml:space="preserve">Although the precise function of the ostracon </w:t>
      </w:r>
      <w:r w:rsidRPr="11847A4B" w:rsidR="68A8F057">
        <w:rPr>
          <w:sz w:val="22"/>
          <w:szCs w:val="22"/>
          <w:u w:val="none"/>
        </w:rPr>
        <w:t>remains</w:t>
      </w:r>
      <w:r w:rsidRPr="11847A4B" w:rsidR="68A8F057">
        <w:rPr>
          <w:sz w:val="22"/>
          <w:szCs w:val="22"/>
          <w:u w:val="none"/>
        </w:rPr>
        <w:t xml:space="preserve"> uncertain, its presence within </w:t>
      </w:r>
      <w:r w:rsidRPr="11847A4B" w:rsidR="68A8F057">
        <w:rPr>
          <w:sz w:val="22"/>
          <w:szCs w:val="22"/>
          <w:u w:val="none"/>
        </w:rPr>
        <w:t>Senneferi’s</w:t>
      </w:r>
      <w:r w:rsidRPr="11847A4B" w:rsidR="68A8F057">
        <w:rPr>
          <w:sz w:val="22"/>
          <w:szCs w:val="22"/>
          <w:u w:val="none"/>
        </w:rPr>
        <w:t xml:space="preserve"> tomb complex highlights the broader cultural context of the New Kingdom and is in keeping with the characterisation of the period as a time of increased intercultural contact and exchange. </w:t>
      </w:r>
    </w:p>
    <w:p w:rsidR="68A8F057" w:rsidP="11847A4B" w:rsidRDefault="68A8F057" w14:paraId="59BC0F68" w14:textId="460A0E63">
      <w:pPr>
        <w:rPr>
          <w:sz w:val="24"/>
          <w:szCs w:val="24"/>
          <w:u w:val="none"/>
        </w:rPr>
      </w:pPr>
      <w:r w:rsidRPr="11847A4B" w:rsidR="68A8F057">
        <w:rPr>
          <w:sz w:val="24"/>
          <w:szCs w:val="24"/>
          <w:u w:val="single"/>
        </w:rPr>
        <w:t>Material Culture and Elite Identity</w:t>
      </w:r>
    </w:p>
    <w:p w:rsidR="68A8F057" w:rsidP="11847A4B" w:rsidRDefault="68A8F057" w14:paraId="44B27CD9" w14:textId="425A30B3">
      <w:pPr>
        <w:rPr>
          <w:sz w:val="20"/>
          <w:szCs w:val="20"/>
          <w:u w:val="none"/>
        </w:rPr>
      </w:pPr>
      <w:r w:rsidRPr="11847A4B" w:rsidR="68A8F057">
        <w:rPr>
          <w:sz w:val="22"/>
          <w:szCs w:val="22"/>
          <w:u w:val="none"/>
        </w:rPr>
        <w:t xml:space="preserve">Taken together, the architectural features and material </w:t>
      </w:r>
      <w:r w:rsidRPr="11847A4B" w:rsidR="68A8F057">
        <w:rPr>
          <w:sz w:val="22"/>
          <w:szCs w:val="22"/>
          <w:u w:val="none"/>
        </w:rPr>
        <w:t>remains</w:t>
      </w:r>
      <w:r w:rsidRPr="11847A4B" w:rsidR="68A8F057">
        <w:rPr>
          <w:sz w:val="22"/>
          <w:szCs w:val="22"/>
          <w:u w:val="none"/>
        </w:rPr>
        <w:t xml:space="preserve"> from TT99 reveal how funerary monuments functioned as powerful expressions of identity and elite status within the social and political hierarchy of New Kingdom Egypt. The scale and complexity of the tomb complex itself </w:t>
      </w:r>
      <w:r w:rsidRPr="11847A4B" w:rsidR="68A8F057">
        <w:rPr>
          <w:sz w:val="22"/>
          <w:szCs w:val="22"/>
          <w:u w:val="none"/>
        </w:rPr>
        <w:t>indicates</w:t>
      </w:r>
      <w:r w:rsidRPr="11847A4B" w:rsidR="68A8F057">
        <w:rPr>
          <w:sz w:val="22"/>
          <w:szCs w:val="22"/>
          <w:u w:val="none"/>
        </w:rPr>
        <w:t xml:space="preserve"> the use of considerable labour and resources, suggesting Senneferi possessed both wealth and political influence. His official identity and political </w:t>
      </w:r>
      <w:r w:rsidRPr="11847A4B" w:rsidR="68A8F057">
        <w:rPr>
          <w:sz w:val="22"/>
          <w:szCs w:val="22"/>
          <w:u w:val="none"/>
        </w:rPr>
        <w:t xml:space="preserve">achievements are further emphasised by the decorative nature of the chapel and subterranean burial chambers. Scenes depicting his life and funerary rituals would serve to memorialise his status, ensuring continued recognition within the social order of the afterlife. </w:t>
      </w:r>
    </w:p>
    <w:p w:rsidR="68A8F057" w:rsidP="11847A4B" w:rsidRDefault="68A8F057" w14:paraId="2DEC66A1" w14:textId="15E39BCB">
      <w:pPr>
        <w:rPr>
          <w:sz w:val="20"/>
          <w:szCs w:val="20"/>
          <w:u w:val="none"/>
        </w:rPr>
      </w:pPr>
      <w:r w:rsidRPr="11847A4B" w:rsidR="68A8F057">
        <w:rPr>
          <w:sz w:val="22"/>
          <w:szCs w:val="22"/>
          <w:u w:val="none"/>
        </w:rPr>
        <w:t xml:space="preserve">This interpretation is reinforced by the burial assemblage: ritual implements, vessels, and </w:t>
      </w:r>
      <w:r w:rsidRPr="11847A4B" w:rsidR="68A8F057">
        <w:rPr>
          <w:sz w:val="22"/>
          <w:szCs w:val="22"/>
          <w:u w:val="none"/>
        </w:rPr>
        <w:t>large quantities</w:t>
      </w:r>
      <w:r w:rsidRPr="11847A4B" w:rsidR="68A8F057">
        <w:rPr>
          <w:sz w:val="22"/>
          <w:szCs w:val="22"/>
          <w:u w:val="none"/>
        </w:rPr>
        <w:t xml:space="preserve"> of ceramics reflect both wealth and his participation in the religious practices of the Egyptian state. As Taylor </w:t>
      </w:r>
      <w:r w:rsidRPr="11847A4B" w:rsidR="68A8F057">
        <w:rPr>
          <w:sz w:val="22"/>
          <w:szCs w:val="22"/>
          <w:u w:val="none"/>
        </w:rPr>
        <w:t>observes</w:t>
      </w:r>
      <w:r w:rsidRPr="11847A4B" w:rsidR="68A8F057">
        <w:rPr>
          <w:sz w:val="22"/>
          <w:szCs w:val="22"/>
          <w:u w:val="none"/>
        </w:rPr>
        <w:t xml:space="preserve">, elite funerary evidence can be </w:t>
      </w:r>
      <w:r w:rsidRPr="11847A4B" w:rsidR="68A8F057">
        <w:rPr>
          <w:sz w:val="22"/>
          <w:szCs w:val="22"/>
          <w:u w:val="none"/>
        </w:rPr>
        <w:t>closely linked</w:t>
      </w:r>
      <w:r w:rsidRPr="11847A4B" w:rsidR="68A8F057">
        <w:rPr>
          <w:sz w:val="22"/>
          <w:szCs w:val="22"/>
          <w:u w:val="none"/>
        </w:rPr>
        <w:t xml:space="preserve"> to the ideology of kingship and the broader religious system of Egypt</w:t>
      </w:r>
      <w:r w:rsidRPr="11847A4B">
        <w:rPr>
          <w:rStyle w:val="FootnoteReference"/>
          <w:sz w:val="22"/>
          <w:szCs w:val="22"/>
          <w:u w:val="none"/>
        </w:rPr>
        <w:footnoteReference w:id="9656"/>
      </w:r>
      <w:r w:rsidRPr="11847A4B" w:rsidR="68A8F057">
        <w:rPr>
          <w:sz w:val="22"/>
          <w:szCs w:val="22"/>
          <w:u w:val="none"/>
        </w:rPr>
        <w:t xml:space="preserve">. Through such material culture, individuals like Senneferi aligned themselves with the values and institutions of the royal court. </w:t>
      </w:r>
    </w:p>
    <w:p w:rsidR="68A8F057" w:rsidP="11847A4B" w:rsidRDefault="68A8F057" w14:paraId="264697B9" w14:textId="6383247D">
      <w:pPr>
        <w:rPr>
          <w:sz w:val="22"/>
          <w:szCs w:val="22"/>
          <w:u w:val="single"/>
        </w:rPr>
      </w:pPr>
      <w:r w:rsidRPr="11847A4B" w:rsidR="68A8F057">
        <w:rPr>
          <w:sz w:val="24"/>
          <w:szCs w:val="24"/>
          <w:u w:val="single"/>
        </w:rPr>
        <w:t>Conclusion</w:t>
      </w:r>
    </w:p>
    <w:p w:rsidR="68A8F057" w:rsidP="11847A4B" w:rsidRDefault="68A8F057" w14:paraId="154066F3" w14:textId="3CF0E668">
      <w:pPr>
        <w:rPr>
          <w:sz w:val="20"/>
          <w:szCs w:val="20"/>
          <w:u w:val="none"/>
        </w:rPr>
      </w:pPr>
      <w:r w:rsidRPr="11847A4B" w:rsidR="68A8F057">
        <w:rPr>
          <w:sz w:val="22"/>
          <w:szCs w:val="22"/>
          <w:u w:val="none"/>
        </w:rPr>
        <w:t xml:space="preserve">The tomb of Senneferi </w:t>
      </w:r>
      <w:r w:rsidRPr="11847A4B" w:rsidR="68A8F057">
        <w:rPr>
          <w:sz w:val="22"/>
          <w:szCs w:val="22"/>
          <w:u w:val="none"/>
        </w:rPr>
        <w:t>provides</w:t>
      </w:r>
      <w:r w:rsidRPr="11847A4B" w:rsidR="68A8F057">
        <w:rPr>
          <w:sz w:val="22"/>
          <w:szCs w:val="22"/>
          <w:u w:val="none"/>
        </w:rPr>
        <w:t xml:space="preserve"> a valuable example of how architecture and material culture were used by elite officials in the New Kingdom to </w:t>
      </w:r>
      <w:r w:rsidRPr="11847A4B" w:rsidR="68A8F057">
        <w:rPr>
          <w:sz w:val="22"/>
          <w:szCs w:val="22"/>
          <w:u w:val="none"/>
        </w:rPr>
        <w:t>maintain</w:t>
      </w:r>
      <w:r w:rsidRPr="11847A4B" w:rsidR="68A8F057">
        <w:rPr>
          <w:sz w:val="22"/>
          <w:szCs w:val="22"/>
          <w:u w:val="none"/>
        </w:rPr>
        <w:t xml:space="preserve"> and communicate social status after death. The architectural layout of the tomb reflects the standard layout of Eighteenth Dynasty elite private tombs, yet its scale and complexity </w:t>
      </w:r>
      <w:r w:rsidRPr="11847A4B" w:rsidR="68A8F057">
        <w:rPr>
          <w:sz w:val="22"/>
          <w:szCs w:val="22"/>
          <w:u w:val="none"/>
        </w:rPr>
        <w:t>indicate</w:t>
      </w:r>
      <w:r w:rsidRPr="11847A4B" w:rsidR="68A8F057">
        <w:rPr>
          <w:sz w:val="22"/>
          <w:szCs w:val="22"/>
          <w:u w:val="none"/>
        </w:rPr>
        <w:t xml:space="preserve"> the considerable resources available to its owner. Archaeological finds from the excavation, namely ritual implements, funerary equipment, and extensive ceramic assemblage, further reveal the wealth invested in </w:t>
      </w:r>
      <w:r w:rsidRPr="11847A4B" w:rsidR="68A8F057">
        <w:rPr>
          <w:sz w:val="22"/>
          <w:szCs w:val="22"/>
          <w:u w:val="none"/>
        </w:rPr>
        <w:t>Senneferi’s</w:t>
      </w:r>
      <w:r w:rsidRPr="11847A4B" w:rsidR="68A8F057">
        <w:rPr>
          <w:sz w:val="22"/>
          <w:szCs w:val="22"/>
          <w:u w:val="none"/>
        </w:rPr>
        <w:t xml:space="preserve"> burial and the elaborate religious practices associated with monumental elite tombs. </w:t>
      </w:r>
    </w:p>
    <w:p w:rsidR="68A8F057" w:rsidP="11847A4B" w:rsidRDefault="68A8F057" w14:paraId="5CE12639" w14:textId="12BC8161">
      <w:pPr>
        <w:rPr>
          <w:sz w:val="20"/>
          <w:szCs w:val="20"/>
          <w:u w:val="none"/>
        </w:rPr>
      </w:pPr>
      <w:r w:rsidRPr="11847A4B" w:rsidR="68A8F057">
        <w:rPr>
          <w:sz w:val="22"/>
          <w:szCs w:val="22"/>
          <w:u w:val="none"/>
        </w:rPr>
        <w:t xml:space="preserve">Furthermore, these elements </w:t>
      </w:r>
      <w:r w:rsidRPr="11847A4B" w:rsidR="68A8F057">
        <w:rPr>
          <w:sz w:val="22"/>
          <w:szCs w:val="22"/>
          <w:u w:val="none"/>
        </w:rPr>
        <w:t>indicate</w:t>
      </w:r>
      <w:r w:rsidRPr="11847A4B" w:rsidR="68A8F057">
        <w:rPr>
          <w:sz w:val="22"/>
          <w:szCs w:val="22"/>
          <w:u w:val="none"/>
        </w:rPr>
        <w:t xml:space="preserve"> how funerary monuments </w:t>
      </w:r>
      <w:r w:rsidRPr="11847A4B" w:rsidR="68A8F057">
        <w:rPr>
          <w:sz w:val="22"/>
          <w:szCs w:val="22"/>
          <w:u w:val="none"/>
        </w:rPr>
        <w:t>operated</w:t>
      </w:r>
      <w:r w:rsidRPr="11847A4B" w:rsidR="68A8F057">
        <w:rPr>
          <w:sz w:val="22"/>
          <w:szCs w:val="22"/>
          <w:u w:val="none"/>
        </w:rPr>
        <w:t xml:space="preserve"> within the ideological framework of Egyptian society. As the material evidence </w:t>
      </w:r>
      <w:r w:rsidRPr="11847A4B" w:rsidR="68A8F057">
        <w:rPr>
          <w:sz w:val="22"/>
          <w:szCs w:val="22"/>
          <w:u w:val="none"/>
        </w:rPr>
        <w:t>demonstrates</w:t>
      </w:r>
      <w:r w:rsidRPr="11847A4B" w:rsidR="68A8F057">
        <w:rPr>
          <w:sz w:val="22"/>
          <w:szCs w:val="22"/>
          <w:u w:val="none"/>
        </w:rPr>
        <w:t xml:space="preserve">, these spaces were more than just burial places. In the case of Senneferi, the tomb functioned as a monument to his position within the administrative elite and his connection to the religious and political structures of the state. The study of TT99 by Strudwick therefore </w:t>
      </w:r>
      <w:r w:rsidRPr="11847A4B" w:rsidR="68A8F057">
        <w:rPr>
          <w:sz w:val="22"/>
          <w:szCs w:val="22"/>
          <w:u w:val="none"/>
        </w:rPr>
        <w:t>demonstrates</w:t>
      </w:r>
      <w:r w:rsidRPr="11847A4B" w:rsidR="68A8F057">
        <w:rPr>
          <w:sz w:val="22"/>
          <w:szCs w:val="22"/>
          <w:u w:val="none"/>
        </w:rPr>
        <w:t xml:space="preserve"> how elite officials in the New Kingdom used funerary architecture and material culture to project authority within the hierarchical order of Egyptian society while also securing posthumous remembrance. </w:t>
      </w:r>
    </w:p>
    <w:p w:rsidR="11847A4B" w:rsidP="11847A4B" w:rsidRDefault="11847A4B" w14:paraId="59B4757F" w14:textId="3BC2420C">
      <w:pPr>
        <w:rPr>
          <w:sz w:val="22"/>
          <w:szCs w:val="22"/>
          <w:u w:val="none"/>
        </w:rPr>
      </w:pPr>
    </w:p>
    <w:p w:rsidR="68A8F057" w:rsidP="11847A4B" w:rsidRDefault="68A8F057" w14:paraId="176AEFFD" w14:textId="18FAE130">
      <w:pPr>
        <w:rPr>
          <w:sz w:val="20"/>
          <w:szCs w:val="20"/>
          <w:u w:val="none"/>
        </w:rPr>
      </w:pPr>
      <w:r w:rsidRPr="11847A4B" w:rsidR="68A8F057">
        <w:rPr>
          <w:sz w:val="22"/>
          <w:szCs w:val="22"/>
          <w:u w:val="none"/>
        </w:rPr>
        <w:t>Reference List</w:t>
      </w:r>
    </w:p>
    <w:p w:rsidR="68A8F057" w:rsidP="11847A4B" w:rsidRDefault="68A8F057" w14:paraId="53F41F9D" w14:textId="382C10A5">
      <w:pPr>
        <w:pStyle w:val="ListParagraph"/>
        <w:numPr>
          <w:ilvl w:val="0"/>
          <w:numId w:val="1"/>
        </w:numPr>
        <w:rPr>
          <w:i w:val="0"/>
          <w:iCs w:val="0"/>
          <w:sz w:val="22"/>
          <w:szCs w:val="22"/>
          <w:u w:val="none"/>
        </w:rPr>
      </w:pPr>
      <w:r w:rsidRPr="11847A4B" w:rsidR="68A8F057">
        <w:rPr>
          <w:sz w:val="22"/>
          <w:szCs w:val="22"/>
          <w:u w:val="none"/>
        </w:rPr>
        <w:t xml:space="preserve">Strudwick, Nigel, </w:t>
      </w:r>
      <w:r w:rsidRPr="11847A4B" w:rsidR="68A8F057">
        <w:rPr>
          <w:i w:val="1"/>
          <w:iCs w:val="1"/>
          <w:sz w:val="22"/>
          <w:szCs w:val="22"/>
          <w:u w:val="none"/>
        </w:rPr>
        <w:t xml:space="preserve">The Tomb of Pharaoh’s Chancellor Senneferi at Thebes (TT99) </w:t>
      </w:r>
      <w:r w:rsidRPr="11847A4B" w:rsidR="68A8F057">
        <w:rPr>
          <w:i w:val="0"/>
          <w:iCs w:val="0"/>
          <w:sz w:val="22"/>
          <w:szCs w:val="22"/>
          <w:u w:val="none"/>
        </w:rPr>
        <w:t>(Oxford: Oxbow Books, 2016)</w:t>
      </w:r>
    </w:p>
    <w:p w:rsidR="68A8F057" w:rsidP="11847A4B" w:rsidRDefault="68A8F057" w14:paraId="6B9F6B13" w14:textId="5D1F9737">
      <w:pPr>
        <w:pStyle w:val="ListParagraph"/>
        <w:numPr>
          <w:ilvl w:val="0"/>
          <w:numId w:val="1"/>
        </w:numPr>
        <w:rPr>
          <w:i w:val="0"/>
          <w:iCs w:val="0"/>
          <w:sz w:val="22"/>
          <w:szCs w:val="22"/>
          <w:u w:val="none"/>
        </w:rPr>
      </w:pPr>
      <w:r w:rsidRPr="11847A4B" w:rsidR="68A8F057">
        <w:rPr>
          <w:i w:val="0"/>
          <w:iCs w:val="0"/>
          <w:sz w:val="22"/>
          <w:szCs w:val="22"/>
          <w:u w:val="none"/>
        </w:rPr>
        <w:t xml:space="preserve">Taylor, John H., </w:t>
      </w:r>
      <w:r w:rsidRPr="11847A4B" w:rsidR="68A8F057">
        <w:rPr>
          <w:i w:val="1"/>
          <w:iCs w:val="1"/>
          <w:sz w:val="22"/>
          <w:szCs w:val="22"/>
          <w:u w:val="none"/>
        </w:rPr>
        <w:t>Death</w:t>
      </w:r>
      <w:r w:rsidRPr="11847A4B" w:rsidR="68A8F057">
        <w:rPr>
          <w:i w:val="1"/>
          <w:iCs w:val="1"/>
          <w:sz w:val="22"/>
          <w:szCs w:val="22"/>
          <w:u w:val="none"/>
        </w:rPr>
        <w:t xml:space="preserve"> and the Afterlife in Ancient Egypt </w:t>
      </w:r>
      <w:r w:rsidRPr="11847A4B" w:rsidR="68A8F057">
        <w:rPr>
          <w:i w:val="0"/>
          <w:iCs w:val="0"/>
          <w:sz w:val="22"/>
          <w:szCs w:val="22"/>
          <w:u w:val="none"/>
        </w:rPr>
        <w:t xml:space="preserve">(London: British Museum Press, 2001)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11847A4B" w:rsidRDefault="11847A4B" w14:paraId="5BBE2927" w14:textId="6F2A02E6">
      <w:pPr>
        <w:spacing w:after="0" w:line="240" w:lineRule="auto"/>
      </w:pPr>
      <w:r>
        <w:separator/>
      </w:r>
    </w:p>
  </w:footnote>
  <w:footnote w:type="continuationSeparator" w:id="0">
    <w:p w:rsidR="11847A4B" w:rsidRDefault="11847A4B" w14:paraId="46500B8D" w14:textId="36828EAA">
      <w:pPr>
        <w:spacing w:after="0" w:line="240" w:lineRule="auto"/>
      </w:pPr>
      <w:r>
        <w:continuationSeparator/>
      </w:r>
    </w:p>
  </w:footnote>
  <w:footnote w:id="3955">
    <w:p w:rsidR="11847A4B" w:rsidP="11847A4B" w:rsidRDefault="11847A4B" w14:paraId="7586BED1" w14:textId="3129AB73">
      <w:pPr>
        <w:pStyle w:val="FootnoteText"/>
        <w:bidi w:val="0"/>
        <w:rPr>
          <w:i w:val="0"/>
          <w:iCs w:val="0"/>
        </w:rPr>
      </w:pPr>
      <w:r w:rsidRPr="11847A4B">
        <w:rPr>
          <w:rStyle w:val="FootnoteReference"/>
        </w:rPr>
        <w:footnoteRef/>
      </w:r>
      <w:r w:rsidR="11847A4B">
        <w:rPr/>
        <w:t xml:space="preserve"> Nigel Strudwick, </w:t>
      </w:r>
      <w:r w:rsidRPr="11847A4B" w:rsidR="11847A4B">
        <w:rPr>
          <w:i w:val="1"/>
          <w:iCs w:val="1"/>
        </w:rPr>
        <w:t>The Tomb of the Pharaoh’s Chancellor of Senneferi at Thebes (TT99)</w:t>
      </w:r>
      <w:r w:rsidRPr="11847A4B" w:rsidR="11847A4B">
        <w:rPr>
          <w:i w:val="0"/>
          <w:iCs w:val="0"/>
        </w:rPr>
        <w:t xml:space="preserve"> (Oxford: Oxbow Books, 2016), p. 13. </w:t>
      </w:r>
    </w:p>
  </w:footnote>
  <w:footnote w:id="14251">
    <w:p w:rsidR="11847A4B" w:rsidP="11847A4B" w:rsidRDefault="11847A4B" w14:paraId="2700919F" w14:textId="6DF0FDF1">
      <w:pPr>
        <w:pStyle w:val="FootnoteText"/>
        <w:bidi w:val="0"/>
        <w:rPr>
          <w:i w:val="1"/>
          <w:iCs w:val="1"/>
        </w:rPr>
      </w:pPr>
      <w:r w:rsidRPr="11847A4B">
        <w:rPr>
          <w:rStyle w:val="FootnoteReference"/>
        </w:rPr>
        <w:footnoteRef/>
      </w:r>
      <w:r w:rsidR="11847A4B">
        <w:rPr/>
        <w:t xml:space="preserve"> Strudwick, </w:t>
      </w:r>
      <w:r w:rsidRPr="11847A4B" w:rsidR="11847A4B">
        <w:rPr>
          <w:i w:val="1"/>
          <w:iCs w:val="1"/>
        </w:rPr>
        <w:t xml:space="preserve">Tomb of the Pharaoh’s Chancellor of Senneferi at Thebes, </w:t>
      </w:r>
      <w:r w:rsidRPr="11847A4B" w:rsidR="11847A4B">
        <w:rPr>
          <w:i w:val="0"/>
          <w:iCs w:val="0"/>
        </w:rPr>
        <w:t xml:space="preserve">pp. 13-15. </w:t>
      </w:r>
    </w:p>
  </w:footnote>
  <w:footnote w:id="4542">
    <w:p w:rsidR="11847A4B" w:rsidP="11847A4B" w:rsidRDefault="11847A4B" w14:paraId="50110DE6" w14:textId="53E06656">
      <w:pPr>
        <w:pStyle w:val="FootnoteText"/>
        <w:bidi w:val="0"/>
      </w:pPr>
      <w:r w:rsidRPr="11847A4B">
        <w:rPr>
          <w:rStyle w:val="FootnoteReference"/>
        </w:rPr>
        <w:footnoteRef/>
      </w:r>
      <w:r w:rsidR="11847A4B">
        <w:rPr/>
        <w:t xml:space="preserve"> John H. Taylor,</w:t>
      </w:r>
      <w:r w:rsidRPr="11847A4B" w:rsidR="11847A4B">
        <w:rPr>
          <w:i w:val="1"/>
          <w:iCs w:val="1"/>
        </w:rPr>
        <w:t xml:space="preserve"> </w:t>
      </w:r>
      <w:r w:rsidRPr="11847A4B" w:rsidR="11847A4B">
        <w:rPr>
          <w:i w:val="1"/>
          <w:iCs w:val="1"/>
        </w:rPr>
        <w:t>Death</w:t>
      </w:r>
      <w:r w:rsidRPr="11847A4B" w:rsidR="11847A4B">
        <w:rPr>
          <w:i w:val="1"/>
          <w:iCs w:val="1"/>
        </w:rPr>
        <w:t xml:space="preserve"> and the Afterlife in Ancient Egypt</w:t>
      </w:r>
      <w:r w:rsidR="11847A4B">
        <w:rPr/>
        <w:t xml:space="preserve"> (London: British Museum Press, 2001). </w:t>
      </w:r>
    </w:p>
  </w:footnote>
  <w:footnote w:id="8476">
    <w:p w:rsidR="11847A4B" w:rsidP="11847A4B" w:rsidRDefault="11847A4B" w14:paraId="2236C0D9" w14:textId="57FCC3D7">
      <w:pPr>
        <w:pStyle w:val="FootnoteText"/>
        <w:bidi w:val="0"/>
        <w:rPr>
          <w:i w:val="0"/>
          <w:iCs w:val="0"/>
        </w:rPr>
      </w:pPr>
      <w:r w:rsidRPr="11847A4B">
        <w:rPr>
          <w:rStyle w:val="FootnoteReference"/>
        </w:rPr>
        <w:footnoteRef/>
      </w:r>
      <w:r w:rsidR="11847A4B">
        <w:rPr/>
        <w:t xml:space="preserve"> Strudwick, </w:t>
      </w:r>
      <w:r w:rsidRPr="11847A4B" w:rsidR="11847A4B">
        <w:rPr>
          <w:i w:val="1"/>
          <w:iCs w:val="1"/>
        </w:rPr>
        <w:t>Tomb of the Pharaoh’s Chancellor of Senneferi at Thebes</w:t>
      </w:r>
      <w:r w:rsidRPr="11847A4B" w:rsidR="11847A4B">
        <w:rPr>
          <w:i w:val="0"/>
          <w:iCs w:val="0"/>
        </w:rPr>
        <w:t xml:space="preserve">, p. 55. </w:t>
      </w:r>
    </w:p>
  </w:footnote>
  <w:footnote w:id="16666">
    <w:p w:rsidR="11847A4B" w:rsidP="11847A4B" w:rsidRDefault="11847A4B" w14:paraId="4CAF62C3" w14:textId="233186D8">
      <w:pPr>
        <w:pStyle w:val="FootnoteText"/>
        <w:bidi w:val="0"/>
        <w:rPr>
          <w:i w:val="0"/>
          <w:iCs w:val="0"/>
        </w:rPr>
      </w:pPr>
      <w:r w:rsidRPr="11847A4B">
        <w:rPr>
          <w:rStyle w:val="FootnoteReference"/>
        </w:rPr>
        <w:footnoteRef/>
      </w:r>
      <w:r w:rsidR="11847A4B">
        <w:rPr/>
        <w:t xml:space="preserve"> Strudwick, </w:t>
      </w:r>
      <w:r w:rsidRPr="11847A4B" w:rsidR="11847A4B">
        <w:rPr>
          <w:i w:val="1"/>
          <w:iCs w:val="1"/>
        </w:rPr>
        <w:t xml:space="preserve">The Tomb of the Pharaoh’s Chancellor of Senneferi at Thebes, </w:t>
      </w:r>
      <w:r w:rsidRPr="11847A4B" w:rsidR="11847A4B">
        <w:rPr>
          <w:i w:val="0"/>
          <w:iCs w:val="0"/>
        </w:rPr>
        <w:t xml:space="preserve">pp. 55-61. </w:t>
      </w:r>
    </w:p>
  </w:footnote>
  <w:footnote w:id="1245">
    <w:p w:rsidR="11847A4B" w:rsidP="11847A4B" w:rsidRDefault="11847A4B" w14:paraId="22184917" w14:textId="310E6991">
      <w:pPr>
        <w:pStyle w:val="FootnoteText"/>
        <w:bidi w:val="0"/>
        <w:rPr>
          <w:i w:val="0"/>
          <w:iCs w:val="0"/>
        </w:rPr>
      </w:pPr>
      <w:r w:rsidRPr="11847A4B">
        <w:rPr>
          <w:rStyle w:val="FootnoteReference"/>
        </w:rPr>
        <w:footnoteRef/>
      </w:r>
      <w:r w:rsidR="11847A4B">
        <w:rPr/>
        <w:t xml:space="preserve"> Strudwick, </w:t>
      </w:r>
      <w:r w:rsidRPr="11847A4B" w:rsidR="11847A4B">
        <w:rPr>
          <w:i w:val="1"/>
          <w:iCs w:val="1"/>
        </w:rPr>
        <w:t xml:space="preserve">The Tomb of the Pharaoh’s Chancellor of Senneferi at Thebes, pp. 84-100. </w:t>
      </w:r>
    </w:p>
  </w:footnote>
  <w:footnote w:id="4970">
    <w:p w:rsidR="11847A4B" w:rsidP="11847A4B" w:rsidRDefault="11847A4B" w14:paraId="32679EBF" w14:textId="049E3A2C">
      <w:pPr>
        <w:pStyle w:val="FootnoteText"/>
        <w:bidi w:val="0"/>
        <w:rPr>
          <w:i w:val="0"/>
          <w:iCs w:val="0"/>
        </w:rPr>
      </w:pPr>
      <w:r w:rsidRPr="11847A4B">
        <w:rPr>
          <w:rStyle w:val="FootnoteReference"/>
        </w:rPr>
        <w:footnoteRef/>
      </w:r>
      <w:r w:rsidR="11847A4B">
        <w:rPr/>
        <w:t xml:space="preserve"> </w:t>
      </w:r>
      <w:r w:rsidR="11847A4B">
        <w:rPr/>
        <w:t xml:space="preserve">Strudwick, </w:t>
      </w:r>
      <w:r w:rsidRPr="11847A4B" w:rsidR="11847A4B">
        <w:rPr>
          <w:i w:val="1"/>
          <w:iCs w:val="1"/>
        </w:rPr>
        <w:t xml:space="preserve">The Tomb of the Pharaoh’s Chancellor of Senneferi at Thebes, </w:t>
      </w:r>
      <w:r w:rsidRPr="11847A4B" w:rsidR="11847A4B">
        <w:rPr>
          <w:i w:val="0"/>
          <w:iCs w:val="0"/>
        </w:rPr>
        <w:t xml:space="preserve">pp. 260-263. </w:t>
      </w:r>
    </w:p>
  </w:footnote>
  <w:footnote w:id="10616">
    <w:p w:rsidR="11847A4B" w:rsidP="11847A4B" w:rsidRDefault="11847A4B" w14:paraId="5C38965E" w14:textId="22573677">
      <w:pPr>
        <w:pStyle w:val="FootnoteText"/>
        <w:bidi w:val="0"/>
        <w:rPr>
          <w:i w:val="0"/>
          <w:iCs w:val="0"/>
        </w:rPr>
      </w:pPr>
      <w:r w:rsidRPr="11847A4B">
        <w:rPr>
          <w:rStyle w:val="FootnoteReference"/>
        </w:rPr>
        <w:footnoteRef/>
      </w:r>
      <w:r w:rsidR="11847A4B">
        <w:rPr/>
        <w:t xml:space="preserve"> Taylor, </w:t>
      </w:r>
      <w:r w:rsidRPr="11847A4B" w:rsidR="11847A4B">
        <w:rPr>
          <w:i w:val="1"/>
          <w:iCs w:val="1"/>
        </w:rPr>
        <w:t>Death and the Afterlife in Ancient Egypt.</w:t>
      </w:r>
    </w:p>
  </w:footnote>
  <w:footnote w:id="31206">
    <w:p w:rsidR="11847A4B" w:rsidP="11847A4B" w:rsidRDefault="11847A4B" w14:paraId="5C21D1F6" w14:textId="158C918F">
      <w:pPr>
        <w:pStyle w:val="FootnoteText"/>
        <w:bidi w:val="0"/>
        <w:rPr>
          <w:i w:val="0"/>
          <w:iCs w:val="0"/>
        </w:rPr>
      </w:pPr>
      <w:r w:rsidRPr="11847A4B">
        <w:rPr>
          <w:rStyle w:val="FootnoteReference"/>
        </w:rPr>
        <w:footnoteRef/>
      </w:r>
      <w:r w:rsidR="11847A4B">
        <w:rPr/>
        <w:t xml:space="preserve"> Strudwick, </w:t>
      </w:r>
      <w:r w:rsidRPr="11847A4B" w:rsidR="11847A4B">
        <w:rPr>
          <w:i w:val="1"/>
          <w:iCs w:val="1"/>
        </w:rPr>
        <w:t xml:space="preserve">The Tomb of the Pharaoh’s Chancellor of Senneferi at Thebes, </w:t>
      </w:r>
      <w:r w:rsidRPr="11847A4B" w:rsidR="11847A4B">
        <w:rPr>
          <w:i w:val="0"/>
          <w:iCs w:val="0"/>
        </w:rPr>
        <w:t>pp. 260-292.</w:t>
      </w:r>
    </w:p>
  </w:footnote>
  <w:footnote w:id="9656">
    <w:p w:rsidR="11847A4B" w:rsidP="11847A4B" w:rsidRDefault="11847A4B" w14:paraId="123AFD35" w14:textId="53D2BA11">
      <w:pPr>
        <w:pStyle w:val="FootnoteText"/>
        <w:bidi w:val="0"/>
        <w:rPr>
          <w:i w:val="0"/>
          <w:iCs w:val="0"/>
        </w:rPr>
      </w:pPr>
      <w:r w:rsidRPr="11847A4B">
        <w:rPr>
          <w:rStyle w:val="FootnoteReference"/>
        </w:rPr>
        <w:footnoteRef/>
      </w:r>
      <w:r w:rsidR="11847A4B">
        <w:rPr/>
        <w:t xml:space="preserve"> Taylor, </w:t>
      </w:r>
      <w:r w:rsidRPr="11847A4B" w:rsidR="11847A4B">
        <w:rPr>
          <w:i w:val="1"/>
          <w:iCs w:val="1"/>
        </w:rPr>
        <w:t>Death and the Afterlife in Ancient Egypt</w:t>
      </w:r>
      <w:r w:rsidRPr="11847A4B" w:rsidR="11847A4B">
        <w:rPr>
          <w:i w:val="0"/>
          <w:iCs w:val="0"/>
        </w:rPr>
        <w:t xml:space="preserve">. </w:t>
      </w:r>
    </w:p>
  </w:footnote>
</w:footnotes>
</file>

<file path=word/intelligence2.xml><?xml version="1.0" encoding="utf-8"?>
<int2:intelligence xmlns:int2="http://schemas.microsoft.com/office/intelligence/2020/intelligence">
  <int2:observations>
    <int2:bookmark int2:bookmarkName="_Int_4miiGcoQ" int2:invalidationBookmarkName="" int2:hashCode="zmw396cnKd3aZ9" int2:id="QDKbXMgf">
      <int2:state int2:type="spell" int2:value="Rejected"/>
    </int2:bookmark>
    <int2:bookmark int2:bookmarkName="_Int_8szJRnYk" int2:invalidationBookmarkName="" int2:hashCode="8iFXaJ5fR1mM+z" int2:id="toS378Qa">
      <int2:state int2:type="spell" int2:value="Rejected"/>
    </int2:bookmark>
    <int2:bookmark int2:bookmarkName="_Int_xHo3THIF" int2:invalidationBookmarkName="" int2:hashCode="MP94aYXTEVo4Bn" int2:id="0khykNhb">
      <int2:state int2:type="spell" int2:value="Rejected"/>
    </int2:bookmark>
    <int2:bookmark int2:bookmarkName="_Int_cVywp3Bt" int2:invalidationBookmarkName="" int2:hashCode="VXy8pldmmfYj/f" int2:id="i85jD78H">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8316f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3B886"/>
    <w:rsid w:val="03B98F85"/>
    <w:rsid w:val="05E65CE9"/>
    <w:rsid w:val="06384549"/>
    <w:rsid w:val="06796961"/>
    <w:rsid w:val="0AE8BD89"/>
    <w:rsid w:val="10CC0ECC"/>
    <w:rsid w:val="11847A4B"/>
    <w:rsid w:val="11F8EDD6"/>
    <w:rsid w:val="168D9781"/>
    <w:rsid w:val="18174A65"/>
    <w:rsid w:val="18B85D3D"/>
    <w:rsid w:val="1A0DE738"/>
    <w:rsid w:val="1AFD0659"/>
    <w:rsid w:val="1B2C0488"/>
    <w:rsid w:val="1C7B57FD"/>
    <w:rsid w:val="2038B5E1"/>
    <w:rsid w:val="2378C80B"/>
    <w:rsid w:val="24F1621D"/>
    <w:rsid w:val="2666111E"/>
    <w:rsid w:val="29A95177"/>
    <w:rsid w:val="29F403E8"/>
    <w:rsid w:val="2A4B8CE4"/>
    <w:rsid w:val="2A870E01"/>
    <w:rsid w:val="2ED643AB"/>
    <w:rsid w:val="2F07E02A"/>
    <w:rsid w:val="33A4EBF5"/>
    <w:rsid w:val="365CD5CF"/>
    <w:rsid w:val="368090D1"/>
    <w:rsid w:val="37EBC928"/>
    <w:rsid w:val="3B848126"/>
    <w:rsid w:val="3CDEEE8E"/>
    <w:rsid w:val="3EFB4E42"/>
    <w:rsid w:val="41C0DF5C"/>
    <w:rsid w:val="44D41420"/>
    <w:rsid w:val="46D0B774"/>
    <w:rsid w:val="4BBEBB34"/>
    <w:rsid w:val="4F79DF79"/>
    <w:rsid w:val="529251E5"/>
    <w:rsid w:val="53FAF39A"/>
    <w:rsid w:val="5953B886"/>
    <w:rsid w:val="5F16AD57"/>
    <w:rsid w:val="5F940EA2"/>
    <w:rsid w:val="65768034"/>
    <w:rsid w:val="66B89DD9"/>
    <w:rsid w:val="68A8F057"/>
    <w:rsid w:val="6AF68655"/>
    <w:rsid w:val="710CFE51"/>
    <w:rsid w:val="725CCD71"/>
    <w:rsid w:val="7311EE11"/>
    <w:rsid w:val="7430F1F5"/>
    <w:rsid w:val="7449F15A"/>
    <w:rsid w:val="7BE2B2D4"/>
    <w:rsid w:val="7C36CD85"/>
    <w:rsid w:val="7FAFC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3B886"/>
  <w15:chartTrackingRefBased/>
  <w15:docId w15:val="{EC3D0C03-F3A8-40EF-AD13-33D762A261AB}"/>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1847A4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1847A4B"/>
    <w:pPr>
      <w:spacing/>
      <w:ind w:left="720"/>
      <w:contextualSpacing/>
    </w:pPr>
  </w:style>
  <w:style w:type="paragraph" w:styleId="FootnoteText">
    <w:uiPriority w:val="99"/>
    <w:name w:val="footnote text"/>
    <w:basedOn w:val="Normal"/>
    <w:semiHidden/>
    <w:unhideWhenUsed/>
    <w:rsid w:val="11847A4B"/>
    <w:rPr>
      <w:sz w:val="20"/>
      <w:szCs w:val="20"/>
    </w:rPr>
    <w:pPr>
      <w:spacing w:after="0" w:line="240" w:lineRule="auto"/>
    </w:pPr>
  </w:style>
  <w:style w:type="character" w:styleId="FootnoteReference">
    <w:uiPriority w:val="99"/>
    <w:name w:val="footnote reference"/>
    <w:basedOn w:val="DefaultParagraphFont"/>
    <w:semiHidden/>
    <w:unhideWhenUsed/>
    <w:rsid w:val="11847A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dcbae64f1a034276" /><Relationship Type="http://schemas.microsoft.com/office/2020/10/relationships/intelligence" Target="intelligence2.xml" Id="Rfa8c71f42bf84675" /><Relationship Type="http://schemas.openxmlformats.org/officeDocument/2006/relationships/numbering" Target="numbering.xml" Id="Rcf0b356b5e5e4a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2026-03-19T18:22:53.0487556Z</dcterms:created>
  <dcterms:modified xsi:type="dcterms:W3CDTF">2026-03-19T19:20:19.3337190Z</dcterms:modified>
  <dc:creator>Caitlin Clyne (2304935)</dc:creator>
  <lastModifiedBy>Caitlin Clyne (2304935)</lastModifiedBy>
</coreProperties>
</file>