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6043266"/>
        <w:docPartObj>
          <w:docPartGallery w:val="Cover Pages"/>
          <w:docPartUnique/>
        </w:docPartObj>
      </w:sdtPr>
      <w:sdtEndPr>
        <w:rPr>
          <w:rFonts w:eastAsiaTheme="minorHAnsi"/>
          <w:lang w:val="en-GB"/>
        </w:rPr>
      </w:sdtEndPr>
      <w:sdtContent>
        <w:p w14:paraId="33B3A696" w14:textId="42A09E78" w:rsidR="00E34925" w:rsidRDefault="00E34925">
          <w:pPr>
            <w:pStyle w:val="NoSpacing"/>
          </w:pPr>
          <w:r>
            <w:rPr>
              <w:noProof/>
            </w:rPr>
            <mc:AlternateContent>
              <mc:Choice Requires="wpg">
                <w:drawing>
                  <wp:anchor distT="0" distB="0" distL="114300" distR="114300" simplePos="0" relativeHeight="251659264" behindDoc="1" locked="0" layoutInCell="1" allowOverlap="1" wp14:anchorId="0E0A9419" wp14:editId="46E0411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74E97A6" w14:textId="77777777" w:rsidR="00E34925" w:rsidRDefault="00E34925">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0A9419"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74E97A6" w14:textId="77777777" w:rsidR="00E34925" w:rsidRDefault="00E34925">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42F2B63" wp14:editId="40A048B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C6F61" w14:textId="368FC214" w:rsidR="00E34925" w:rsidRDefault="00E3492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tian currie</w:t>
                                    </w:r>
                                  </w:sdtContent>
                                </w:sdt>
                              </w:p>
                              <w:p w14:paraId="76E9BF4A" w14:textId="049F0F50" w:rsidR="00E34925" w:rsidRDefault="00E3492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761CB">
                                      <w:rPr>
                                        <w:caps/>
                                        <w:color w:val="595959" w:themeColor="text1" w:themeTint="A6"/>
                                        <w:sz w:val="20"/>
                                        <w:szCs w:val="20"/>
                                      </w:rPr>
                                      <w:t xml:space="preserve">2010067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42F2B63"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D1C6F61" w14:textId="368FC214" w:rsidR="00E34925" w:rsidRDefault="00E3492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tian currie</w:t>
                              </w:r>
                            </w:sdtContent>
                          </w:sdt>
                        </w:p>
                        <w:p w14:paraId="76E9BF4A" w14:textId="049F0F50" w:rsidR="00E34925" w:rsidRDefault="00E3492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761CB">
                                <w:rPr>
                                  <w:caps/>
                                  <w:color w:val="595959" w:themeColor="text1" w:themeTint="A6"/>
                                  <w:sz w:val="20"/>
                                  <w:szCs w:val="20"/>
                                </w:rPr>
                                <w:t xml:space="preserve">2010067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01330FB" wp14:editId="5B4B017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C7F2F" w14:textId="16180B67" w:rsidR="00E34925" w:rsidRDefault="00E3492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35D42">
                                      <w:rPr>
                                        <w:rFonts w:asciiTheme="majorHAnsi" w:eastAsiaTheme="majorEastAsia" w:hAnsiTheme="majorHAnsi" w:cstheme="majorBidi"/>
                                        <w:color w:val="262626" w:themeColor="text1" w:themeTint="D9"/>
                                        <w:sz w:val="72"/>
                                        <w:szCs w:val="72"/>
                                      </w:rPr>
                                      <w:t>Organisational Change Agent for UK Post Office</w:t>
                                    </w:r>
                                  </w:sdtContent>
                                </w:sdt>
                              </w:p>
                              <w:p w14:paraId="7787E6F1" w14:textId="1AD60A88" w:rsidR="00E34925" w:rsidRDefault="00E3492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82658">
                                      <w:rPr>
                                        <w:color w:val="404040" w:themeColor="text1" w:themeTint="BF"/>
                                        <w:sz w:val="36"/>
                                        <w:szCs w:val="36"/>
                                      </w:rPr>
                                      <w:t>Leading and Implementing Workplace Change</w:t>
                                    </w:r>
                                  </w:sdtContent>
                                </w:sdt>
                              </w:p>
                              <w:p w14:paraId="5DE72E87" w14:textId="5729E89A" w:rsidR="008761CB" w:rsidRDefault="008761CB">
                                <w:pPr>
                                  <w:spacing w:before="120"/>
                                  <w:rPr>
                                    <w:color w:val="404040" w:themeColor="text1" w:themeTint="BF"/>
                                    <w:sz w:val="36"/>
                                    <w:szCs w:val="36"/>
                                  </w:rPr>
                                </w:pPr>
                                <w:r>
                                  <w:rPr>
                                    <w:color w:val="404040" w:themeColor="text1" w:themeTint="BF"/>
                                    <w:sz w:val="36"/>
                                    <w:szCs w:val="36"/>
                                  </w:rPr>
                                  <w:t>BMSW6103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01330FB"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05C7F2F" w14:textId="16180B67" w:rsidR="00E34925" w:rsidRDefault="00E3492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35D42">
                                <w:rPr>
                                  <w:rFonts w:asciiTheme="majorHAnsi" w:eastAsiaTheme="majorEastAsia" w:hAnsiTheme="majorHAnsi" w:cstheme="majorBidi"/>
                                  <w:color w:val="262626" w:themeColor="text1" w:themeTint="D9"/>
                                  <w:sz w:val="72"/>
                                  <w:szCs w:val="72"/>
                                </w:rPr>
                                <w:t>Organisational Change Agent for UK Post Office</w:t>
                              </w:r>
                            </w:sdtContent>
                          </w:sdt>
                        </w:p>
                        <w:p w14:paraId="7787E6F1" w14:textId="1AD60A88" w:rsidR="00E34925" w:rsidRDefault="00E3492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82658">
                                <w:rPr>
                                  <w:color w:val="404040" w:themeColor="text1" w:themeTint="BF"/>
                                  <w:sz w:val="36"/>
                                  <w:szCs w:val="36"/>
                                </w:rPr>
                                <w:t>Leading and Implementing Workplace Change</w:t>
                              </w:r>
                            </w:sdtContent>
                          </w:sdt>
                        </w:p>
                        <w:p w14:paraId="5DE72E87" w14:textId="5729E89A" w:rsidR="008761CB" w:rsidRDefault="008761CB">
                          <w:pPr>
                            <w:spacing w:before="120"/>
                            <w:rPr>
                              <w:color w:val="404040" w:themeColor="text1" w:themeTint="BF"/>
                              <w:sz w:val="36"/>
                              <w:szCs w:val="36"/>
                            </w:rPr>
                          </w:pPr>
                          <w:r>
                            <w:rPr>
                              <w:color w:val="404040" w:themeColor="text1" w:themeTint="BF"/>
                              <w:sz w:val="36"/>
                              <w:szCs w:val="36"/>
                            </w:rPr>
                            <w:t>BMSW6103</w:t>
                          </w:r>
                        </w:p>
                      </w:txbxContent>
                    </v:textbox>
                    <w10:wrap anchorx="page" anchory="page"/>
                  </v:shape>
                </w:pict>
              </mc:Fallback>
            </mc:AlternateContent>
          </w:r>
        </w:p>
        <w:p w14:paraId="6E67FF3C" w14:textId="594DC33A" w:rsidR="00E34925" w:rsidRPr="0032008A" w:rsidRDefault="00E34925">
          <w:pPr>
            <w:rPr>
              <w:rFonts w:asciiTheme="majorHAnsi" w:eastAsiaTheme="majorEastAsia" w:hAnsiTheme="majorHAnsi" w:cstheme="majorBidi"/>
              <w:color w:val="2F5496" w:themeColor="accent1" w:themeShade="BF"/>
              <w:kern w:val="0"/>
              <w:sz w:val="32"/>
              <w:szCs w:val="32"/>
              <w14:ligatures w14:val="none"/>
            </w:rPr>
          </w:pPr>
          <w:r w:rsidRPr="0032008A">
            <w:rPr>
              <w:kern w:val="0"/>
              <w14:ligatures w14:val="none"/>
            </w:rPr>
            <w:br w:type="page"/>
          </w:r>
        </w:p>
      </w:sdtContent>
    </w:sdt>
    <w:p w14:paraId="7C215D35" w14:textId="77777777" w:rsidR="002C794A" w:rsidRDefault="002C794A" w:rsidP="00085EDF">
      <w:pPr>
        <w:pStyle w:val="Heading1"/>
        <w:spacing w:line="360" w:lineRule="auto"/>
        <w:rPr>
          <w:rFonts w:ascii="Arial" w:hAnsi="Arial" w:cs="Arial"/>
          <w:sz w:val="22"/>
          <w:szCs w:val="22"/>
        </w:rPr>
      </w:pPr>
    </w:p>
    <w:sdt>
      <w:sdtPr>
        <w:id w:val="137574347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73EF657" w14:textId="550755F3" w:rsidR="00E34925" w:rsidRDefault="002C794A" w:rsidP="00E34925">
          <w:pPr>
            <w:pStyle w:val="TOCHeading"/>
            <w:rPr>
              <w:rFonts w:eastAsiaTheme="minorEastAsia"/>
              <w:noProof/>
              <w:lang w:eastAsia="en-GB"/>
            </w:rPr>
          </w:pPr>
          <w:r>
            <w:t>Table of Contents</w:t>
          </w:r>
          <w:r>
            <w:fldChar w:fldCharType="begin"/>
          </w:r>
          <w:r>
            <w:instrText xml:space="preserve"> TOC \o "1-3" \h \z \u </w:instrText>
          </w:r>
          <w:r>
            <w:fldChar w:fldCharType="separate"/>
          </w:r>
        </w:p>
        <w:p w14:paraId="057D41F9" w14:textId="504291E8" w:rsidR="00E34925" w:rsidRDefault="00E34925">
          <w:pPr>
            <w:pStyle w:val="TOC1"/>
            <w:tabs>
              <w:tab w:val="right" w:leader="dot" w:pos="9016"/>
            </w:tabs>
            <w:rPr>
              <w:rFonts w:eastAsiaTheme="minorEastAsia"/>
              <w:noProof/>
              <w:lang w:eastAsia="en-GB"/>
            </w:rPr>
          </w:pPr>
          <w:hyperlink w:anchor="_Toc142665973" w:history="1">
            <w:r w:rsidRPr="00BA6FB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_Toc142665973 \h </w:instrText>
            </w:r>
            <w:r>
              <w:rPr>
                <w:noProof/>
                <w:webHidden/>
              </w:rPr>
            </w:r>
            <w:r>
              <w:rPr>
                <w:noProof/>
                <w:webHidden/>
              </w:rPr>
              <w:fldChar w:fldCharType="separate"/>
            </w:r>
            <w:r>
              <w:rPr>
                <w:noProof/>
                <w:webHidden/>
              </w:rPr>
              <w:t>3</w:t>
            </w:r>
            <w:r>
              <w:rPr>
                <w:noProof/>
                <w:webHidden/>
              </w:rPr>
              <w:fldChar w:fldCharType="end"/>
            </w:r>
          </w:hyperlink>
        </w:p>
        <w:p w14:paraId="3158A32F" w14:textId="1F119518" w:rsidR="00E34925" w:rsidRDefault="00E34925">
          <w:pPr>
            <w:pStyle w:val="TOC1"/>
            <w:tabs>
              <w:tab w:val="right" w:leader="dot" w:pos="9016"/>
            </w:tabs>
            <w:rPr>
              <w:rFonts w:eastAsiaTheme="minorEastAsia"/>
              <w:noProof/>
              <w:lang w:eastAsia="en-GB"/>
            </w:rPr>
          </w:pPr>
          <w:hyperlink w:anchor="_Toc142665974" w:history="1">
            <w:r w:rsidRPr="00BA6FB1">
              <w:rPr>
                <w:rStyle w:val="Hyperlink"/>
                <w:rFonts w:ascii="Arial" w:hAnsi="Arial" w:cs="Arial"/>
                <w:noProof/>
              </w:rPr>
              <w:t>Critical Considerations for Internal or External Change Agents</w:t>
            </w:r>
            <w:r>
              <w:rPr>
                <w:noProof/>
                <w:webHidden/>
              </w:rPr>
              <w:tab/>
            </w:r>
            <w:r>
              <w:rPr>
                <w:noProof/>
                <w:webHidden/>
              </w:rPr>
              <w:fldChar w:fldCharType="begin"/>
            </w:r>
            <w:r>
              <w:rPr>
                <w:noProof/>
                <w:webHidden/>
              </w:rPr>
              <w:instrText xml:space="preserve"> PAGEREF _Toc142665974 \h </w:instrText>
            </w:r>
            <w:r>
              <w:rPr>
                <w:noProof/>
                <w:webHidden/>
              </w:rPr>
            </w:r>
            <w:r>
              <w:rPr>
                <w:noProof/>
                <w:webHidden/>
              </w:rPr>
              <w:fldChar w:fldCharType="separate"/>
            </w:r>
            <w:r>
              <w:rPr>
                <w:noProof/>
                <w:webHidden/>
              </w:rPr>
              <w:t>3</w:t>
            </w:r>
            <w:r>
              <w:rPr>
                <w:noProof/>
                <w:webHidden/>
              </w:rPr>
              <w:fldChar w:fldCharType="end"/>
            </w:r>
          </w:hyperlink>
        </w:p>
        <w:p w14:paraId="3078FE9E" w14:textId="7050E777" w:rsidR="00E34925" w:rsidRDefault="00E34925">
          <w:pPr>
            <w:pStyle w:val="TOC1"/>
            <w:tabs>
              <w:tab w:val="right" w:leader="dot" w:pos="9016"/>
            </w:tabs>
            <w:rPr>
              <w:rFonts w:eastAsiaTheme="minorEastAsia"/>
              <w:noProof/>
              <w:lang w:eastAsia="en-GB"/>
            </w:rPr>
          </w:pPr>
          <w:hyperlink w:anchor="_Toc142665975" w:history="1">
            <w:r w:rsidRPr="00BA6FB1">
              <w:rPr>
                <w:rStyle w:val="Hyperlink"/>
                <w:rFonts w:ascii="Arial" w:hAnsi="Arial" w:cs="Arial"/>
                <w:noProof/>
              </w:rPr>
              <w:t>Internal and External Consultants Stakeholder Analysis</w:t>
            </w:r>
            <w:r>
              <w:rPr>
                <w:noProof/>
                <w:webHidden/>
              </w:rPr>
              <w:tab/>
            </w:r>
            <w:r>
              <w:rPr>
                <w:noProof/>
                <w:webHidden/>
              </w:rPr>
              <w:fldChar w:fldCharType="begin"/>
            </w:r>
            <w:r>
              <w:rPr>
                <w:noProof/>
                <w:webHidden/>
              </w:rPr>
              <w:instrText xml:space="preserve"> PAGEREF _Toc142665975 \h </w:instrText>
            </w:r>
            <w:r>
              <w:rPr>
                <w:noProof/>
                <w:webHidden/>
              </w:rPr>
            </w:r>
            <w:r>
              <w:rPr>
                <w:noProof/>
                <w:webHidden/>
              </w:rPr>
              <w:fldChar w:fldCharType="separate"/>
            </w:r>
            <w:r>
              <w:rPr>
                <w:noProof/>
                <w:webHidden/>
              </w:rPr>
              <w:t>6</w:t>
            </w:r>
            <w:r>
              <w:rPr>
                <w:noProof/>
                <w:webHidden/>
              </w:rPr>
              <w:fldChar w:fldCharType="end"/>
            </w:r>
          </w:hyperlink>
        </w:p>
        <w:p w14:paraId="2CCCC43F" w14:textId="5C3478AF" w:rsidR="00E34925" w:rsidRDefault="00E34925">
          <w:pPr>
            <w:pStyle w:val="TOC2"/>
            <w:tabs>
              <w:tab w:val="right" w:leader="dot" w:pos="9016"/>
            </w:tabs>
            <w:rPr>
              <w:rFonts w:eastAsiaTheme="minorEastAsia"/>
              <w:noProof/>
              <w:lang w:eastAsia="en-GB"/>
            </w:rPr>
          </w:pPr>
          <w:hyperlink w:anchor="_Toc142665976" w:history="1">
            <w:r w:rsidRPr="00BA6FB1">
              <w:rPr>
                <w:rStyle w:val="Hyperlink"/>
                <w:rFonts w:ascii="Arial" w:hAnsi="Arial" w:cs="Arial"/>
                <w:noProof/>
              </w:rPr>
              <w:t>Stakeholders</w:t>
            </w:r>
            <w:r>
              <w:rPr>
                <w:noProof/>
                <w:webHidden/>
              </w:rPr>
              <w:tab/>
            </w:r>
            <w:r>
              <w:rPr>
                <w:noProof/>
                <w:webHidden/>
              </w:rPr>
              <w:fldChar w:fldCharType="begin"/>
            </w:r>
            <w:r>
              <w:rPr>
                <w:noProof/>
                <w:webHidden/>
              </w:rPr>
              <w:instrText xml:space="preserve"> PAGEREF _Toc142665976 \h </w:instrText>
            </w:r>
            <w:r>
              <w:rPr>
                <w:noProof/>
                <w:webHidden/>
              </w:rPr>
            </w:r>
            <w:r>
              <w:rPr>
                <w:noProof/>
                <w:webHidden/>
              </w:rPr>
              <w:fldChar w:fldCharType="separate"/>
            </w:r>
            <w:r>
              <w:rPr>
                <w:noProof/>
                <w:webHidden/>
              </w:rPr>
              <w:t>7</w:t>
            </w:r>
            <w:r>
              <w:rPr>
                <w:noProof/>
                <w:webHidden/>
              </w:rPr>
              <w:fldChar w:fldCharType="end"/>
            </w:r>
          </w:hyperlink>
        </w:p>
        <w:p w14:paraId="46917E5A" w14:textId="3D0CD13A" w:rsidR="00E34925" w:rsidRDefault="00E34925">
          <w:pPr>
            <w:pStyle w:val="TOC2"/>
            <w:tabs>
              <w:tab w:val="right" w:leader="dot" w:pos="9016"/>
            </w:tabs>
            <w:rPr>
              <w:rFonts w:eastAsiaTheme="minorEastAsia"/>
              <w:noProof/>
              <w:lang w:eastAsia="en-GB"/>
            </w:rPr>
          </w:pPr>
          <w:hyperlink w:anchor="_Toc142665977" w:history="1">
            <w:r w:rsidRPr="00BA6FB1">
              <w:rPr>
                <w:rStyle w:val="Hyperlink"/>
                <w:rFonts w:ascii="Arial" w:hAnsi="Arial" w:cs="Arial"/>
                <w:noProof/>
                <w:lang w:eastAsia="en-GB"/>
              </w:rPr>
              <w:t>Salience Model Application</w:t>
            </w:r>
            <w:r>
              <w:rPr>
                <w:noProof/>
                <w:webHidden/>
              </w:rPr>
              <w:tab/>
            </w:r>
            <w:r>
              <w:rPr>
                <w:noProof/>
                <w:webHidden/>
              </w:rPr>
              <w:fldChar w:fldCharType="begin"/>
            </w:r>
            <w:r>
              <w:rPr>
                <w:noProof/>
                <w:webHidden/>
              </w:rPr>
              <w:instrText xml:space="preserve"> PAGEREF _Toc142665977 \h </w:instrText>
            </w:r>
            <w:r>
              <w:rPr>
                <w:noProof/>
                <w:webHidden/>
              </w:rPr>
            </w:r>
            <w:r>
              <w:rPr>
                <w:noProof/>
                <w:webHidden/>
              </w:rPr>
              <w:fldChar w:fldCharType="separate"/>
            </w:r>
            <w:r>
              <w:rPr>
                <w:noProof/>
                <w:webHidden/>
              </w:rPr>
              <w:t>8</w:t>
            </w:r>
            <w:r>
              <w:rPr>
                <w:noProof/>
                <w:webHidden/>
              </w:rPr>
              <w:fldChar w:fldCharType="end"/>
            </w:r>
          </w:hyperlink>
        </w:p>
        <w:p w14:paraId="56A917E3" w14:textId="1A74974F" w:rsidR="00E34925" w:rsidRDefault="00E34925">
          <w:pPr>
            <w:pStyle w:val="TOC2"/>
            <w:tabs>
              <w:tab w:val="right" w:leader="dot" w:pos="9016"/>
            </w:tabs>
            <w:rPr>
              <w:rFonts w:eastAsiaTheme="minorEastAsia"/>
              <w:noProof/>
              <w:lang w:eastAsia="en-GB"/>
            </w:rPr>
          </w:pPr>
          <w:hyperlink w:anchor="_Toc142665978" w:history="1">
            <w:r w:rsidRPr="00BA6FB1">
              <w:rPr>
                <w:rStyle w:val="Hyperlink"/>
                <w:rFonts w:ascii="Arial" w:hAnsi="Arial" w:cs="Arial"/>
                <w:noProof/>
              </w:rPr>
              <w:t>Strategies for Effective Stakeholder Engagement</w:t>
            </w:r>
            <w:r>
              <w:rPr>
                <w:noProof/>
                <w:webHidden/>
              </w:rPr>
              <w:tab/>
            </w:r>
            <w:r>
              <w:rPr>
                <w:noProof/>
                <w:webHidden/>
              </w:rPr>
              <w:fldChar w:fldCharType="begin"/>
            </w:r>
            <w:r>
              <w:rPr>
                <w:noProof/>
                <w:webHidden/>
              </w:rPr>
              <w:instrText xml:space="preserve"> PAGEREF _Toc142665978 \h </w:instrText>
            </w:r>
            <w:r>
              <w:rPr>
                <w:noProof/>
                <w:webHidden/>
              </w:rPr>
            </w:r>
            <w:r>
              <w:rPr>
                <w:noProof/>
                <w:webHidden/>
              </w:rPr>
              <w:fldChar w:fldCharType="separate"/>
            </w:r>
            <w:r>
              <w:rPr>
                <w:noProof/>
                <w:webHidden/>
              </w:rPr>
              <w:t>12</w:t>
            </w:r>
            <w:r>
              <w:rPr>
                <w:noProof/>
                <w:webHidden/>
              </w:rPr>
              <w:fldChar w:fldCharType="end"/>
            </w:r>
          </w:hyperlink>
        </w:p>
        <w:p w14:paraId="30064D76" w14:textId="45FA388C" w:rsidR="00E34925" w:rsidRDefault="00E34925">
          <w:pPr>
            <w:pStyle w:val="TOC3"/>
            <w:tabs>
              <w:tab w:val="right" w:leader="dot" w:pos="9016"/>
            </w:tabs>
            <w:rPr>
              <w:rFonts w:eastAsiaTheme="minorEastAsia"/>
              <w:noProof/>
              <w:lang w:eastAsia="en-GB"/>
            </w:rPr>
          </w:pPr>
          <w:hyperlink w:anchor="_Toc142665979" w:history="1">
            <w:r w:rsidRPr="00BA6FB1">
              <w:rPr>
                <w:rStyle w:val="Hyperlink"/>
                <w:rFonts w:ascii="Arial" w:hAnsi="Arial" w:cs="Arial"/>
                <w:noProof/>
              </w:rPr>
              <w:t>Mapping and Prioritisation</w:t>
            </w:r>
            <w:r>
              <w:rPr>
                <w:noProof/>
                <w:webHidden/>
              </w:rPr>
              <w:tab/>
            </w:r>
            <w:r>
              <w:rPr>
                <w:noProof/>
                <w:webHidden/>
              </w:rPr>
              <w:fldChar w:fldCharType="begin"/>
            </w:r>
            <w:r>
              <w:rPr>
                <w:noProof/>
                <w:webHidden/>
              </w:rPr>
              <w:instrText xml:space="preserve"> PAGEREF _Toc142665979 \h </w:instrText>
            </w:r>
            <w:r>
              <w:rPr>
                <w:noProof/>
                <w:webHidden/>
              </w:rPr>
            </w:r>
            <w:r>
              <w:rPr>
                <w:noProof/>
                <w:webHidden/>
              </w:rPr>
              <w:fldChar w:fldCharType="separate"/>
            </w:r>
            <w:r>
              <w:rPr>
                <w:noProof/>
                <w:webHidden/>
              </w:rPr>
              <w:t>12</w:t>
            </w:r>
            <w:r>
              <w:rPr>
                <w:noProof/>
                <w:webHidden/>
              </w:rPr>
              <w:fldChar w:fldCharType="end"/>
            </w:r>
          </w:hyperlink>
        </w:p>
        <w:p w14:paraId="7CD67437" w14:textId="2C0A8318" w:rsidR="00E34925" w:rsidRDefault="00E34925">
          <w:pPr>
            <w:pStyle w:val="TOC3"/>
            <w:tabs>
              <w:tab w:val="right" w:leader="dot" w:pos="9016"/>
            </w:tabs>
            <w:rPr>
              <w:rFonts w:eastAsiaTheme="minorEastAsia"/>
              <w:noProof/>
              <w:lang w:eastAsia="en-GB"/>
            </w:rPr>
          </w:pPr>
          <w:hyperlink w:anchor="_Toc142665980" w:history="1">
            <w:r w:rsidRPr="00BA6FB1">
              <w:rPr>
                <w:rStyle w:val="Hyperlink"/>
                <w:rFonts w:ascii="Arial" w:hAnsi="Arial" w:cs="Arial"/>
                <w:noProof/>
              </w:rPr>
              <w:t>Tailored Communication Channels</w:t>
            </w:r>
            <w:r>
              <w:rPr>
                <w:noProof/>
                <w:webHidden/>
              </w:rPr>
              <w:tab/>
            </w:r>
            <w:r>
              <w:rPr>
                <w:noProof/>
                <w:webHidden/>
              </w:rPr>
              <w:fldChar w:fldCharType="begin"/>
            </w:r>
            <w:r>
              <w:rPr>
                <w:noProof/>
                <w:webHidden/>
              </w:rPr>
              <w:instrText xml:space="preserve"> PAGEREF _Toc142665980 \h </w:instrText>
            </w:r>
            <w:r>
              <w:rPr>
                <w:noProof/>
                <w:webHidden/>
              </w:rPr>
            </w:r>
            <w:r>
              <w:rPr>
                <w:noProof/>
                <w:webHidden/>
              </w:rPr>
              <w:fldChar w:fldCharType="separate"/>
            </w:r>
            <w:r>
              <w:rPr>
                <w:noProof/>
                <w:webHidden/>
              </w:rPr>
              <w:t>12</w:t>
            </w:r>
            <w:r>
              <w:rPr>
                <w:noProof/>
                <w:webHidden/>
              </w:rPr>
              <w:fldChar w:fldCharType="end"/>
            </w:r>
          </w:hyperlink>
        </w:p>
        <w:p w14:paraId="4A3565B4" w14:textId="063E4D74" w:rsidR="00E34925" w:rsidRDefault="00E34925">
          <w:pPr>
            <w:pStyle w:val="TOC3"/>
            <w:tabs>
              <w:tab w:val="right" w:leader="dot" w:pos="9016"/>
            </w:tabs>
            <w:rPr>
              <w:rFonts w:eastAsiaTheme="minorEastAsia"/>
              <w:noProof/>
              <w:lang w:eastAsia="en-GB"/>
            </w:rPr>
          </w:pPr>
          <w:hyperlink w:anchor="_Toc142665981" w:history="1">
            <w:r w:rsidRPr="00BA6FB1">
              <w:rPr>
                <w:rStyle w:val="Hyperlink"/>
                <w:rFonts w:ascii="Arial" w:hAnsi="Arial" w:cs="Arial"/>
                <w:noProof/>
              </w:rPr>
              <w:t>Customised Engagement Approaches</w:t>
            </w:r>
            <w:r>
              <w:rPr>
                <w:noProof/>
                <w:webHidden/>
              </w:rPr>
              <w:tab/>
            </w:r>
            <w:r>
              <w:rPr>
                <w:noProof/>
                <w:webHidden/>
              </w:rPr>
              <w:fldChar w:fldCharType="begin"/>
            </w:r>
            <w:r>
              <w:rPr>
                <w:noProof/>
                <w:webHidden/>
              </w:rPr>
              <w:instrText xml:space="preserve"> PAGEREF _Toc142665981 \h </w:instrText>
            </w:r>
            <w:r>
              <w:rPr>
                <w:noProof/>
                <w:webHidden/>
              </w:rPr>
            </w:r>
            <w:r>
              <w:rPr>
                <w:noProof/>
                <w:webHidden/>
              </w:rPr>
              <w:fldChar w:fldCharType="separate"/>
            </w:r>
            <w:r>
              <w:rPr>
                <w:noProof/>
                <w:webHidden/>
              </w:rPr>
              <w:t>12</w:t>
            </w:r>
            <w:r>
              <w:rPr>
                <w:noProof/>
                <w:webHidden/>
              </w:rPr>
              <w:fldChar w:fldCharType="end"/>
            </w:r>
          </w:hyperlink>
        </w:p>
        <w:p w14:paraId="7D8B90D0" w14:textId="1C077759" w:rsidR="00E34925" w:rsidRDefault="00E34925">
          <w:pPr>
            <w:pStyle w:val="TOC3"/>
            <w:tabs>
              <w:tab w:val="right" w:leader="dot" w:pos="9016"/>
            </w:tabs>
            <w:rPr>
              <w:rFonts w:eastAsiaTheme="minorEastAsia"/>
              <w:noProof/>
              <w:lang w:eastAsia="en-GB"/>
            </w:rPr>
          </w:pPr>
          <w:hyperlink w:anchor="_Toc142665982" w:history="1">
            <w:r w:rsidRPr="00BA6FB1">
              <w:rPr>
                <w:rStyle w:val="Hyperlink"/>
                <w:rFonts w:ascii="Arial" w:hAnsi="Arial" w:cs="Arial"/>
                <w:noProof/>
              </w:rPr>
              <w:t>Conflict Resolution</w:t>
            </w:r>
            <w:r>
              <w:rPr>
                <w:noProof/>
                <w:webHidden/>
              </w:rPr>
              <w:tab/>
            </w:r>
            <w:r>
              <w:rPr>
                <w:noProof/>
                <w:webHidden/>
              </w:rPr>
              <w:fldChar w:fldCharType="begin"/>
            </w:r>
            <w:r>
              <w:rPr>
                <w:noProof/>
                <w:webHidden/>
              </w:rPr>
              <w:instrText xml:space="preserve"> PAGEREF _Toc142665982 \h </w:instrText>
            </w:r>
            <w:r>
              <w:rPr>
                <w:noProof/>
                <w:webHidden/>
              </w:rPr>
            </w:r>
            <w:r>
              <w:rPr>
                <w:noProof/>
                <w:webHidden/>
              </w:rPr>
              <w:fldChar w:fldCharType="separate"/>
            </w:r>
            <w:r>
              <w:rPr>
                <w:noProof/>
                <w:webHidden/>
              </w:rPr>
              <w:t>12</w:t>
            </w:r>
            <w:r>
              <w:rPr>
                <w:noProof/>
                <w:webHidden/>
              </w:rPr>
              <w:fldChar w:fldCharType="end"/>
            </w:r>
          </w:hyperlink>
        </w:p>
        <w:p w14:paraId="6E3F8760" w14:textId="4898AD63" w:rsidR="00E34925" w:rsidRDefault="00E34925">
          <w:pPr>
            <w:pStyle w:val="TOC1"/>
            <w:tabs>
              <w:tab w:val="right" w:leader="dot" w:pos="9016"/>
            </w:tabs>
            <w:rPr>
              <w:rFonts w:eastAsiaTheme="minorEastAsia"/>
              <w:noProof/>
              <w:lang w:eastAsia="en-GB"/>
            </w:rPr>
          </w:pPr>
          <w:hyperlink w:anchor="_Toc142665983" w:history="1">
            <w:r w:rsidRPr="00BA6FB1">
              <w:rPr>
                <w:rStyle w:val="Hyperlink"/>
                <w:rFonts w:ascii="Arial" w:hAnsi="Arial" w:cs="Arial"/>
                <w:noProof/>
              </w:rPr>
              <w:t>Power and Politics: Influence on Internal and External Change Consultants</w:t>
            </w:r>
            <w:r>
              <w:rPr>
                <w:noProof/>
                <w:webHidden/>
              </w:rPr>
              <w:tab/>
            </w:r>
            <w:r>
              <w:rPr>
                <w:noProof/>
                <w:webHidden/>
              </w:rPr>
              <w:fldChar w:fldCharType="begin"/>
            </w:r>
            <w:r>
              <w:rPr>
                <w:noProof/>
                <w:webHidden/>
              </w:rPr>
              <w:instrText xml:space="preserve"> PAGEREF _Toc142665983 \h </w:instrText>
            </w:r>
            <w:r>
              <w:rPr>
                <w:noProof/>
                <w:webHidden/>
              </w:rPr>
            </w:r>
            <w:r>
              <w:rPr>
                <w:noProof/>
                <w:webHidden/>
              </w:rPr>
              <w:fldChar w:fldCharType="separate"/>
            </w:r>
            <w:r>
              <w:rPr>
                <w:noProof/>
                <w:webHidden/>
              </w:rPr>
              <w:t>13</w:t>
            </w:r>
            <w:r>
              <w:rPr>
                <w:noProof/>
                <w:webHidden/>
              </w:rPr>
              <w:fldChar w:fldCharType="end"/>
            </w:r>
          </w:hyperlink>
        </w:p>
        <w:p w14:paraId="16396BFB" w14:textId="622F527B" w:rsidR="00E34925" w:rsidRDefault="00E34925">
          <w:pPr>
            <w:pStyle w:val="TOC2"/>
            <w:tabs>
              <w:tab w:val="right" w:leader="dot" w:pos="9016"/>
            </w:tabs>
            <w:rPr>
              <w:rFonts w:eastAsiaTheme="minorEastAsia"/>
              <w:noProof/>
              <w:lang w:eastAsia="en-GB"/>
            </w:rPr>
          </w:pPr>
          <w:hyperlink w:anchor="_Toc142665984" w:history="1">
            <w:r w:rsidRPr="00BA6FB1">
              <w:rPr>
                <w:rStyle w:val="Hyperlink"/>
                <w:rFonts w:ascii="Arial" w:hAnsi="Arial" w:cs="Arial"/>
                <w:noProof/>
              </w:rPr>
              <w:t>Power Dynamics</w:t>
            </w:r>
            <w:r>
              <w:rPr>
                <w:noProof/>
                <w:webHidden/>
              </w:rPr>
              <w:tab/>
            </w:r>
            <w:r>
              <w:rPr>
                <w:noProof/>
                <w:webHidden/>
              </w:rPr>
              <w:fldChar w:fldCharType="begin"/>
            </w:r>
            <w:r>
              <w:rPr>
                <w:noProof/>
                <w:webHidden/>
              </w:rPr>
              <w:instrText xml:space="preserve"> PAGEREF _Toc142665984 \h </w:instrText>
            </w:r>
            <w:r>
              <w:rPr>
                <w:noProof/>
                <w:webHidden/>
              </w:rPr>
            </w:r>
            <w:r>
              <w:rPr>
                <w:noProof/>
                <w:webHidden/>
              </w:rPr>
              <w:fldChar w:fldCharType="separate"/>
            </w:r>
            <w:r>
              <w:rPr>
                <w:noProof/>
                <w:webHidden/>
              </w:rPr>
              <w:t>13</w:t>
            </w:r>
            <w:r>
              <w:rPr>
                <w:noProof/>
                <w:webHidden/>
              </w:rPr>
              <w:fldChar w:fldCharType="end"/>
            </w:r>
          </w:hyperlink>
        </w:p>
        <w:p w14:paraId="33F04AA2" w14:textId="0BB19E6E" w:rsidR="00E34925" w:rsidRDefault="00E34925">
          <w:pPr>
            <w:pStyle w:val="TOC3"/>
            <w:tabs>
              <w:tab w:val="right" w:leader="dot" w:pos="9016"/>
            </w:tabs>
            <w:rPr>
              <w:rFonts w:eastAsiaTheme="minorEastAsia"/>
              <w:noProof/>
              <w:lang w:eastAsia="en-GB"/>
            </w:rPr>
          </w:pPr>
          <w:hyperlink w:anchor="_Toc142665985" w:history="1">
            <w:r w:rsidRPr="00BA6FB1">
              <w:rPr>
                <w:rStyle w:val="Hyperlink"/>
                <w:rFonts w:ascii="Arial" w:hAnsi="Arial" w:cs="Arial"/>
                <w:noProof/>
              </w:rPr>
              <w:t>Internal Change Agents</w:t>
            </w:r>
            <w:r>
              <w:rPr>
                <w:noProof/>
                <w:webHidden/>
              </w:rPr>
              <w:tab/>
            </w:r>
            <w:r>
              <w:rPr>
                <w:noProof/>
                <w:webHidden/>
              </w:rPr>
              <w:fldChar w:fldCharType="begin"/>
            </w:r>
            <w:r>
              <w:rPr>
                <w:noProof/>
                <w:webHidden/>
              </w:rPr>
              <w:instrText xml:space="preserve"> PAGEREF _Toc142665985 \h </w:instrText>
            </w:r>
            <w:r>
              <w:rPr>
                <w:noProof/>
                <w:webHidden/>
              </w:rPr>
            </w:r>
            <w:r>
              <w:rPr>
                <w:noProof/>
                <w:webHidden/>
              </w:rPr>
              <w:fldChar w:fldCharType="separate"/>
            </w:r>
            <w:r>
              <w:rPr>
                <w:noProof/>
                <w:webHidden/>
              </w:rPr>
              <w:t>13</w:t>
            </w:r>
            <w:r>
              <w:rPr>
                <w:noProof/>
                <w:webHidden/>
              </w:rPr>
              <w:fldChar w:fldCharType="end"/>
            </w:r>
          </w:hyperlink>
        </w:p>
        <w:p w14:paraId="246C0983" w14:textId="2719166A" w:rsidR="00E34925" w:rsidRDefault="00E34925">
          <w:pPr>
            <w:pStyle w:val="TOC3"/>
            <w:tabs>
              <w:tab w:val="right" w:leader="dot" w:pos="9016"/>
            </w:tabs>
            <w:rPr>
              <w:rFonts w:eastAsiaTheme="minorEastAsia"/>
              <w:noProof/>
              <w:lang w:eastAsia="en-GB"/>
            </w:rPr>
          </w:pPr>
          <w:hyperlink w:anchor="_Toc142665986" w:history="1">
            <w:r w:rsidRPr="00BA6FB1">
              <w:rPr>
                <w:rStyle w:val="Hyperlink"/>
                <w:rFonts w:ascii="Arial" w:hAnsi="Arial" w:cs="Arial"/>
                <w:noProof/>
              </w:rPr>
              <w:t>External Change Agents</w:t>
            </w:r>
            <w:r>
              <w:rPr>
                <w:noProof/>
                <w:webHidden/>
              </w:rPr>
              <w:tab/>
            </w:r>
            <w:r>
              <w:rPr>
                <w:noProof/>
                <w:webHidden/>
              </w:rPr>
              <w:fldChar w:fldCharType="begin"/>
            </w:r>
            <w:r>
              <w:rPr>
                <w:noProof/>
                <w:webHidden/>
              </w:rPr>
              <w:instrText xml:space="preserve"> PAGEREF _Toc142665986 \h </w:instrText>
            </w:r>
            <w:r>
              <w:rPr>
                <w:noProof/>
                <w:webHidden/>
              </w:rPr>
            </w:r>
            <w:r>
              <w:rPr>
                <w:noProof/>
                <w:webHidden/>
              </w:rPr>
              <w:fldChar w:fldCharType="separate"/>
            </w:r>
            <w:r>
              <w:rPr>
                <w:noProof/>
                <w:webHidden/>
              </w:rPr>
              <w:t>14</w:t>
            </w:r>
            <w:r>
              <w:rPr>
                <w:noProof/>
                <w:webHidden/>
              </w:rPr>
              <w:fldChar w:fldCharType="end"/>
            </w:r>
          </w:hyperlink>
        </w:p>
        <w:p w14:paraId="5FB5A634" w14:textId="12D1E590" w:rsidR="00E34925" w:rsidRDefault="00E34925">
          <w:pPr>
            <w:pStyle w:val="TOC2"/>
            <w:tabs>
              <w:tab w:val="right" w:leader="dot" w:pos="9016"/>
            </w:tabs>
            <w:rPr>
              <w:rFonts w:eastAsiaTheme="minorEastAsia"/>
              <w:noProof/>
              <w:lang w:eastAsia="en-GB"/>
            </w:rPr>
          </w:pPr>
          <w:hyperlink w:anchor="_Toc142665987" w:history="1">
            <w:r w:rsidRPr="00BA6FB1">
              <w:rPr>
                <w:rStyle w:val="Hyperlink"/>
                <w:rFonts w:ascii="Arial" w:hAnsi="Arial" w:cs="Arial"/>
                <w:noProof/>
              </w:rPr>
              <w:t>Political Dynamics</w:t>
            </w:r>
            <w:r>
              <w:rPr>
                <w:noProof/>
                <w:webHidden/>
              </w:rPr>
              <w:tab/>
            </w:r>
            <w:r>
              <w:rPr>
                <w:noProof/>
                <w:webHidden/>
              </w:rPr>
              <w:fldChar w:fldCharType="begin"/>
            </w:r>
            <w:r>
              <w:rPr>
                <w:noProof/>
                <w:webHidden/>
              </w:rPr>
              <w:instrText xml:space="preserve"> PAGEREF _Toc142665987 \h </w:instrText>
            </w:r>
            <w:r>
              <w:rPr>
                <w:noProof/>
                <w:webHidden/>
              </w:rPr>
            </w:r>
            <w:r>
              <w:rPr>
                <w:noProof/>
                <w:webHidden/>
              </w:rPr>
              <w:fldChar w:fldCharType="separate"/>
            </w:r>
            <w:r>
              <w:rPr>
                <w:noProof/>
                <w:webHidden/>
              </w:rPr>
              <w:t>15</w:t>
            </w:r>
            <w:r>
              <w:rPr>
                <w:noProof/>
                <w:webHidden/>
              </w:rPr>
              <w:fldChar w:fldCharType="end"/>
            </w:r>
          </w:hyperlink>
        </w:p>
        <w:p w14:paraId="56B5FAE5" w14:textId="44F49B81" w:rsidR="00E34925" w:rsidRDefault="00E34925">
          <w:pPr>
            <w:pStyle w:val="TOC3"/>
            <w:tabs>
              <w:tab w:val="right" w:leader="dot" w:pos="9016"/>
            </w:tabs>
            <w:rPr>
              <w:rFonts w:eastAsiaTheme="minorEastAsia"/>
              <w:noProof/>
              <w:lang w:eastAsia="en-GB"/>
            </w:rPr>
          </w:pPr>
          <w:hyperlink w:anchor="_Toc142665988" w:history="1">
            <w:r w:rsidRPr="00BA6FB1">
              <w:rPr>
                <w:rStyle w:val="Hyperlink"/>
                <w:rFonts w:ascii="Arial" w:hAnsi="Arial" w:cs="Arial"/>
                <w:noProof/>
              </w:rPr>
              <w:t>Internal Change Agents</w:t>
            </w:r>
            <w:r>
              <w:rPr>
                <w:noProof/>
                <w:webHidden/>
              </w:rPr>
              <w:tab/>
            </w:r>
            <w:r>
              <w:rPr>
                <w:noProof/>
                <w:webHidden/>
              </w:rPr>
              <w:fldChar w:fldCharType="begin"/>
            </w:r>
            <w:r>
              <w:rPr>
                <w:noProof/>
                <w:webHidden/>
              </w:rPr>
              <w:instrText xml:space="preserve"> PAGEREF _Toc142665988 \h </w:instrText>
            </w:r>
            <w:r>
              <w:rPr>
                <w:noProof/>
                <w:webHidden/>
              </w:rPr>
            </w:r>
            <w:r>
              <w:rPr>
                <w:noProof/>
                <w:webHidden/>
              </w:rPr>
              <w:fldChar w:fldCharType="separate"/>
            </w:r>
            <w:r>
              <w:rPr>
                <w:noProof/>
                <w:webHidden/>
              </w:rPr>
              <w:t>15</w:t>
            </w:r>
            <w:r>
              <w:rPr>
                <w:noProof/>
                <w:webHidden/>
              </w:rPr>
              <w:fldChar w:fldCharType="end"/>
            </w:r>
          </w:hyperlink>
        </w:p>
        <w:p w14:paraId="1E671383" w14:textId="23181C3C" w:rsidR="00E34925" w:rsidRDefault="00E34925">
          <w:pPr>
            <w:pStyle w:val="TOC3"/>
            <w:tabs>
              <w:tab w:val="right" w:leader="dot" w:pos="9016"/>
            </w:tabs>
            <w:rPr>
              <w:rFonts w:eastAsiaTheme="minorEastAsia"/>
              <w:noProof/>
              <w:lang w:eastAsia="en-GB"/>
            </w:rPr>
          </w:pPr>
          <w:hyperlink w:anchor="_Toc142665989" w:history="1">
            <w:r w:rsidRPr="00BA6FB1">
              <w:rPr>
                <w:rStyle w:val="Hyperlink"/>
                <w:rFonts w:ascii="Arial" w:hAnsi="Arial" w:cs="Arial"/>
                <w:noProof/>
              </w:rPr>
              <w:t>External Change Agents</w:t>
            </w:r>
            <w:r>
              <w:rPr>
                <w:noProof/>
                <w:webHidden/>
              </w:rPr>
              <w:tab/>
            </w:r>
            <w:r>
              <w:rPr>
                <w:noProof/>
                <w:webHidden/>
              </w:rPr>
              <w:fldChar w:fldCharType="begin"/>
            </w:r>
            <w:r>
              <w:rPr>
                <w:noProof/>
                <w:webHidden/>
              </w:rPr>
              <w:instrText xml:space="preserve"> PAGEREF _Toc142665989 \h </w:instrText>
            </w:r>
            <w:r>
              <w:rPr>
                <w:noProof/>
                <w:webHidden/>
              </w:rPr>
            </w:r>
            <w:r>
              <w:rPr>
                <w:noProof/>
                <w:webHidden/>
              </w:rPr>
              <w:fldChar w:fldCharType="separate"/>
            </w:r>
            <w:r>
              <w:rPr>
                <w:noProof/>
                <w:webHidden/>
              </w:rPr>
              <w:t>16</w:t>
            </w:r>
            <w:r>
              <w:rPr>
                <w:noProof/>
                <w:webHidden/>
              </w:rPr>
              <w:fldChar w:fldCharType="end"/>
            </w:r>
          </w:hyperlink>
        </w:p>
        <w:p w14:paraId="736446C7" w14:textId="0D3E7F07" w:rsidR="00E34925" w:rsidRDefault="00E34925">
          <w:pPr>
            <w:pStyle w:val="TOC1"/>
            <w:tabs>
              <w:tab w:val="right" w:leader="dot" w:pos="9016"/>
            </w:tabs>
            <w:rPr>
              <w:rFonts w:eastAsiaTheme="minorEastAsia"/>
              <w:noProof/>
              <w:lang w:eastAsia="en-GB"/>
            </w:rPr>
          </w:pPr>
          <w:hyperlink w:anchor="_Toc142665990" w:history="1">
            <w:r w:rsidRPr="00BA6FB1">
              <w:rPr>
                <w:rStyle w:val="Hyperlink"/>
                <w:rFonts w:ascii="Arial" w:hAnsi="Arial" w:cs="Arial"/>
                <w:noProof/>
              </w:rPr>
              <w:t>Conclusion &amp; Recommendations</w:t>
            </w:r>
            <w:r>
              <w:rPr>
                <w:noProof/>
                <w:webHidden/>
              </w:rPr>
              <w:tab/>
            </w:r>
            <w:r>
              <w:rPr>
                <w:noProof/>
                <w:webHidden/>
              </w:rPr>
              <w:fldChar w:fldCharType="begin"/>
            </w:r>
            <w:r>
              <w:rPr>
                <w:noProof/>
                <w:webHidden/>
              </w:rPr>
              <w:instrText xml:space="preserve"> PAGEREF _Toc142665990 \h </w:instrText>
            </w:r>
            <w:r>
              <w:rPr>
                <w:noProof/>
                <w:webHidden/>
              </w:rPr>
            </w:r>
            <w:r>
              <w:rPr>
                <w:noProof/>
                <w:webHidden/>
              </w:rPr>
              <w:fldChar w:fldCharType="separate"/>
            </w:r>
            <w:r>
              <w:rPr>
                <w:noProof/>
                <w:webHidden/>
              </w:rPr>
              <w:t>17</w:t>
            </w:r>
            <w:r>
              <w:rPr>
                <w:noProof/>
                <w:webHidden/>
              </w:rPr>
              <w:fldChar w:fldCharType="end"/>
            </w:r>
          </w:hyperlink>
        </w:p>
        <w:p w14:paraId="68FC375A" w14:textId="2056B822" w:rsidR="00E34925" w:rsidRDefault="00E34925">
          <w:pPr>
            <w:pStyle w:val="TOC1"/>
            <w:tabs>
              <w:tab w:val="right" w:leader="dot" w:pos="9016"/>
            </w:tabs>
            <w:rPr>
              <w:rFonts w:eastAsiaTheme="minorEastAsia"/>
              <w:noProof/>
              <w:lang w:eastAsia="en-GB"/>
            </w:rPr>
          </w:pPr>
          <w:hyperlink w:anchor="_Toc142665991" w:history="1">
            <w:r w:rsidRPr="00BA6FB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_Toc142665991 \h </w:instrText>
            </w:r>
            <w:r>
              <w:rPr>
                <w:noProof/>
                <w:webHidden/>
              </w:rPr>
            </w:r>
            <w:r>
              <w:rPr>
                <w:noProof/>
                <w:webHidden/>
              </w:rPr>
              <w:fldChar w:fldCharType="separate"/>
            </w:r>
            <w:r>
              <w:rPr>
                <w:noProof/>
                <w:webHidden/>
              </w:rPr>
              <w:t>19</w:t>
            </w:r>
            <w:r>
              <w:rPr>
                <w:noProof/>
                <w:webHidden/>
              </w:rPr>
              <w:fldChar w:fldCharType="end"/>
            </w:r>
          </w:hyperlink>
        </w:p>
        <w:p w14:paraId="2EE469AA" w14:textId="1828BDEE" w:rsidR="00E34925" w:rsidRDefault="00E34925">
          <w:pPr>
            <w:pStyle w:val="TOC1"/>
            <w:tabs>
              <w:tab w:val="right" w:leader="dot" w:pos="9016"/>
            </w:tabs>
            <w:rPr>
              <w:rFonts w:eastAsiaTheme="minorEastAsia"/>
              <w:noProof/>
              <w:lang w:eastAsia="en-GB"/>
            </w:rPr>
          </w:pPr>
          <w:hyperlink w:anchor="_Toc142665992" w:history="1">
            <w:r w:rsidRPr="00BA6FB1">
              <w:rPr>
                <w:rStyle w:val="Hyperlink"/>
                <w:rFonts w:ascii="Arial" w:hAnsi="Arial" w:cs="Arial"/>
                <w:noProof/>
              </w:rPr>
              <w:t>Appendix 1: Interview Transcript with Tian Currie &amp; Micheal Thomas</w:t>
            </w:r>
            <w:r>
              <w:rPr>
                <w:noProof/>
                <w:webHidden/>
              </w:rPr>
              <w:tab/>
            </w:r>
            <w:r>
              <w:rPr>
                <w:noProof/>
                <w:webHidden/>
              </w:rPr>
              <w:fldChar w:fldCharType="begin"/>
            </w:r>
            <w:r>
              <w:rPr>
                <w:noProof/>
                <w:webHidden/>
              </w:rPr>
              <w:instrText xml:space="preserve"> PAGEREF _Toc142665992 \h </w:instrText>
            </w:r>
            <w:r>
              <w:rPr>
                <w:noProof/>
                <w:webHidden/>
              </w:rPr>
            </w:r>
            <w:r>
              <w:rPr>
                <w:noProof/>
                <w:webHidden/>
              </w:rPr>
              <w:fldChar w:fldCharType="separate"/>
            </w:r>
            <w:r>
              <w:rPr>
                <w:noProof/>
                <w:webHidden/>
              </w:rPr>
              <w:t>26</w:t>
            </w:r>
            <w:r>
              <w:rPr>
                <w:noProof/>
                <w:webHidden/>
              </w:rPr>
              <w:fldChar w:fldCharType="end"/>
            </w:r>
          </w:hyperlink>
        </w:p>
        <w:p w14:paraId="7CE98275" w14:textId="0BB65CCD" w:rsidR="002C794A" w:rsidRDefault="002C794A">
          <w:r>
            <w:rPr>
              <w:b/>
              <w:bCs/>
              <w:noProof/>
            </w:rPr>
            <w:fldChar w:fldCharType="end"/>
          </w:r>
        </w:p>
      </w:sdtContent>
    </w:sdt>
    <w:p w14:paraId="353AA463" w14:textId="77777777" w:rsidR="00161E2D" w:rsidRDefault="00161E2D">
      <w:pPr>
        <w:rPr>
          <w:rFonts w:ascii="Arial" w:hAnsi="Arial" w:cs="Arial"/>
        </w:rPr>
      </w:pPr>
    </w:p>
    <w:p w14:paraId="00D79895" w14:textId="77777777" w:rsidR="00161E2D" w:rsidRDefault="00161E2D">
      <w:pPr>
        <w:rPr>
          <w:rFonts w:ascii="Arial" w:hAnsi="Arial" w:cs="Arial"/>
        </w:rPr>
      </w:pPr>
      <w:r>
        <w:rPr>
          <w:rFonts w:ascii="Arial" w:hAnsi="Arial" w:cs="Arial"/>
        </w:rPr>
        <w:br w:type="page"/>
      </w:r>
    </w:p>
    <w:p w14:paraId="13C26184" w14:textId="77777777" w:rsidR="00161E2D" w:rsidRDefault="00161E2D">
      <w:pPr>
        <w:pStyle w:val="TableofFigures"/>
        <w:tabs>
          <w:tab w:val="right" w:leader="dot" w:pos="9016"/>
        </w:tabs>
        <w:rPr>
          <w:rFonts w:ascii="Arial" w:hAnsi="Arial" w:cs="Arial"/>
        </w:rPr>
      </w:pPr>
    </w:p>
    <w:p w14:paraId="2B395337" w14:textId="2266D106" w:rsidR="00161E2D" w:rsidRDefault="00E34925" w:rsidP="00E34925">
      <w:pPr>
        <w:pStyle w:val="Heading1"/>
      </w:pPr>
      <w:bookmarkStart w:id="0" w:name="_Toc142665972"/>
      <w:r>
        <w:t>Table of Figures</w:t>
      </w:r>
      <w:bookmarkEnd w:id="0"/>
    </w:p>
    <w:p w14:paraId="3E52E075" w14:textId="77777777" w:rsidR="00161E2D" w:rsidRDefault="00161E2D">
      <w:pPr>
        <w:pStyle w:val="TableofFigures"/>
        <w:tabs>
          <w:tab w:val="right" w:leader="dot" w:pos="9016"/>
        </w:tabs>
        <w:rPr>
          <w:rFonts w:ascii="Arial" w:hAnsi="Arial" w:cs="Arial"/>
        </w:rPr>
      </w:pPr>
    </w:p>
    <w:p w14:paraId="6CF0110A" w14:textId="513A22B8" w:rsidR="00161E2D" w:rsidRDefault="00161E2D">
      <w:pPr>
        <w:pStyle w:val="TableofFigures"/>
        <w:tabs>
          <w:tab w:val="right" w:leader="dot" w:pos="9016"/>
        </w:tabs>
        <w:rPr>
          <w:noProof/>
        </w:rPr>
      </w:pPr>
      <w:r>
        <w:rPr>
          <w:rFonts w:ascii="Arial" w:hAnsi="Arial" w:cs="Arial"/>
        </w:rPr>
        <w:fldChar w:fldCharType="begin"/>
      </w:r>
      <w:r>
        <w:rPr>
          <w:rFonts w:ascii="Arial" w:hAnsi="Arial" w:cs="Arial"/>
        </w:rPr>
        <w:instrText xml:space="preserve"> TOC \h \z \t "Heading 4" \c </w:instrText>
      </w:r>
      <w:r>
        <w:rPr>
          <w:rFonts w:ascii="Arial" w:hAnsi="Arial" w:cs="Arial"/>
        </w:rPr>
        <w:fldChar w:fldCharType="separate"/>
      </w:r>
      <w:hyperlink w:anchor="_Toc142665932" w:history="1">
        <w:r w:rsidRPr="00F606A2">
          <w:rPr>
            <w:rStyle w:val="Hyperlink"/>
            <w:rFonts w:ascii="Arial" w:hAnsi="Arial" w:cs="Arial"/>
            <w:noProof/>
          </w:rPr>
          <w:t>Figure 1: Salience of Post Office Stakeholders</w:t>
        </w:r>
        <w:r>
          <w:rPr>
            <w:noProof/>
            <w:webHidden/>
          </w:rPr>
          <w:tab/>
        </w:r>
        <w:r>
          <w:rPr>
            <w:noProof/>
            <w:webHidden/>
          </w:rPr>
          <w:fldChar w:fldCharType="begin"/>
        </w:r>
        <w:r>
          <w:rPr>
            <w:noProof/>
            <w:webHidden/>
          </w:rPr>
          <w:instrText xml:space="preserve"> PAGEREF _Toc142665932 \h </w:instrText>
        </w:r>
        <w:r>
          <w:rPr>
            <w:noProof/>
            <w:webHidden/>
          </w:rPr>
        </w:r>
        <w:r>
          <w:rPr>
            <w:noProof/>
            <w:webHidden/>
          </w:rPr>
          <w:fldChar w:fldCharType="separate"/>
        </w:r>
        <w:r>
          <w:rPr>
            <w:noProof/>
            <w:webHidden/>
          </w:rPr>
          <w:t>9</w:t>
        </w:r>
        <w:r>
          <w:rPr>
            <w:noProof/>
            <w:webHidden/>
          </w:rPr>
          <w:fldChar w:fldCharType="end"/>
        </w:r>
      </w:hyperlink>
    </w:p>
    <w:p w14:paraId="73457533" w14:textId="77777777" w:rsidR="00161E2D" w:rsidRDefault="00161E2D">
      <w:pPr>
        <w:rPr>
          <w:rFonts w:ascii="Arial" w:hAnsi="Arial" w:cs="Arial"/>
        </w:rPr>
      </w:pPr>
      <w:r>
        <w:rPr>
          <w:rFonts w:ascii="Arial" w:hAnsi="Arial" w:cs="Arial"/>
        </w:rPr>
        <w:fldChar w:fldCharType="end"/>
      </w:r>
    </w:p>
    <w:p w14:paraId="6966DFAF" w14:textId="196FDB86" w:rsidR="002C794A" w:rsidRDefault="002C794A">
      <w:pPr>
        <w:rPr>
          <w:rFonts w:ascii="Arial" w:eastAsiaTheme="majorEastAsia" w:hAnsi="Arial" w:cs="Arial"/>
          <w:color w:val="2F5496" w:themeColor="accent1" w:themeShade="BF"/>
        </w:rPr>
      </w:pPr>
      <w:r>
        <w:rPr>
          <w:rFonts w:ascii="Arial" w:hAnsi="Arial" w:cs="Arial"/>
        </w:rPr>
        <w:br w:type="page"/>
      </w:r>
    </w:p>
    <w:p w14:paraId="6DE6EE5F" w14:textId="26B7849A" w:rsidR="00E255D9" w:rsidRPr="00085EDF" w:rsidRDefault="00013E74" w:rsidP="00085EDF">
      <w:pPr>
        <w:pStyle w:val="Heading1"/>
        <w:spacing w:line="360" w:lineRule="auto"/>
        <w:rPr>
          <w:rFonts w:ascii="Arial" w:hAnsi="Arial" w:cs="Arial"/>
          <w:sz w:val="22"/>
          <w:szCs w:val="22"/>
        </w:rPr>
      </w:pPr>
      <w:bookmarkStart w:id="1" w:name="_Toc142665973"/>
      <w:r w:rsidRPr="00085EDF">
        <w:rPr>
          <w:rFonts w:ascii="Arial" w:hAnsi="Arial" w:cs="Arial"/>
          <w:sz w:val="22"/>
          <w:szCs w:val="22"/>
        </w:rPr>
        <w:lastRenderedPageBreak/>
        <w:t>Introduction</w:t>
      </w:r>
      <w:bookmarkEnd w:id="1"/>
      <w:r w:rsidRPr="00085EDF">
        <w:rPr>
          <w:rFonts w:ascii="Arial" w:hAnsi="Arial" w:cs="Arial"/>
          <w:sz w:val="22"/>
          <w:szCs w:val="22"/>
        </w:rPr>
        <w:t xml:space="preserve"> </w:t>
      </w:r>
    </w:p>
    <w:p w14:paraId="611C7D16" w14:textId="4F539258" w:rsidR="00844049" w:rsidRPr="00085EDF" w:rsidRDefault="00844049" w:rsidP="00085EDF">
      <w:pPr>
        <w:spacing w:line="360" w:lineRule="auto"/>
        <w:rPr>
          <w:rFonts w:ascii="Arial" w:hAnsi="Arial" w:cs="Arial"/>
        </w:rPr>
      </w:pPr>
      <w:r w:rsidRPr="00085EDF">
        <w:rPr>
          <w:rFonts w:ascii="Arial" w:hAnsi="Arial" w:cs="Arial"/>
        </w:rPr>
        <w:t>The Post Office occupies a prominent position as a state-owned organisation with a substantial operational footprint thanks to its extensive network of more than 11,500 post offices that span the whole nation (Post Office, 2021). In addition to its extensive reach, the organisation acts as a crucial hub for crucial services, such as postal delivery, banking options, bill payment, currency exchange, and the delivery of critical government services. The Post Office, an agile organisation, is essential in facilitating daily operations and transactions, which are the foundation of the social and economic fabric of the entire nation. Its unwavering commitment to serving the public has cemented its position as a pillar of society, highlighting the significance of navigating the constantly shifting business environment to ensure ongoing growth and flexibility.</w:t>
      </w:r>
    </w:p>
    <w:p w14:paraId="19A9E7F5" w14:textId="032A7BA9" w:rsidR="00844049" w:rsidRPr="00085EDF" w:rsidRDefault="00E255D9" w:rsidP="00085EDF">
      <w:pPr>
        <w:spacing w:line="360" w:lineRule="auto"/>
        <w:rPr>
          <w:rFonts w:ascii="Arial" w:hAnsi="Arial" w:cs="Arial"/>
        </w:rPr>
      </w:pPr>
      <w:r w:rsidRPr="00085EDF">
        <w:rPr>
          <w:rFonts w:ascii="Arial" w:hAnsi="Arial" w:cs="Arial"/>
        </w:rPr>
        <w:t>The Post Office faces complex challenges, making the efficient use of change management theory and procedure essential to navigating the transformational process. Successful change projects must include change management, a disciplined method for moving people, teams, and organisations from a present state to a desired future state (Errida and Lotfi, 2021). In order to guide the organisation through a transformational journey, this research investigates the strategic decision-making process of selecting between internal and external consultants for change. </w:t>
      </w:r>
    </w:p>
    <w:p w14:paraId="13C4D5E2" w14:textId="014E07DC" w:rsidR="006140B1" w:rsidRPr="00085EDF" w:rsidRDefault="006140B1" w:rsidP="00085EDF">
      <w:pPr>
        <w:pStyle w:val="Heading1"/>
        <w:spacing w:line="360" w:lineRule="auto"/>
        <w:rPr>
          <w:rFonts w:ascii="Arial" w:hAnsi="Arial" w:cs="Arial"/>
          <w:sz w:val="22"/>
          <w:szCs w:val="22"/>
        </w:rPr>
      </w:pPr>
      <w:bookmarkStart w:id="2" w:name="_Toc142665974"/>
      <w:r w:rsidRPr="00085EDF">
        <w:rPr>
          <w:rFonts w:ascii="Arial" w:hAnsi="Arial" w:cs="Arial"/>
          <w:sz w:val="22"/>
          <w:szCs w:val="22"/>
        </w:rPr>
        <w:t>Critical Considerations for Internal or External Change Agent</w:t>
      </w:r>
      <w:r w:rsidRPr="00085EDF">
        <w:rPr>
          <w:rFonts w:ascii="Arial" w:hAnsi="Arial" w:cs="Arial"/>
          <w:sz w:val="22"/>
          <w:szCs w:val="22"/>
        </w:rPr>
        <w:t>s</w:t>
      </w:r>
      <w:bookmarkEnd w:id="2"/>
    </w:p>
    <w:p w14:paraId="1AE4C1ED" w14:textId="77ABC581" w:rsidR="00FD0668" w:rsidRPr="00085EDF" w:rsidRDefault="00CC483D" w:rsidP="00085EDF">
      <w:pPr>
        <w:spacing w:line="360" w:lineRule="auto"/>
        <w:rPr>
          <w:rFonts w:ascii="Arial" w:hAnsi="Arial" w:cs="Arial"/>
        </w:rPr>
      </w:pPr>
      <w:r w:rsidRPr="00085EDF">
        <w:rPr>
          <w:rFonts w:ascii="Arial" w:hAnsi="Arial" w:cs="Arial"/>
        </w:rPr>
        <w:t>Organisations are constantly challenged by a broad array of hurdles in the ever-changing world of modern business, necessitating a strategic change to ensure their continuous growth and flexibility (Beer et al., 2005). The Post Office, a historic institution firmly embedded into the fabric of British society, faces an intricate network of challenges involving issues such as employee wages, digital solution integration, and the complex complications of the Horizon IT system. These multiple challenges highlight the pressing need for transformative change, prompting the critical decision of whether to employ internal or external consultants to guide this transitional journey. This section explores the complex factors influencing this decision through an insightful interview with Michael, a university student with a deep passion for company management and the dynamics of change.</w:t>
      </w:r>
      <w:r w:rsidR="002759BB" w:rsidRPr="00085EDF">
        <w:rPr>
          <w:rFonts w:ascii="Arial" w:hAnsi="Arial" w:cs="Arial"/>
        </w:rPr>
        <w:t xml:space="preserve"> The full transcript and references for this interview can be found in the Appendix.</w:t>
      </w:r>
    </w:p>
    <w:p w14:paraId="277588B3" w14:textId="633ACBCB" w:rsidR="00FD0668" w:rsidRPr="00085EDF" w:rsidRDefault="002759BB" w:rsidP="00085EDF">
      <w:pPr>
        <w:spacing w:line="360" w:lineRule="auto"/>
        <w:rPr>
          <w:rFonts w:ascii="Arial" w:hAnsi="Arial" w:cs="Arial"/>
        </w:rPr>
      </w:pPr>
      <w:r w:rsidRPr="00085EDF">
        <w:rPr>
          <w:rFonts w:ascii="Arial" w:hAnsi="Arial" w:cs="Arial"/>
        </w:rPr>
        <w:t xml:space="preserve">Michael has a particular perspective that goes beyond theoretical analysis because of his distinctive viewpoint, which encompasses both his role as a student and his standing as an avid customer of the Post Office. He effectively recognises the fundamental problems that the Post Office faces. These issues include the aggravating difficulty of low wages for staff, labour disputes and strikes that interfere with business operations, a decline in mail volume </w:t>
      </w:r>
      <w:r w:rsidRPr="00085EDF">
        <w:rPr>
          <w:rFonts w:ascii="Arial" w:hAnsi="Arial" w:cs="Arial"/>
        </w:rPr>
        <w:lastRenderedPageBreak/>
        <w:t>triggered by digitisation and the complex issues brought on by the Horizon IT system. His identification of these problems is the basis for an in-depth investigation of the prospective function of consultants in leading groundbreaking transformation.</w:t>
      </w:r>
    </w:p>
    <w:p w14:paraId="11D59C98" w14:textId="5BA9ECE3" w:rsidR="00FD0668" w:rsidRPr="00085EDF" w:rsidRDefault="009C47A6" w:rsidP="00085EDF">
      <w:pPr>
        <w:spacing w:line="360" w:lineRule="auto"/>
        <w:rPr>
          <w:rFonts w:ascii="Arial" w:hAnsi="Arial" w:cs="Arial"/>
          <w:color w:val="FF0000"/>
        </w:rPr>
      </w:pPr>
      <w:r w:rsidRPr="00085EDF">
        <w:rPr>
          <w:rFonts w:ascii="Arial" w:hAnsi="Arial" w:cs="Arial"/>
        </w:rPr>
        <w:t>Consider the issue of low wages (Currie, 2023) the implications are not limited to employees' dissatisfaction</w:t>
      </w:r>
      <w:r w:rsidRPr="00085EDF">
        <w:rPr>
          <w:rFonts w:ascii="Arial" w:hAnsi="Arial" w:cs="Arial"/>
        </w:rPr>
        <w:t xml:space="preserve">, </w:t>
      </w:r>
      <w:r w:rsidRPr="00085EDF">
        <w:rPr>
          <w:rFonts w:ascii="Arial" w:hAnsi="Arial" w:cs="Arial"/>
        </w:rPr>
        <w:t xml:space="preserve">it </w:t>
      </w:r>
      <w:r w:rsidRPr="00085EDF">
        <w:rPr>
          <w:rFonts w:ascii="Arial" w:hAnsi="Arial" w:cs="Arial"/>
        </w:rPr>
        <w:t xml:space="preserve">also </w:t>
      </w:r>
      <w:r w:rsidRPr="00085EDF">
        <w:rPr>
          <w:rFonts w:ascii="Arial" w:hAnsi="Arial" w:cs="Arial"/>
        </w:rPr>
        <w:t>has a ripple impact on employee motivation and, as a result, client experiences. The consequences of this issue were clear after a series of industrial strikes (CWU, n.d.) that not only disrupted operations but also revealed the inherent link between employee morale and a company's capacity to provide quality services.</w:t>
      </w:r>
    </w:p>
    <w:p w14:paraId="56A80E34" w14:textId="6B3B6600" w:rsidR="00FD0668" w:rsidRPr="00085EDF" w:rsidRDefault="00BE63E9" w:rsidP="00085EDF">
      <w:pPr>
        <w:spacing w:line="360" w:lineRule="auto"/>
        <w:rPr>
          <w:rFonts w:ascii="Arial" w:hAnsi="Arial" w:cs="Arial"/>
        </w:rPr>
      </w:pPr>
      <w:r w:rsidRPr="00085EDF">
        <w:rPr>
          <w:rFonts w:ascii="Arial" w:hAnsi="Arial" w:cs="Arial"/>
        </w:rPr>
        <w:t>An in-depth knowledge of organisational dynamics is gained in Michael's answers to these numerous challenges</w:t>
      </w:r>
      <w:r w:rsidR="009C47A6" w:rsidRPr="00085EDF">
        <w:rPr>
          <w:rFonts w:ascii="Arial" w:hAnsi="Arial" w:cs="Arial"/>
        </w:rPr>
        <w:t>. He emphasises the importance of fair remuneration as well as the building of an environment conducive to increasing employee motivation in his insightful evaluation of low wages. This is consistent with Herzberg's Two-Factor Theory, which emphasises the importance of factors like salary and work environment in influencing employee happiness and motivation (Alshmemri, Maude and Shahwan-Akl, 2017).</w:t>
      </w:r>
    </w:p>
    <w:p w14:paraId="4F05C387" w14:textId="3110EABC" w:rsidR="00F86ABE" w:rsidRPr="00085EDF" w:rsidRDefault="00F86ABE" w:rsidP="00085EDF">
      <w:pPr>
        <w:spacing w:line="360" w:lineRule="auto"/>
        <w:rPr>
          <w:rFonts w:ascii="Arial" w:hAnsi="Arial" w:cs="Arial"/>
        </w:rPr>
      </w:pPr>
      <w:r w:rsidRPr="00085EDF">
        <w:rPr>
          <w:rFonts w:ascii="Arial" w:hAnsi="Arial" w:cs="Arial"/>
        </w:rPr>
        <w:t>Michael's support for digital transformation resonates with Kotter's eight-step model</w:t>
      </w:r>
      <w:r w:rsidR="002E5DA7" w:rsidRPr="00085EDF">
        <w:rPr>
          <w:rFonts w:ascii="Arial" w:hAnsi="Arial" w:cs="Arial"/>
        </w:rPr>
        <w:t xml:space="preserve"> </w:t>
      </w:r>
      <w:r w:rsidR="002E5DA7" w:rsidRPr="00085EDF">
        <w:rPr>
          <w:rFonts w:ascii="Arial" w:hAnsi="Arial" w:cs="Arial"/>
        </w:rPr>
        <w:t>(Kotter, 2012)</w:t>
      </w:r>
      <w:r w:rsidRPr="00085EDF">
        <w:rPr>
          <w:rFonts w:ascii="Arial" w:hAnsi="Arial" w:cs="Arial"/>
        </w:rPr>
        <w:t>. The Post Office's journey</w:t>
      </w:r>
      <w:r w:rsidRPr="00085EDF">
        <w:rPr>
          <w:rFonts w:ascii="Arial" w:hAnsi="Arial" w:cs="Arial"/>
        </w:rPr>
        <w:t xml:space="preserve"> should</w:t>
      </w:r>
      <w:r w:rsidRPr="00085EDF">
        <w:rPr>
          <w:rFonts w:ascii="Arial" w:hAnsi="Arial" w:cs="Arial"/>
        </w:rPr>
        <w:t xml:space="preserve"> star</w:t>
      </w:r>
      <w:r w:rsidRPr="00085EDF">
        <w:rPr>
          <w:rFonts w:ascii="Arial" w:hAnsi="Arial" w:cs="Arial"/>
        </w:rPr>
        <w:t>t</w:t>
      </w:r>
      <w:r w:rsidRPr="00085EDF">
        <w:rPr>
          <w:rFonts w:ascii="Arial" w:hAnsi="Arial" w:cs="Arial"/>
        </w:rPr>
        <w:t xml:space="preserve"> by acknowledging the urgency to adapt to evolving customer needs and tech trend</w:t>
      </w:r>
      <w:r w:rsidRPr="00085EDF">
        <w:rPr>
          <w:rFonts w:ascii="Arial" w:hAnsi="Arial" w:cs="Arial"/>
        </w:rPr>
        <w:t xml:space="preserve"> which will f</w:t>
      </w:r>
      <w:r w:rsidRPr="00085EDF">
        <w:rPr>
          <w:rFonts w:ascii="Arial" w:hAnsi="Arial" w:cs="Arial"/>
        </w:rPr>
        <w:t xml:space="preserve">orm a coalition of key stakeholders </w:t>
      </w:r>
      <w:r w:rsidRPr="00085EDF">
        <w:rPr>
          <w:rFonts w:ascii="Arial" w:hAnsi="Arial" w:cs="Arial"/>
        </w:rPr>
        <w:t>paving</w:t>
      </w:r>
      <w:r w:rsidRPr="00085EDF">
        <w:rPr>
          <w:rFonts w:ascii="Arial" w:hAnsi="Arial" w:cs="Arial"/>
        </w:rPr>
        <w:t xml:space="preserve"> the way for effective leadership. By crafting a clear vision, the Post Office charts its course toward offering moderni</w:t>
      </w:r>
      <w:r w:rsidRPr="00085EDF">
        <w:rPr>
          <w:rFonts w:ascii="Arial" w:hAnsi="Arial" w:cs="Arial"/>
        </w:rPr>
        <w:t>s</w:t>
      </w:r>
      <w:r w:rsidRPr="00085EDF">
        <w:rPr>
          <w:rFonts w:ascii="Arial" w:hAnsi="Arial" w:cs="Arial"/>
        </w:rPr>
        <w:t>ed services</w:t>
      </w:r>
      <w:r w:rsidRPr="00085EDF">
        <w:rPr>
          <w:rFonts w:ascii="Arial" w:hAnsi="Arial" w:cs="Arial"/>
        </w:rPr>
        <w:t>, e</w:t>
      </w:r>
      <w:r w:rsidRPr="00085EDF">
        <w:rPr>
          <w:rFonts w:ascii="Arial" w:hAnsi="Arial" w:cs="Arial"/>
        </w:rPr>
        <w:t xml:space="preserve">mpowering </w:t>
      </w:r>
      <w:r w:rsidRPr="00085EDF">
        <w:rPr>
          <w:rFonts w:ascii="Arial" w:hAnsi="Arial" w:cs="Arial"/>
        </w:rPr>
        <w:t>employees,</w:t>
      </w:r>
      <w:r w:rsidRPr="00085EDF">
        <w:rPr>
          <w:rFonts w:ascii="Arial" w:hAnsi="Arial" w:cs="Arial"/>
        </w:rPr>
        <w:t xml:space="preserve"> </w:t>
      </w:r>
      <w:r w:rsidRPr="00085EDF">
        <w:rPr>
          <w:rFonts w:ascii="Arial" w:hAnsi="Arial" w:cs="Arial"/>
        </w:rPr>
        <w:t>and aligning</w:t>
      </w:r>
      <w:r w:rsidRPr="00085EDF">
        <w:rPr>
          <w:rFonts w:ascii="Arial" w:hAnsi="Arial" w:cs="Arial"/>
        </w:rPr>
        <w:t xml:space="preserve"> with its customer-centric approach. </w:t>
      </w:r>
      <w:r w:rsidRPr="00085EDF">
        <w:rPr>
          <w:rFonts w:ascii="Arial" w:hAnsi="Arial" w:cs="Arial"/>
        </w:rPr>
        <w:t xml:space="preserve">According to </w:t>
      </w:r>
      <w:r w:rsidRPr="00085EDF">
        <w:rPr>
          <w:rFonts w:ascii="Arial" w:hAnsi="Arial" w:cs="Arial"/>
        </w:rPr>
        <w:t xml:space="preserve">Pollack and Pollack </w:t>
      </w:r>
      <w:r w:rsidRPr="00085EDF">
        <w:rPr>
          <w:rFonts w:ascii="Arial" w:hAnsi="Arial" w:cs="Arial"/>
        </w:rPr>
        <w:t>(</w:t>
      </w:r>
      <w:r w:rsidRPr="00085EDF">
        <w:rPr>
          <w:rFonts w:ascii="Arial" w:hAnsi="Arial" w:cs="Arial"/>
        </w:rPr>
        <w:t>201</w:t>
      </w:r>
      <w:r w:rsidRPr="00085EDF">
        <w:rPr>
          <w:rFonts w:ascii="Arial" w:hAnsi="Arial" w:cs="Arial"/>
        </w:rPr>
        <w:t>5), through</w:t>
      </w:r>
      <w:r w:rsidRPr="00085EDF">
        <w:rPr>
          <w:rFonts w:ascii="Arial" w:hAnsi="Arial" w:cs="Arial"/>
        </w:rPr>
        <w:t xml:space="preserve"> this comprehensive strategy, the Post Office </w:t>
      </w:r>
      <w:r w:rsidRPr="00085EDF">
        <w:rPr>
          <w:rFonts w:ascii="Arial" w:hAnsi="Arial" w:cs="Arial"/>
        </w:rPr>
        <w:t xml:space="preserve">can </w:t>
      </w:r>
      <w:r w:rsidRPr="00085EDF">
        <w:rPr>
          <w:rFonts w:ascii="Arial" w:hAnsi="Arial" w:cs="Arial"/>
        </w:rPr>
        <w:t>ensure successful change management</w:t>
      </w:r>
      <w:r w:rsidRPr="00085EDF">
        <w:rPr>
          <w:rFonts w:ascii="Arial" w:hAnsi="Arial" w:cs="Arial"/>
        </w:rPr>
        <w:t xml:space="preserve">. </w:t>
      </w:r>
    </w:p>
    <w:p w14:paraId="5FFA64FE" w14:textId="307005EE" w:rsidR="00FD0668" w:rsidRPr="00085EDF" w:rsidRDefault="00283878" w:rsidP="00085EDF">
      <w:pPr>
        <w:spacing w:line="360" w:lineRule="auto"/>
        <w:rPr>
          <w:rFonts w:ascii="Arial" w:hAnsi="Arial" w:cs="Arial"/>
          <w:color w:val="FF0000"/>
        </w:rPr>
      </w:pPr>
      <w:r w:rsidRPr="00085EDF">
        <w:rPr>
          <w:rFonts w:ascii="Arial" w:hAnsi="Arial" w:cs="Arial"/>
        </w:rPr>
        <w:t>similarly</w:t>
      </w:r>
      <w:r w:rsidR="004E7EB6" w:rsidRPr="00085EDF">
        <w:rPr>
          <w:rFonts w:ascii="Arial" w:hAnsi="Arial" w:cs="Arial"/>
        </w:rPr>
        <w:t>, his</w:t>
      </w:r>
      <w:r w:rsidR="004E7EB6" w:rsidRPr="00085EDF">
        <w:rPr>
          <w:rFonts w:ascii="Arial" w:hAnsi="Arial" w:cs="Arial"/>
        </w:rPr>
        <w:t xml:space="preserve"> thoughts on the function of consultants are particularly insightful. His acknowledgement of external consultants' ability to contribute new viewpoints and specialised skills underlines the essence of their role as change agents (Currie, 2023), corresponding to Lewin's Unfreeze-Change-Refreeze model (Lewin, 1951). Consultants, particularly external ones, play an important role in "unfreezing" old standards, easing the transition, and assisting in the formation of new practices (Dutta and Kumar, 2021).</w:t>
      </w:r>
    </w:p>
    <w:p w14:paraId="28E4150D" w14:textId="70B9D067" w:rsidR="00BE63E9" w:rsidRPr="00085EDF" w:rsidRDefault="009972D8" w:rsidP="00085EDF">
      <w:pPr>
        <w:spacing w:line="360" w:lineRule="auto"/>
        <w:rPr>
          <w:rFonts w:ascii="Arial" w:hAnsi="Arial" w:cs="Arial"/>
        </w:rPr>
      </w:pPr>
      <w:r w:rsidRPr="00085EDF">
        <w:rPr>
          <w:rFonts w:ascii="Arial" w:hAnsi="Arial" w:cs="Arial"/>
        </w:rPr>
        <w:t xml:space="preserve">Along with being mindful of the possible impacts of reforms on the post office, Michael shares similar views on the involvement of stakeholders. </w:t>
      </w:r>
      <w:r w:rsidR="00B5739C" w:rsidRPr="00085EDF">
        <w:rPr>
          <w:rFonts w:ascii="Arial" w:hAnsi="Arial" w:cs="Arial"/>
        </w:rPr>
        <w:t>Take the transition to digitalisation as an example; this transformation goes beyond its immediate effects on employees to include customers, who stand to benefit from improved online services. Michael's understanding of these intricate interactions highlights how crucial it is to have excellent communication with all stakeholders at all stages of the transformation process</w:t>
      </w:r>
      <w:r w:rsidR="00B5739C" w:rsidRPr="00085EDF">
        <w:rPr>
          <w:rFonts w:ascii="Arial" w:hAnsi="Arial" w:cs="Arial"/>
        </w:rPr>
        <w:t xml:space="preserve"> </w:t>
      </w:r>
      <w:r w:rsidR="00B5739C" w:rsidRPr="00085EDF">
        <w:rPr>
          <w:rFonts w:ascii="Arial" w:hAnsi="Arial" w:cs="Arial"/>
        </w:rPr>
        <w:t>(Kumar Basu, 2015).</w:t>
      </w:r>
      <w:r w:rsidR="0088477E" w:rsidRPr="00085EDF">
        <w:rPr>
          <w:rFonts w:ascii="Arial" w:hAnsi="Arial" w:cs="Arial"/>
        </w:rPr>
        <w:t xml:space="preserve"> </w:t>
      </w:r>
      <w:r w:rsidR="0088477E" w:rsidRPr="00085EDF">
        <w:rPr>
          <w:rFonts w:ascii="Arial" w:hAnsi="Arial" w:cs="Arial"/>
        </w:rPr>
        <w:t xml:space="preserve">The hybrid consultant strategy, which combines internal and externals drive </w:t>
      </w:r>
      <w:r w:rsidR="0088477E" w:rsidRPr="00085EDF">
        <w:rPr>
          <w:rFonts w:ascii="Arial" w:hAnsi="Arial" w:cs="Arial"/>
        </w:rPr>
        <w:lastRenderedPageBreak/>
        <w:t>innovation while acknowledging that knowledge transcends the organisational structure. This theory is similar to Michael's in that internal consultants contribute historical context and a deep understanding of organisational culture, while outsider consultants pose provocative questions and offer novel perspectives</w:t>
      </w:r>
      <w:r w:rsidR="00743BDC" w:rsidRPr="00085EDF">
        <w:rPr>
          <w:rFonts w:ascii="Arial" w:hAnsi="Arial" w:cs="Arial"/>
        </w:rPr>
        <w:t>.</w:t>
      </w:r>
    </w:p>
    <w:p w14:paraId="1C3E4114" w14:textId="034F41C1" w:rsidR="008A0E52" w:rsidRPr="00085EDF" w:rsidRDefault="008A0E52" w:rsidP="00085EDF">
      <w:pPr>
        <w:spacing w:line="360" w:lineRule="auto"/>
        <w:rPr>
          <w:rFonts w:ascii="Arial" w:hAnsi="Arial" w:cs="Arial"/>
        </w:rPr>
      </w:pPr>
      <w:r w:rsidRPr="00085EDF">
        <w:rPr>
          <w:rFonts w:ascii="Arial" w:hAnsi="Arial" w:cs="Arial"/>
        </w:rPr>
        <w:t>Michael's analysis of Cumming and Worley's (2015) change management model demonstrates how he approaches organisational dynamics with a scholarly perspective. His explanation of the steps of the approach, which include rapport-building, data collecting, analysis, recommendations, and joint action planning, demonstrates his skill in navigating the structured complexities of efficient change management. As an example, consultants starting a change initiative can start developing relationships with staff members through interactive sessions to learn about their perspectives and worries.</w:t>
      </w:r>
    </w:p>
    <w:p w14:paraId="0A4AF597" w14:textId="3D74FF9F" w:rsidR="00FD0668" w:rsidRPr="00085EDF" w:rsidRDefault="009972D8" w:rsidP="00085EDF">
      <w:pPr>
        <w:spacing w:line="360" w:lineRule="auto"/>
        <w:rPr>
          <w:rFonts w:ascii="Arial" w:hAnsi="Arial" w:cs="Arial"/>
        </w:rPr>
      </w:pPr>
      <w:r w:rsidRPr="00085EDF">
        <w:rPr>
          <w:rFonts w:ascii="Arial" w:hAnsi="Arial" w:cs="Arial"/>
        </w:rPr>
        <w:t xml:space="preserve">Michael </w:t>
      </w:r>
      <w:r w:rsidRPr="00085EDF">
        <w:rPr>
          <w:rFonts w:ascii="Arial" w:hAnsi="Arial" w:cs="Arial"/>
        </w:rPr>
        <w:t>skilfully</w:t>
      </w:r>
      <w:r w:rsidRPr="00085EDF">
        <w:rPr>
          <w:rFonts w:ascii="Arial" w:hAnsi="Arial" w:cs="Arial"/>
        </w:rPr>
        <w:t xml:space="preserve"> identifies the relative strengths of internal and external consultants while describing the strategic fit of each. He highlights how internal consultants have an unmatched awareness of the Post Office's culture, yet because of their close closeness, they may unintentionally develop biases that prevent them from evaluating problems objectively. He also mentions how external consultants, on the other hand, offer new viewpoints and impartial evaluations that might promote innovation and challenge outdated standards. A good illustration is the possible reluctance of internal consultants to suggest thorough overhauls of the Horizon IT system because of conflicted interests, whereas outsider consultants can offer independent recommendations for improvement.</w:t>
      </w:r>
    </w:p>
    <w:p w14:paraId="5333B236" w14:textId="01489338" w:rsidR="00926EC2" w:rsidRPr="00085EDF" w:rsidRDefault="00926EC2" w:rsidP="00085EDF">
      <w:pPr>
        <w:spacing w:line="360" w:lineRule="auto"/>
        <w:rPr>
          <w:rFonts w:ascii="Arial" w:hAnsi="Arial" w:cs="Arial"/>
        </w:rPr>
      </w:pPr>
      <w:r w:rsidRPr="00085EDF">
        <w:rPr>
          <w:rFonts w:ascii="Arial" w:hAnsi="Arial" w:cs="Arial"/>
          <w:i/>
          <w:iCs/>
        </w:rPr>
        <w:t>Michael's insights into innovation and culture transformation demonstrate an understanding of the delicate balance that must be struck between organisational identity and external disruption.</w:t>
      </w:r>
      <w:r w:rsidRPr="00085EDF">
        <w:rPr>
          <w:rFonts w:ascii="Arial" w:hAnsi="Arial" w:cs="Arial"/>
        </w:rPr>
        <w:t xml:space="preserve"> He contends that internal consultants, who have a thorough awareness of the Post Offices' history and principles, are well-positioned to propose changes that are consistent with the company's identity. External consultants, on the other hand, are set to challenge conventional standards and provide creative ideas that move the organisation ahead.</w:t>
      </w:r>
    </w:p>
    <w:p w14:paraId="5A5F1152" w14:textId="0F22CB3D" w:rsidR="00FD0668" w:rsidRPr="00085EDF" w:rsidRDefault="00FD0668" w:rsidP="00085EDF">
      <w:pPr>
        <w:spacing w:line="360" w:lineRule="auto"/>
        <w:rPr>
          <w:rFonts w:ascii="Arial" w:hAnsi="Arial" w:cs="Arial"/>
        </w:rPr>
      </w:pPr>
      <w:r w:rsidRPr="00085EDF">
        <w:rPr>
          <w:rFonts w:ascii="Arial" w:hAnsi="Arial" w:cs="Arial"/>
        </w:rPr>
        <w:t>In fostering the adoption and sustenance of changes, Michael's emphasis on employee involvement, communication, and training reverberates with established change management principles. For instance, in the context of implementing digital solutions, consultants can conduct workshops and training sessions to ensure employees are proficient in navigating new systems. Furthermore, involving employees in the decision-making process empowers them, fostering a sense of ownership and commitment to the changes</w:t>
      </w:r>
      <w:r w:rsidR="00B209C2" w:rsidRPr="00085EDF">
        <w:rPr>
          <w:rFonts w:ascii="Arial" w:hAnsi="Arial" w:cs="Arial"/>
        </w:rPr>
        <w:t xml:space="preserve"> </w:t>
      </w:r>
      <w:r w:rsidR="00B209C2" w:rsidRPr="00085EDF">
        <w:rPr>
          <w:rFonts w:ascii="Arial" w:hAnsi="Arial" w:cs="Arial"/>
        </w:rPr>
        <w:t>(Neill, Men and Yue, 2019)</w:t>
      </w:r>
      <w:r w:rsidRPr="00085EDF">
        <w:rPr>
          <w:rFonts w:ascii="Arial" w:hAnsi="Arial" w:cs="Arial"/>
        </w:rPr>
        <w:t>.</w:t>
      </w:r>
      <w:r w:rsidR="00047B16" w:rsidRPr="00085EDF">
        <w:rPr>
          <w:rFonts w:ascii="Arial" w:hAnsi="Arial" w:cs="Arial"/>
        </w:rPr>
        <w:t xml:space="preserve"> </w:t>
      </w:r>
    </w:p>
    <w:p w14:paraId="1457611D" w14:textId="77777777" w:rsidR="009B63C6" w:rsidRPr="00085EDF" w:rsidRDefault="00047B16" w:rsidP="00085EDF">
      <w:pPr>
        <w:spacing w:line="360" w:lineRule="auto"/>
        <w:rPr>
          <w:rFonts w:ascii="Arial" w:hAnsi="Arial" w:cs="Arial"/>
        </w:rPr>
      </w:pPr>
      <w:r w:rsidRPr="00085EDF">
        <w:rPr>
          <w:rFonts w:ascii="Arial" w:hAnsi="Arial" w:cs="Arial"/>
        </w:rPr>
        <w:lastRenderedPageBreak/>
        <w:t>The primary drivers for organisational transformation are summarised in Michael's understanding of the UK Post Office's change goal. The Post Office needs to evolve in order to stay relevant as it deals with issues including declining postal volumes and dissatisfied employees The organisation establishes itself for long-term success in a dynamically altering corporate climate by embracing change (Fiksel, 2015).</w:t>
      </w:r>
    </w:p>
    <w:p w14:paraId="5E88D128" w14:textId="00918C6E" w:rsidR="00FD0668" w:rsidRPr="00085EDF" w:rsidRDefault="009B63C6" w:rsidP="00085EDF">
      <w:pPr>
        <w:spacing w:line="360" w:lineRule="auto"/>
        <w:rPr>
          <w:rFonts w:ascii="Arial" w:hAnsi="Arial" w:cs="Arial"/>
        </w:rPr>
      </w:pPr>
      <w:r w:rsidRPr="00085EDF">
        <w:rPr>
          <w:rFonts w:ascii="Arial" w:hAnsi="Arial" w:cs="Arial"/>
        </w:rPr>
        <w:t xml:space="preserve">In considering how changes may affect organisational culture, Michael demonstrates his comprehension of the intricate procedures at operation. The possibility exists to foster a more positive and collaborative culture at the Post Office through higher salaries and improved working environments. On the other hand, employees who are used to using traditional procedures may first reject the adoption of digitalisation. A culture that thrives on welcoming new possibilities can be fostered with consultants by bridging the gap through effective communication and training Effective communication brings successful organizational change (Mushtaq, 2011; Benn, </w:t>
      </w:r>
      <w:r w:rsidR="00283878" w:rsidRPr="00085EDF">
        <w:rPr>
          <w:rFonts w:ascii="Arial" w:hAnsi="Arial" w:cs="Arial"/>
        </w:rPr>
        <w:t>Edwards,</w:t>
      </w:r>
      <w:r w:rsidRPr="00085EDF">
        <w:rPr>
          <w:rFonts w:ascii="Arial" w:hAnsi="Arial" w:cs="Arial"/>
        </w:rPr>
        <w:t xml:space="preserve"> and Williams, 2014)</w:t>
      </w:r>
    </w:p>
    <w:p w14:paraId="6328CD54" w14:textId="77777777" w:rsidR="00E95F40" w:rsidRPr="00085EDF" w:rsidRDefault="00E95F40" w:rsidP="00085EDF">
      <w:pPr>
        <w:spacing w:line="360" w:lineRule="auto"/>
        <w:rPr>
          <w:rFonts w:ascii="Arial" w:hAnsi="Arial" w:cs="Arial"/>
        </w:rPr>
      </w:pPr>
      <w:r w:rsidRPr="00085EDF">
        <w:rPr>
          <w:rFonts w:ascii="Arial" w:hAnsi="Arial" w:cs="Arial"/>
        </w:rPr>
        <w:t>The decision-making process is aided by Michael's critical review of both the advantages and disadvantages of working with internal and external consultants. He emphasises that internal consultants have vital insights into the culture of the Post Office and its history, which make it possible for changes aligned with the company's identity to be implemented smoothly. However, he also mentions how their proximity can compromise their ability to provide an objective assessment. External consultants, in contrast, bring new insights that disrupt norms and stimulate creativity, although they sometimes require an extended period of time to properly grasp the unique characteristics of the organisation.</w:t>
      </w:r>
    </w:p>
    <w:p w14:paraId="60B832B5" w14:textId="60D8EE7F" w:rsidR="004E7EB6" w:rsidRPr="00085EDF" w:rsidRDefault="00E95F40" w:rsidP="00085EDF">
      <w:pPr>
        <w:spacing w:line="360" w:lineRule="auto"/>
        <w:rPr>
          <w:rFonts w:ascii="Arial" w:hAnsi="Arial" w:cs="Arial"/>
        </w:rPr>
      </w:pPr>
      <w:r w:rsidRPr="00085EDF">
        <w:rPr>
          <w:rFonts w:ascii="Arial" w:hAnsi="Arial" w:cs="Arial"/>
        </w:rPr>
        <w:t>Michael's discoveries go beyond the domain of conceptual theory. His intricate examination of consultants' contributions to organisational change reveals a great understanding of the complex processes at work. Michael not only offers strategic advice for the Post Office by promoting external consultants as amplifiers for transformation, but he also emphasises the larger ideas and factors that support successful change management initiatives.</w:t>
      </w:r>
    </w:p>
    <w:p w14:paraId="6FC0EF68" w14:textId="2983831C" w:rsidR="00FA7140" w:rsidRPr="00085EDF" w:rsidRDefault="009D00CC" w:rsidP="00085EDF">
      <w:pPr>
        <w:pStyle w:val="Heading1"/>
        <w:spacing w:line="360" w:lineRule="auto"/>
        <w:rPr>
          <w:rFonts w:ascii="Arial" w:hAnsi="Arial" w:cs="Arial"/>
          <w:color w:val="FF0000"/>
          <w:sz w:val="22"/>
          <w:szCs w:val="22"/>
        </w:rPr>
      </w:pPr>
      <w:bookmarkStart w:id="3" w:name="_Toc142665975"/>
      <w:r w:rsidRPr="00085EDF">
        <w:rPr>
          <w:rFonts w:ascii="Arial" w:hAnsi="Arial" w:cs="Arial"/>
          <w:sz w:val="22"/>
          <w:szCs w:val="22"/>
        </w:rPr>
        <w:t>Internal and External Consultants</w:t>
      </w:r>
      <w:r w:rsidRPr="00085EDF">
        <w:rPr>
          <w:rFonts w:ascii="Arial" w:hAnsi="Arial" w:cs="Arial"/>
          <w:sz w:val="22"/>
          <w:szCs w:val="22"/>
        </w:rPr>
        <w:t xml:space="preserve"> </w:t>
      </w:r>
      <w:r w:rsidR="009316F2" w:rsidRPr="00085EDF">
        <w:rPr>
          <w:rFonts w:ascii="Arial" w:hAnsi="Arial" w:cs="Arial"/>
          <w:sz w:val="22"/>
          <w:szCs w:val="22"/>
        </w:rPr>
        <w:t>Stakeholder Analysis</w:t>
      </w:r>
      <w:bookmarkEnd w:id="3"/>
      <w:r w:rsidR="009316F2" w:rsidRPr="00085EDF">
        <w:rPr>
          <w:rFonts w:ascii="Arial" w:hAnsi="Arial" w:cs="Arial"/>
          <w:sz w:val="22"/>
          <w:szCs w:val="22"/>
        </w:rPr>
        <w:t xml:space="preserve"> </w:t>
      </w:r>
    </w:p>
    <w:p w14:paraId="576B557E" w14:textId="307E9CD9" w:rsidR="004F0D23" w:rsidRPr="00085EDF" w:rsidRDefault="008A0327" w:rsidP="00085EDF">
      <w:pPr>
        <w:spacing w:line="360" w:lineRule="auto"/>
        <w:rPr>
          <w:rFonts w:ascii="Arial" w:hAnsi="Arial" w:cs="Arial"/>
          <w:lang w:eastAsia="en-GB"/>
        </w:rPr>
      </w:pPr>
      <w:r w:rsidRPr="00085EDF">
        <w:rPr>
          <w:rFonts w:ascii="Arial" w:hAnsi="Arial" w:cs="Arial"/>
          <w:lang w:eastAsia="en-GB"/>
        </w:rPr>
        <w:t xml:space="preserve">Stakeholders are people who are interested in or influenced by the decisions and results of a </w:t>
      </w:r>
      <w:r w:rsidR="004F0D23" w:rsidRPr="00085EDF">
        <w:rPr>
          <w:rFonts w:ascii="Arial" w:hAnsi="Arial" w:cs="Arial"/>
          <w:lang w:eastAsia="en-GB"/>
        </w:rPr>
        <w:t>business,</w:t>
      </w:r>
      <w:r w:rsidRPr="00085EDF">
        <w:rPr>
          <w:rFonts w:ascii="Arial" w:hAnsi="Arial" w:cs="Arial"/>
          <w:lang w:eastAsia="en-GB"/>
        </w:rPr>
        <w:t xml:space="preserve"> and they can be either internal including shareholders or employees; or external such as customers or communities. (Elms and Phillips, 2018).  To accomplish its objectives, the Post Office should identify and plan interaction with them considering that they might possess diverging or conflicting interests and requirements (Hollmann et al., 2022).</w:t>
      </w:r>
    </w:p>
    <w:p w14:paraId="37726DED" w14:textId="62C095A0" w:rsidR="00370F61" w:rsidRPr="00085EDF" w:rsidRDefault="004F0D23" w:rsidP="00085EDF">
      <w:pPr>
        <w:spacing w:line="360" w:lineRule="auto"/>
        <w:rPr>
          <w:rFonts w:ascii="Arial" w:hAnsi="Arial" w:cs="Arial"/>
          <w:lang w:eastAsia="en-GB"/>
        </w:rPr>
      </w:pPr>
      <w:bookmarkStart w:id="4" w:name="_Toc142665976"/>
      <w:r w:rsidRPr="00085EDF">
        <w:rPr>
          <w:rStyle w:val="Heading2Char"/>
          <w:rFonts w:ascii="Arial" w:hAnsi="Arial" w:cs="Arial"/>
          <w:sz w:val="22"/>
          <w:szCs w:val="22"/>
        </w:rPr>
        <w:lastRenderedPageBreak/>
        <w:t>Stakeholders</w:t>
      </w:r>
      <w:bookmarkEnd w:id="4"/>
      <w:r w:rsidRPr="00085EDF">
        <w:rPr>
          <w:rStyle w:val="Heading2Char"/>
          <w:rFonts w:ascii="Arial" w:hAnsi="Arial" w:cs="Arial"/>
          <w:sz w:val="22"/>
          <w:szCs w:val="22"/>
        </w:rPr>
        <w:t xml:space="preserve"> </w:t>
      </w:r>
      <w:r w:rsidRPr="00085EDF">
        <w:rPr>
          <w:rFonts w:ascii="Arial" w:hAnsi="Arial" w:cs="Arial"/>
          <w:lang w:eastAsia="en-GB"/>
        </w:rPr>
        <w:br/>
      </w:r>
      <w:r w:rsidR="00370F61" w:rsidRPr="00085EDF">
        <w:rPr>
          <w:rFonts w:ascii="Arial" w:hAnsi="Arial" w:cs="Arial"/>
          <w:lang w:eastAsia="en-GB"/>
        </w:rPr>
        <w:t>There are various stakeholders associated with the Post Office who have an interest in or have power over its business operations. A few of the key stakeholders involved are:</w:t>
      </w:r>
    </w:p>
    <w:p w14:paraId="51CFF386" w14:textId="4FA367E4" w:rsidR="000F1CA5" w:rsidRPr="00085EDF" w:rsidRDefault="000F1CA5" w:rsidP="00085EDF">
      <w:pPr>
        <w:pStyle w:val="ListParagraph"/>
        <w:numPr>
          <w:ilvl w:val="0"/>
          <w:numId w:val="2"/>
        </w:numPr>
        <w:spacing w:line="360" w:lineRule="auto"/>
        <w:rPr>
          <w:rFonts w:ascii="Arial" w:hAnsi="Arial" w:cs="Arial"/>
          <w:lang w:eastAsia="en-GB"/>
        </w:rPr>
      </w:pPr>
      <w:r w:rsidRPr="00085EDF">
        <w:rPr>
          <w:rFonts w:ascii="Arial" w:hAnsi="Arial" w:cs="Arial"/>
          <w:lang w:eastAsia="en-GB"/>
        </w:rPr>
        <w:t xml:space="preserve">Government: The Post Office's single shareholder, with complete authority over both financial and strategic direction. In </w:t>
      </w:r>
      <w:r w:rsidRPr="00085EDF">
        <w:rPr>
          <w:rFonts w:ascii="Arial" w:hAnsi="Arial" w:cs="Arial"/>
          <w:lang w:eastAsia="en-GB"/>
        </w:rPr>
        <w:t>a</w:t>
      </w:r>
      <w:r w:rsidRPr="00085EDF">
        <w:rPr>
          <w:rFonts w:ascii="Arial" w:hAnsi="Arial" w:cs="Arial"/>
          <w:lang w:eastAsia="en-GB"/>
        </w:rPr>
        <w:t xml:space="preserve"> recent published paper by the UK Gov (UK GOV, 2020), it establishes the Post Office's regulatory framework and social responsibility to guarantee that it satisfies the demands of the people and the economy. Essentially, requiring the Post Office to maintain a social purpose by providing comprehensive services while also being financially viable, effective, and innovative.</w:t>
      </w:r>
    </w:p>
    <w:p w14:paraId="1BDCB43A" w14:textId="0BA7022B" w:rsidR="000928D4" w:rsidRPr="00085EDF" w:rsidRDefault="000928D4" w:rsidP="00085EDF">
      <w:pPr>
        <w:pStyle w:val="ListParagraph"/>
        <w:numPr>
          <w:ilvl w:val="0"/>
          <w:numId w:val="2"/>
        </w:numPr>
        <w:spacing w:line="360" w:lineRule="auto"/>
        <w:rPr>
          <w:rFonts w:ascii="Arial" w:hAnsi="Arial" w:cs="Arial"/>
          <w:lang w:eastAsia="en-GB"/>
        </w:rPr>
      </w:pPr>
      <w:r w:rsidRPr="00085EDF">
        <w:rPr>
          <w:rFonts w:ascii="Arial" w:hAnsi="Arial" w:cs="Arial"/>
          <w:lang w:eastAsia="en-GB"/>
        </w:rPr>
        <w:t xml:space="preserve">Employees: Individuals who, either directly or indirectly, through franchises or agencies, work for the Post Office. These include </w:t>
      </w:r>
      <w:r w:rsidR="006162A0" w:rsidRPr="00085EDF">
        <w:rPr>
          <w:rFonts w:ascii="Arial" w:hAnsi="Arial" w:cs="Arial"/>
          <w:lang w:eastAsia="en-GB"/>
        </w:rPr>
        <w:t xml:space="preserve">Executive Leadership (The Board), </w:t>
      </w:r>
      <w:r w:rsidRPr="00085EDF">
        <w:rPr>
          <w:rFonts w:ascii="Arial" w:hAnsi="Arial" w:cs="Arial"/>
          <w:lang w:eastAsia="en-GB"/>
        </w:rPr>
        <w:t>management, clerks, postmasters, couriers, along with administrative personnel</w:t>
      </w:r>
      <w:r w:rsidR="007C10F0" w:rsidRPr="00085EDF">
        <w:rPr>
          <w:rFonts w:ascii="Arial" w:hAnsi="Arial" w:cs="Arial"/>
          <w:lang w:eastAsia="en-GB"/>
        </w:rPr>
        <w:t xml:space="preserve"> and can also include those who formally worked for the organisation</w:t>
      </w:r>
      <w:r w:rsidRPr="00085EDF">
        <w:rPr>
          <w:rFonts w:ascii="Arial" w:hAnsi="Arial" w:cs="Arial"/>
          <w:lang w:eastAsia="en-GB"/>
        </w:rPr>
        <w:t xml:space="preserve">. Since the performance of the Post Office affects their income, job security, working conditions, and career </w:t>
      </w:r>
      <w:r w:rsidR="009C18EB" w:rsidRPr="00085EDF">
        <w:rPr>
          <w:rFonts w:ascii="Arial" w:hAnsi="Arial" w:cs="Arial"/>
          <w:lang w:eastAsia="en-GB"/>
        </w:rPr>
        <w:t>development</w:t>
      </w:r>
      <w:r w:rsidRPr="00085EDF">
        <w:rPr>
          <w:rFonts w:ascii="Arial" w:hAnsi="Arial" w:cs="Arial"/>
          <w:lang w:eastAsia="en-GB"/>
        </w:rPr>
        <w:t xml:space="preserve">, employees have </w:t>
      </w:r>
      <w:r w:rsidR="006A1EED" w:rsidRPr="00085EDF">
        <w:rPr>
          <w:rFonts w:ascii="Arial" w:hAnsi="Arial" w:cs="Arial"/>
          <w:lang w:eastAsia="en-GB"/>
        </w:rPr>
        <w:t>both an extrinsic</w:t>
      </w:r>
      <w:r w:rsidR="009C18EB" w:rsidRPr="00085EDF">
        <w:rPr>
          <w:rFonts w:ascii="Arial" w:hAnsi="Arial" w:cs="Arial"/>
          <w:lang w:eastAsia="en-GB"/>
        </w:rPr>
        <w:t xml:space="preserve"> and </w:t>
      </w:r>
      <w:r w:rsidRPr="00085EDF">
        <w:rPr>
          <w:rFonts w:ascii="Arial" w:hAnsi="Arial" w:cs="Arial"/>
          <w:lang w:eastAsia="en-GB"/>
        </w:rPr>
        <w:t>intrinsic stake in operations</w:t>
      </w:r>
      <w:r w:rsidR="00542990" w:rsidRPr="00085EDF">
        <w:rPr>
          <w:rFonts w:ascii="Arial" w:hAnsi="Arial" w:cs="Arial"/>
          <w:lang w:eastAsia="en-GB"/>
        </w:rPr>
        <w:t xml:space="preserve"> </w:t>
      </w:r>
      <w:r w:rsidR="00542990" w:rsidRPr="00085EDF">
        <w:rPr>
          <w:rFonts w:ascii="Arial" w:hAnsi="Arial" w:cs="Arial"/>
          <w:lang w:eastAsia="en-GB"/>
        </w:rPr>
        <w:t>(Munir et al., 2016)</w:t>
      </w:r>
      <w:r w:rsidRPr="00085EDF">
        <w:rPr>
          <w:rFonts w:ascii="Arial" w:hAnsi="Arial" w:cs="Arial"/>
          <w:lang w:eastAsia="en-GB"/>
        </w:rPr>
        <w:t xml:space="preserve">. The Post Office should be ethical (Metwally et al., 2019), , and champion its employees' requirements and objectives to help foster a more inclusive environment and culture (Jain-Link, Taylor </w:t>
      </w:r>
      <w:r w:rsidR="00283878" w:rsidRPr="00085EDF">
        <w:rPr>
          <w:rFonts w:ascii="Arial" w:hAnsi="Arial" w:cs="Arial"/>
          <w:lang w:eastAsia="en-GB"/>
        </w:rPr>
        <w:t>Kennedy,</w:t>
      </w:r>
      <w:r w:rsidRPr="00085EDF">
        <w:rPr>
          <w:rFonts w:ascii="Arial" w:hAnsi="Arial" w:cs="Arial"/>
          <w:lang w:eastAsia="en-GB"/>
        </w:rPr>
        <w:t xml:space="preserve"> and Bourgeois, 2020).</w:t>
      </w:r>
    </w:p>
    <w:p w14:paraId="388532AB" w14:textId="65E4436B" w:rsidR="00B716B7" w:rsidRPr="00085EDF" w:rsidRDefault="00B716B7" w:rsidP="00085EDF">
      <w:pPr>
        <w:pStyle w:val="ListParagraph"/>
        <w:numPr>
          <w:ilvl w:val="0"/>
          <w:numId w:val="2"/>
        </w:numPr>
        <w:spacing w:line="360" w:lineRule="auto"/>
        <w:rPr>
          <w:rFonts w:ascii="Arial" w:hAnsi="Arial" w:cs="Arial"/>
          <w:lang w:eastAsia="en-GB"/>
        </w:rPr>
      </w:pPr>
      <w:r w:rsidRPr="00085EDF">
        <w:rPr>
          <w:rFonts w:ascii="Arial" w:hAnsi="Arial" w:cs="Arial"/>
          <w:lang w:eastAsia="en-GB"/>
        </w:rPr>
        <w:t>Regulators: Ofcom, establish the guidelines and requirements that the Post Office must adhere to in order to provide its services to the general public. whilst also overseeing and enforcing the Post Office's adherence to its nationwide service obligation, legal requirements that ensures that everyone in the UK has access to postal services at a fair price and of a high standard (The Postal Services (Universal Postal Service) Order 2012; Legislation.gov.uk, 2020). By promoting fair competition and consumer rights in the postal sector, regulators also safeguard the interests of clients, staff members, and rival businesses whilst ensuring it remains a financially sustainable universal service (OFCOM, 2022)</w:t>
      </w:r>
    </w:p>
    <w:p w14:paraId="3FE184B7" w14:textId="0B7593D7" w:rsidR="000928D4" w:rsidRPr="00085EDF" w:rsidRDefault="00E612C3" w:rsidP="00085EDF">
      <w:pPr>
        <w:pStyle w:val="ListParagraph"/>
        <w:numPr>
          <w:ilvl w:val="0"/>
          <w:numId w:val="2"/>
        </w:numPr>
        <w:spacing w:line="360" w:lineRule="auto"/>
        <w:rPr>
          <w:rFonts w:ascii="Arial" w:hAnsi="Arial" w:cs="Arial"/>
          <w:lang w:eastAsia="en-GB"/>
        </w:rPr>
      </w:pPr>
      <w:r w:rsidRPr="00085EDF">
        <w:rPr>
          <w:rFonts w:ascii="Arial" w:hAnsi="Arial" w:cs="Arial"/>
          <w:lang w:eastAsia="en-GB"/>
        </w:rPr>
        <w:t>Customers: Personal clients, small and medium-sized businesses, major organisations, public-sector institutions, and charities are individuals and businesses who use the Post Office's products and services. Customers have a vested interest in the Post Office's product quality, dependability, cost, and accessibility whilst expecting the Post Office to be responsive, convenient, and reliable to enable their full satisfaction (Burke, 2002).</w:t>
      </w:r>
      <w:r w:rsidR="000F6629" w:rsidRPr="00085EDF">
        <w:rPr>
          <w:rFonts w:ascii="Arial" w:hAnsi="Arial" w:cs="Arial"/>
          <w:lang w:eastAsia="en-GB"/>
        </w:rPr>
        <w:t xml:space="preserve"> </w:t>
      </w:r>
    </w:p>
    <w:p w14:paraId="286CD83A" w14:textId="486B2611" w:rsidR="00370F61" w:rsidRPr="00085EDF" w:rsidRDefault="000F6629" w:rsidP="00085EDF">
      <w:pPr>
        <w:pStyle w:val="ListParagraph"/>
        <w:numPr>
          <w:ilvl w:val="0"/>
          <w:numId w:val="2"/>
        </w:numPr>
        <w:spacing w:line="360" w:lineRule="auto"/>
        <w:rPr>
          <w:rFonts w:ascii="Arial" w:hAnsi="Arial" w:cs="Arial"/>
          <w:lang w:eastAsia="en-GB"/>
        </w:rPr>
      </w:pPr>
      <w:r w:rsidRPr="00085EDF">
        <w:rPr>
          <w:rFonts w:ascii="Arial" w:hAnsi="Arial" w:cs="Arial"/>
          <w:lang w:eastAsia="en-GB"/>
        </w:rPr>
        <w:lastRenderedPageBreak/>
        <w:t>Community: Here, UK citizens, community organisations, private sector organisations, and charitable organisations are all involved. The social and environmental effects of the Post Office have an influence on the population's fulfilment, integration, and sustainability  (Olaf Weber, 2016) and there for expect the Post Office to be trustworthy, and morale (Greenwood and Van Buren III, 2010). </w:t>
      </w:r>
    </w:p>
    <w:p w14:paraId="523F62D7" w14:textId="2BD8E5FB" w:rsidR="005866D2" w:rsidRPr="00085EDF" w:rsidRDefault="005866D2" w:rsidP="00085EDF">
      <w:pPr>
        <w:spacing w:line="360" w:lineRule="auto"/>
        <w:rPr>
          <w:rFonts w:ascii="Arial" w:hAnsi="Arial" w:cs="Arial"/>
          <w:lang w:eastAsia="en-GB"/>
        </w:rPr>
      </w:pPr>
      <w:r w:rsidRPr="00085EDF">
        <w:rPr>
          <w:rFonts w:ascii="Arial" w:hAnsi="Arial" w:cs="Arial"/>
          <w:lang w:eastAsia="en-GB"/>
        </w:rPr>
        <w:t>However, there are additional stakeholders involved in the Post Office's activities who have an interest in or influence their key operations. Suppliers, competitors, and media outlets (including social media), for instance, can all be considered stakeholders. Therefore, it is important for the Post Office to identify and engage with its diverse range of stakeholders in order to understand their expectations and concerns and, to balance their interests in its decision-making process (Colle, 2005).</w:t>
      </w:r>
    </w:p>
    <w:p w14:paraId="549129BC" w14:textId="3512AF7B" w:rsidR="00253997" w:rsidRPr="00085EDF" w:rsidRDefault="001E4712" w:rsidP="00085EDF">
      <w:pPr>
        <w:pStyle w:val="Heading2"/>
        <w:spacing w:line="360" w:lineRule="auto"/>
        <w:rPr>
          <w:rFonts w:ascii="Arial" w:hAnsi="Arial" w:cs="Arial"/>
          <w:sz w:val="22"/>
          <w:szCs w:val="22"/>
          <w:lang w:eastAsia="en-GB"/>
        </w:rPr>
      </w:pPr>
      <w:bookmarkStart w:id="5" w:name="_Toc142665977"/>
      <w:r w:rsidRPr="00085EDF">
        <w:rPr>
          <w:rFonts w:ascii="Arial" w:hAnsi="Arial" w:cs="Arial"/>
          <w:sz w:val="22"/>
          <w:szCs w:val="22"/>
          <w:lang w:eastAsia="en-GB"/>
        </w:rPr>
        <w:t>Salience Model Application</w:t>
      </w:r>
      <w:bookmarkEnd w:id="5"/>
      <w:r w:rsidRPr="00085EDF">
        <w:rPr>
          <w:rFonts w:ascii="Arial" w:hAnsi="Arial" w:cs="Arial"/>
          <w:sz w:val="22"/>
          <w:szCs w:val="22"/>
          <w:lang w:eastAsia="en-GB"/>
        </w:rPr>
        <w:t xml:space="preserve"> </w:t>
      </w:r>
    </w:p>
    <w:p w14:paraId="21F8A9C3" w14:textId="1763A407" w:rsidR="00CE57AD" w:rsidRPr="00085EDF" w:rsidRDefault="00CE57AD" w:rsidP="00085EDF">
      <w:pPr>
        <w:spacing w:line="360" w:lineRule="auto"/>
        <w:rPr>
          <w:rFonts w:ascii="Arial" w:hAnsi="Arial" w:cs="Arial"/>
        </w:rPr>
      </w:pPr>
      <w:r w:rsidRPr="00085EDF">
        <w:rPr>
          <w:rFonts w:ascii="Arial" w:hAnsi="Arial" w:cs="Arial"/>
        </w:rPr>
        <w:t xml:space="preserve">In the dynamic landscape of modern organisations, stakeholder management has emerged as a pivotal concept for sustainable success (Amui et al., 2017). In this part, a thorough </w:t>
      </w:r>
      <w:r w:rsidR="00D454E9" w:rsidRPr="00085EDF">
        <w:rPr>
          <w:rFonts w:ascii="Arial" w:hAnsi="Arial" w:cs="Arial"/>
        </w:rPr>
        <w:t>Salience</w:t>
      </w:r>
      <w:r w:rsidRPr="00085EDF">
        <w:rPr>
          <w:rFonts w:ascii="Arial" w:hAnsi="Arial" w:cs="Arial"/>
        </w:rPr>
        <w:t xml:space="preserve"> Stakeholder Model is applied to help internal and external consultants alike understand the complex terrain of post office stakeholders and those whom they may work closely with. The model which was introduced by Mitchell, Agle and Wood, (1997) helps consultants optimise operational strategies and decision-making processes by comprehending and prioritising stakeholder relationships. The model helps to identify the weight each of the stakeholders hold and the value attributed to them and aids in determining their level of importance.</w:t>
      </w:r>
      <w:r w:rsidR="00715FC5" w:rsidRPr="00085EDF">
        <w:rPr>
          <w:rFonts w:ascii="Arial" w:hAnsi="Arial" w:cs="Arial"/>
        </w:rPr>
        <w:t xml:space="preserve"> </w:t>
      </w:r>
      <w:r w:rsidRPr="00085EDF">
        <w:rPr>
          <w:rFonts w:ascii="Arial" w:hAnsi="Arial" w:cs="Arial"/>
        </w:rPr>
        <w:t>The model also emphasises the significance of responsiveness to stakeholders.</w:t>
      </w:r>
      <w:r w:rsidR="00715FC5" w:rsidRPr="00085EDF">
        <w:rPr>
          <w:rFonts w:ascii="Arial" w:hAnsi="Arial" w:cs="Arial"/>
        </w:rPr>
        <w:t xml:space="preserve"> </w:t>
      </w:r>
      <w:r w:rsidRPr="00085EDF">
        <w:rPr>
          <w:rFonts w:ascii="Arial" w:hAnsi="Arial" w:cs="Arial"/>
        </w:rPr>
        <w:t xml:space="preserve">The </w:t>
      </w:r>
      <w:r w:rsidR="00D454E9" w:rsidRPr="00085EDF">
        <w:rPr>
          <w:rFonts w:ascii="Arial" w:hAnsi="Arial" w:cs="Arial"/>
        </w:rPr>
        <w:t>model</w:t>
      </w:r>
      <w:r w:rsidRPr="00085EDF">
        <w:rPr>
          <w:rFonts w:ascii="Arial" w:hAnsi="Arial" w:cs="Arial"/>
        </w:rPr>
        <w:t xml:space="preserve"> shown below is an image below representation of the stakeholders in the model</w:t>
      </w:r>
      <w:r w:rsidR="00D87A19" w:rsidRPr="00085EDF">
        <w:rPr>
          <w:rFonts w:ascii="Arial" w:hAnsi="Arial" w:cs="Arial"/>
        </w:rPr>
        <w:t xml:space="preserve"> that has been com</w:t>
      </w:r>
      <w:r w:rsidR="00715FC5" w:rsidRPr="00085EDF">
        <w:rPr>
          <w:rFonts w:ascii="Arial" w:hAnsi="Arial" w:cs="Arial"/>
        </w:rPr>
        <w:t>pleted to understand the landscape.</w:t>
      </w:r>
      <w:r w:rsidRPr="00085EDF">
        <w:rPr>
          <w:rFonts w:ascii="Arial" w:hAnsi="Arial" w:cs="Arial"/>
        </w:rPr>
        <w:t xml:space="preserve"> </w:t>
      </w:r>
    </w:p>
    <w:p w14:paraId="67A7C3C7" w14:textId="24C7D286" w:rsidR="001E6765" w:rsidRPr="00085EDF" w:rsidRDefault="001E6765" w:rsidP="00085EDF">
      <w:pPr>
        <w:pStyle w:val="Heading4"/>
        <w:spacing w:line="360" w:lineRule="auto"/>
        <w:rPr>
          <w:rFonts w:ascii="Arial" w:hAnsi="Arial" w:cs="Arial"/>
        </w:rPr>
      </w:pPr>
      <w:bookmarkStart w:id="6" w:name="_Toc142665932"/>
      <w:r w:rsidRPr="00085EDF">
        <w:rPr>
          <w:rFonts w:ascii="Arial" w:hAnsi="Arial" w:cs="Arial"/>
        </w:rPr>
        <w:lastRenderedPageBreak/>
        <w:t>Figure</w:t>
      </w:r>
      <w:r w:rsidR="002378E9" w:rsidRPr="00085EDF">
        <w:rPr>
          <w:rFonts w:ascii="Arial" w:hAnsi="Arial" w:cs="Arial"/>
        </w:rPr>
        <w:t xml:space="preserve"> 1: </w:t>
      </w:r>
      <w:r w:rsidRPr="00085EDF">
        <w:rPr>
          <w:rFonts w:ascii="Arial" w:hAnsi="Arial" w:cs="Arial"/>
        </w:rPr>
        <w:t>Salience of Post Office Stakeholders</w:t>
      </w:r>
      <w:bookmarkEnd w:id="6"/>
    </w:p>
    <w:p w14:paraId="3E8AE216" w14:textId="55AEFE64" w:rsidR="001E6765" w:rsidRPr="00085EDF" w:rsidRDefault="001E6765" w:rsidP="00085EDF">
      <w:pPr>
        <w:spacing w:line="360" w:lineRule="auto"/>
        <w:jc w:val="center"/>
        <w:rPr>
          <w:rFonts w:ascii="Arial" w:hAnsi="Arial" w:cs="Arial"/>
        </w:rPr>
      </w:pPr>
      <w:r w:rsidRPr="00085EDF">
        <w:rPr>
          <w:rFonts w:ascii="Arial" w:hAnsi="Arial" w:cs="Arial"/>
          <w:noProof/>
        </w:rPr>
        <w:drawing>
          <wp:inline distT="0" distB="0" distL="0" distR="0" wp14:anchorId="35471952" wp14:editId="6A82CCCF">
            <wp:extent cx="4541104" cy="3499876"/>
            <wp:effectExtent l="0" t="0" r="0" b="0"/>
            <wp:docPr id="19757372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45563" cy="3503312"/>
                    </a:xfrm>
                    <a:prstGeom prst="rect">
                      <a:avLst/>
                    </a:prstGeom>
                    <a:noFill/>
                  </pic:spPr>
                </pic:pic>
              </a:graphicData>
            </a:graphic>
          </wp:inline>
        </w:drawing>
      </w:r>
    </w:p>
    <w:p w14:paraId="174675CA" w14:textId="711038DC" w:rsidR="0062662C" w:rsidRPr="00085EDF" w:rsidRDefault="00CE57AD" w:rsidP="00085EDF">
      <w:pPr>
        <w:spacing w:line="360" w:lineRule="auto"/>
        <w:rPr>
          <w:rFonts w:ascii="Arial" w:hAnsi="Arial" w:cs="Arial"/>
        </w:rPr>
      </w:pPr>
      <w:r w:rsidRPr="00085EDF">
        <w:rPr>
          <w:rFonts w:ascii="Arial" w:hAnsi="Arial" w:cs="Arial"/>
        </w:rPr>
        <w:t>The UK Government exert enormous control over post office operations through the use of regulatory frameworks, funding allocations, and policy decisions. They hold a significant amount of power and authority, which serves as the foundation for this powerful position in the Stakeholder Salience Model. External consultants frequently work together with government organisations to guarantee compliance with legal requirements and alignment with national objectives. For instance, a post office might hire outside consultants in response to a government's push for digitalisation. These experts would assist in the complex process of technical evolution while ensuring compliance with laws and regulations. This collaboration highlights the complex interactions between governmental entities, post offices, and outside consultants when managing changing operating environments.</w:t>
      </w:r>
    </w:p>
    <w:p w14:paraId="4C51BCD9" w14:textId="24DF6B78" w:rsidR="00E80DDC" w:rsidRPr="00085EDF" w:rsidRDefault="00BC1B8E" w:rsidP="00085EDF">
      <w:pPr>
        <w:spacing w:line="360" w:lineRule="auto"/>
        <w:rPr>
          <w:rFonts w:ascii="Arial" w:hAnsi="Arial" w:cs="Arial"/>
        </w:rPr>
      </w:pPr>
      <w:r w:rsidRPr="00085EDF">
        <w:rPr>
          <w:rFonts w:ascii="Arial" w:hAnsi="Arial" w:cs="Arial"/>
        </w:rPr>
        <w:t>Internal consultants play a crucial role in interacting with employees and validating their status as vital contributors to the success of the organisation (Foster, Punjaisri and Cheng, 2010), since employees hold a dominating role in this dynamic, bringing both legitimacy and urgency and The Post Office's direction and decisions are greatly influenced through its dedicated contributions (Ben-ner and Jones, 1995). The creation of a supportive work environment, offering opportunities for advancement, and expertly addressing issues are priorities for consultants and they should implement successful tactics like mentorship and training to improve service quality and increase employee satisfaction (Beheshti, 2019).</w:t>
      </w:r>
      <w:r w:rsidR="00E80DDC" w:rsidRPr="00085EDF">
        <w:rPr>
          <w:rFonts w:ascii="Arial" w:hAnsi="Arial" w:cs="Arial"/>
        </w:rPr>
        <w:t xml:space="preserve"> </w:t>
      </w:r>
      <w:r w:rsidR="00E80DDC" w:rsidRPr="00085EDF">
        <w:rPr>
          <w:rFonts w:ascii="Arial" w:hAnsi="Arial" w:cs="Arial"/>
        </w:rPr>
        <w:t xml:space="preserve">Backed by their in-depth understanding of the company's operations they are able to align employee aspirations and organisational goals due to this collaboration (Iannotta, Meret and </w:t>
      </w:r>
      <w:r w:rsidR="00E80DDC" w:rsidRPr="00085EDF">
        <w:rPr>
          <w:rFonts w:ascii="Arial" w:hAnsi="Arial" w:cs="Arial"/>
        </w:rPr>
        <w:lastRenderedPageBreak/>
        <w:t>Marchetti, 2020). By swiftly addressing issues and fostering an innovative culture through open channels of communication, consultants strengthen the potent interdependence between the involvement of the Post Office's most influential people and its larger objective (Lin, 2007).</w:t>
      </w:r>
    </w:p>
    <w:p w14:paraId="1FB57E82" w14:textId="3BB16F8E" w:rsidR="0062662C" w:rsidRPr="00085EDF" w:rsidRDefault="008D5A1A" w:rsidP="00085EDF">
      <w:pPr>
        <w:spacing w:line="360" w:lineRule="auto"/>
        <w:rPr>
          <w:rFonts w:ascii="Arial" w:hAnsi="Arial" w:cs="Arial"/>
        </w:rPr>
      </w:pPr>
      <w:r w:rsidRPr="00085EDF">
        <w:rPr>
          <w:rFonts w:ascii="Arial" w:hAnsi="Arial" w:cs="Arial"/>
        </w:rPr>
        <w:t>Regulators, who in the case of the Post Office play a dominating role that has tremendous authority, urgency, and power in regulating the postal industry and their impact on business operations is crucial. These regulatory organisations work closely with both their internal and external consultants. While external consultants provide specialised insights into compliance initiatives, internal consultants ensure regulatory alignment, building trust with regulators (Scott and B Kim Barnes, 2011). The operational standards for fairness and compliance are established by these institutions (OFCOM, 2020), and have significant authority and urgency. To navigate changing regulatory environments, ensure compliance, reduce risks, and maintain a positive organisational-regulatory relationship, effective communication is essential (Frewer, 2004). This vital collaboration is strengthened by the knowledge of external consultants who assist in interpreting legislation and creating compliance reports for regulatory audits (McVey, 2022).</w:t>
      </w:r>
    </w:p>
    <w:p w14:paraId="1FDE4ED7" w14:textId="77777777" w:rsidR="00F9341E" w:rsidRPr="00085EDF" w:rsidRDefault="00F9341E" w:rsidP="00085EDF">
      <w:pPr>
        <w:spacing w:line="360" w:lineRule="auto"/>
        <w:rPr>
          <w:rFonts w:ascii="Arial" w:hAnsi="Arial" w:cs="Arial"/>
        </w:rPr>
      </w:pPr>
      <w:r w:rsidRPr="00085EDF">
        <w:rPr>
          <w:rFonts w:ascii="Arial" w:hAnsi="Arial" w:cs="Arial"/>
        </w:rPr>
        <w:t>Customers play a crucial role in the demanding category since they have a lot of authority and power. Their purchasing decisions have a significant impact on the profitability and standing of an organisation therefore, for the Post Office to understand consumers' demands, obtain feedback, and improve service standards, consultants are essential to improve the customer journey and be on board with change (Lemon and Verhoef, 2016). Customer satisfaction surveys can be carried out by external consultants who will use data insights to make specific suggestions for improving service, whereas internal consultants could create employee training programs focused on providing outstanding client experiences at the same time (Hair, Page and Brusveld, 2019). This partnership highlights the necessity to meet their requests while preserving a favourable organizational-customer relationship, which is in line with the model's emphasis on customers' powerful impact.</w:t>
      </w:r>
    </w:p>
    <w:p w14:paraId="2670FE2E" w14:textId="77777777" w:rsidR="0062662C" w:rsidRPr="00085EDF" w:rsidRDefault="0062662C" w:rsidP="00085EDF">
      <w:pPr>
        <w:spacing w:line="360" w:lineRule="auto"/>
        <w:rPr>
          <w:rFonts w:ascii="Arial" w:hAnsi="Arial" w:cs="Arial"/>
        </w:rPr>
      </w:pPr>
      <w:r w:rsidRPr="00085EDF">
        <w:rPr>
          <w:rFonts w:ascii="Arial" w:hAnsi="Arial" w:cs="Arial"/>
        </w:rPr>
        <w:t>The community is categorized as dormant, possessing legitimacy but lower power and urgency. Consultants, especially external ones, can engage the community through corporate social responsibility initiatives, positioning the organization as a responsible community member. External consultants could work on collaborative projects that benefit the community, demonstrating the organization's commitment to societal well-being.</w:t>
      </w:r>
    </w:p>
    <w:p w14:paraId="2C19F847" w14:textId="77777777" w:rsidR="0081072B" w:rsidRPr="00085EDF" w:rsidRDefault="0081072B" w:rsidP="00085EDF">
      <w:pPr>
        <w:spacing w:line="360" w:lineRule="auto"/>
        <w:rPr>
          <w:rFonts w:ascii="Arial" w:hAnsi="Arial" w:cs="Arial"/>
        </w:rPr>
      </w:pPr>
      <w:r w:rsidRPr="00085EDF">
        <w:rPr>
          <w:rFonts w:ascii="Arial" w:hAnsi="Arial" w:cs="Arial"/>
        </w:rPr>
        <w:t xml:space="preserve">Communities belong to the category of dormant organisations, which are legitimate but have little influence and urgency. Despite the absence of direct influence, the community's moral standing has a significant impact on long-term viability. Consultants, especially external </w:t>
      </w:r>
      <w:r w:rsidRPr="00085EDF">
        <w:rPr>
          <w:rFonts w:ascii="Arial" w:hAnsi="Arial" w:cs="Arial"/>
        </w:rPr>
        <w:lastRenderedPageBreak/>
        <w:t>ones, can plan initiatives for corporate social responsibility that presents the company as a responsible member of society in order to engage customers effectively (Luning, 2012). External consultants show the organization's dedication to social well-being by participating in joint projects that directly benefit the community. Initiatives like open communication on environmental sustainability efforts and collaborations with neighbourhood community organisations, such as tree-planting drives near post office facilities, not only improve the image of the Post Office but also develop the company's good in the neighbourhood. As consultants use this group of dormant stakeholders for their mutual advantage and overall organisational performance, it becomes more engaged.</w:t>
      </w:r>
    </w:p>
    <w:p w14:paraId="3A723CC1" w14:textId="77777777" w:rsidR="004D78C0" w:rsidRPr="00085EDF" w:rsidRDefault="004D78C0" w:rsidP="00085EDF">
      <w:pPr>
        <w:spacing w:line="360" w:lineRule="auto"/>
        <w:rPr>
          <w:rFonts w:ascii="Arial" w:hAnsi="Arial" w:cs="Arial"/>
        </w:rPr>
      </w:pPr>
      <w:r w:rsidRPr="00085EDF">
        <w:rPr>
          <w:rFonts w:ascii="Arial" w:hAnsi="Arial" w:cs="Arial"/>
        </w:rPr>
        <w:t>Within the stakeholder model, suppliers take a demanding position that is motivated by their strong power and urgency, despite having a low degree of legitimacy. It is the role of consultants, typically inside experts, to provide a reliable supply chain for ongoing operations, therefore creating effective procurement strategies that uphold delivery and quality standards is required (Gattorna, 2017). Internal consultants assist in these collaborative efforts between the company and its suppliers in order to save costs, increase efficiency, and minimise disruptions (Giannakis and Louis, 2011). This collaborative strategy supports the model's concept of meeting stakeholder requests while bolstering the Post Office's resilience and performance, given suppliers' noteworthy impact on operational continuity.</w:t>
      </w:r>
    </w:p>
    <w:p w14:paraId="3685E890" w14:textId="77777777" w:rsidR="0024099F" w:rsidRPr="00085EDF" w:rsidRDefault="0024099F" w:rsidP="00085EDF">
      <w:pPr>
        <w:spacing w:line="360" w:lineRule="auto"/>
        <w:rPr>
          <w:rFonts w:ascii="Arial" w:hAnsi="Arial" w:cs="Arial"/>
        </w:rPr>
      </w:pPr>
      <w:r w:rsidRPr="00085EDF">
        <w:rPr>
          <w:rFonts w:ascii="Arial" w:hAnsi="Arial" w:cs="Arial"/>
        </w:rPr>
        <w:t>Competitors who fit into the dormant category possess less authority, urgency, and power. Even though there might not be any direct involvement with consultants, understanding the competitive environment is crucial. By providing insights into market trends and competitive positioning, consultants help the organisation position itself strategically and take advantage of opportunities for difference (Fleisher and Bensoussan, 2018). Both internal and external consultants will find this information to be quite helpful in forming their strategic judgements and long-term planning for change. The Post Office may handle change with knowledge, maintaining resilience and competitive advantage, by understanding competitors' indirect influence and utilising consultant expertise(Barney, 1991).</w:t>
      </w:r>
    </w:p>
    <w:p w14:paraId="2BEB9F73" w14:textId="145198C4" w:rsidR="0062662C" w:rsidRPr="00085EDF" w:rsidRDefault="00AD5E56" w:rsidP="00085EDF">
      <w:pPr>
        <w:spacing w:line="360" w:lineRule="auto"/>
        <w:rPr>
          <w:rFonts w:ascii="Arial" w:hAnsi="Arial" w:cs="Arial"/>
        </w:rPr>
      </w:pPr>
      <w:r w:rsidRPr="00085EDF">
        <w:rPr>
          <w:rFonts w:ascii="Arial" w:hAnsi="Arial" w:cs="Arial"/>
        </w:rPr>
        <w:t xml:space="preserve">Media groups hold a demanding position with considerable authority, legitimacy, and urgency. They need to be handled strategically because of their impact on public opinion. Consultants play a crucial role in handling media relations, responding quickly to negative stories, and publicly disclosing positive developments which would have been crucial in The Horizon IT System's failings. External consultants are essential in creating crisis communication plans and providing media training to key employees for efficient participation in difficult situations. This all-encompassing strategy protects the company's </w:t>
      </w:r>
      <w:r w:rsidRPr="00085EDF">
        <w:rPr>
          <w:rFonts w:ascii="Arial" w:hAnsi="Arial" w:cs="Arial"/>
        </w:rPr>
        <w:lastRenderedPageBreak/>
        <w:t>reputation and maintains a favourable public perception throughout the change. Consultants make sure that the organisation navigates change while keeping a positive external image because they are aware of the media's major influence.</w:t>
      </w:r>
    </w:p>
    <w:p w14:paraId="0950CEBB" w14:textId="252DF1B2" w:rsidR="0062662C" w:rsidRPr="00085EDF" w:rsidRDefault="0062662C" w:rsidP="00085EDF">
      <w:pPr>
        <w:pStyle w:val="Heading2"/>
        <w:spacing w:line="360" w:lineRule="auto"/>
        <w:rPr>
          <w:rFonts w:ascii="Arial" w:hAnsi="Arial" w:cs="Arial"/>
          <w:sz w:val="22"/>
          <w:szCs w:val="22"/>
        </w:rPr>
      </w:pPr>
      <w:bookmarkStart w:id="7" w:name="_Toc142665978"/>
      <w:r w:rsidRPr="00085EDF">
        <w:rPr>
          <w:rFonts w:ascii="Arial" w:hAnsi="Arial" w:cs="Arial"/>
          <w:sz w:val="22"/>
          <w:szCs w:val="22"/>
        </w:rPr>
        <w:t>Strategies for Effective Stakeholder Engagement</w:t>
      </w:r>
      <w:bookmarkEnd w:id="7"/>
    </w:p>
    <w:p w14:paraId="1D563424" w14:textId="24038986" w:rsidR="00C326B4" w:rsidRPr="00085EDF" w:rsidRDefault="00C326B4" w:rsidP="00085EDF">
      <w:pPr>
        <w:spacing w:line="360" w:lineRule="auto"/>
        <w:rPr>
          <w:rFonts w:ascii="Arial" w:hAnsi="Arial" w:cs="Arial"/>
        </w:rPr>
      </w:pPr>
      <w:r w:rsidRPr="00085EDF">
        <w:rPr>
          <w:rFonts w:ascii="Arial" w:hAnsi="Arial" w:cs="Arial"/>
        </w:rPr>
        <w:t>Strategically engaging with stakeholders is essential for any organi</w:t>
      </w:r>
      <w:r w:rsidRPr="00085EDF">
        <w:rPr>
          <w:rFonts w:ascii="Arial" w:hAnsi="Arial" w:cs="Arial"/>
        </w:rPr>
        <w:t>s</w:t>
      </w:r>
      <w:r w:rsidRPr="00085EDF">
        <w:rPr>
          <w:rFonts w:ascii="Arial" w:hAnsi="Arial" w:cs="Arial"/>
        </w:rPr>
        <w:t>ation's success, particularly in the dynamic context of post office operations. This section outlines actionable strategies that consultants, both internal and external, can employ to effectively engage with these stakeholders and foster mutually beneficial relationships.</w:t>
      </w:r>
    </w:p>
    <w:p w14:paraId="2EA320EE" w14:textId="77777777" w:rsidR="00553B15" w:rsidRPr="00085EDF" w:rsidRDefault="00553B15" w:rsidP="00085EDF">
      <w:pPr>
        <w:pStyle w:val="Heading3"/>
        <w:spacing w:line="360" w:lineRule="auto"/>
        <w:ind w:left="720"/>
        <w:rPr>
          <w:rFonts w:ascii="Arial" w:hAnsi="Arial" w:cs="Arial"/>
          <w:sz w:val="22"/>
          <w:szCs w:val="22"/>
        </w:rPr>
      </w:pPr>
      <w:bookmarkStart w:id="8" w:name="_Toc142665979"/>
      <w:r w:rsidRPr="00085EDF">
        <w:rPr>
          <w:rFonts w:ascii="Arial" w:hAnsi="Arial" w:cs="Arial"/>
          <w:sz w:val="22"/>
          <w:szCs w:val="22"/>
        </w:rPr>
        <w:t>Mapping and Prioritisation</w:t>
      </w:r>
      <w:bookmarkEnd w:id="8"/>
    </w:p>
    <w:p w14:paraId="0A508CDB" w14:textId="25D8C27C" w:rsidR="0062662C" w:rsidRPr="00085EDF" w:rsidRDefault="000E6BC3" w:rsidP="00085EDF">
      <w:pPr>
        <w:spacing w:line="360" w:lineRule="auto"/>
        <w:ind w:left="720"/>
        <w:rPr>
          <w:rFonts w:ascii="Arial" w:hAnsi="Arial" w:cs="Arial"/>
          <w:color w:val="343541"/>
        </w:rPr>
      </w:pPr>
      <w:r w:rsidRPr="00085EDF">
        <w:rPr>
          <w:rFonts w:ascii="Arial" w:hAnsi="Arial" w:cs="Arial"/>
          <w:color w:val="343541"/>
        </w:rPr>
        <w:t>Consultants should prioritise stakeholders based on their categorisation within the model. High-priority stakeholders, such as regulators and customers, require extensive engagement efforts due to their dominant and demanding attributes</w:t>
      </w:r>
      <w:r w:rsidR="002D2BCE" w:rsidRPr="00085EDF">
        <w:rPr>
          <w:rFonts w:ascii="Arial" w:hAnsi="Arial" w:cs="Arial"/>
          <w:color w:val="343541"/>
        </w:rPr>
        <w:t xml:space="preserve"> </w:t>
      </w:r>
      <w:r w:rsidR="002D2BCE" w:rsidRPr="00085EDF">
        <w:rPr>
          <w:rFonts w:ascii="Arial" w:hAnsi="Arial" w:cs="Arial"/>
          <w:color w:val="343541"/>
        </w:rPr>
        <w:t>(Mitchell, Agle and Wood, 1997)</w:t>
      </w:r>
      <w:r w:rsidRPr="00085EDF">
        <w:rPr>
          <w:rFonts w:ascii="Arial" w:hAnsi="Arial" w:cs="Arial"/>
          <w:color w:val="343541"/>
        </w:rPr>
        <w:t>.</w:t>
      </w:r>
    </w:p>
    <w:p w14:paraId="1A6A94E2" w14:textId="4580E9B1" w:rsidR="004D5300" w:rsidRPr="00085EDF" w:rsidRDefault="004D5300" w:rsidP="00085EDF">
      <w:pPr>
        <w:pStyle w:val="Heading3"/>
        <w:spacing w:line="360" w:lineRule="auto"/>
        <w:ind w:left="720"/>
        <w:rPr>
          <w:rFonts w:ascii="Arial" w:hAnsi="Arial" w:cs="Arial"/>
          <w:sz w:val="22"/>
          <w:szCs w:val="22"/>
        </w:rPr>
      </w:pPr>
      <w:bookmarkStart w:id="9" w:name="_Toc142665980"/>
      <w:r w:rsidRPr="00085EDF">
        <w:rPr>
          <w:rFonts w:ascii="Arial" w:hAnsi="Arial" w:cs="Arial"/>
          <w:sz w:val="22"/>
          <w:szCs w:val="22"/>
        </w:rPr>
        <w:t>Tailored Communication Channels</w:t>
      </w:r>
      <w:bookmarkEnd w:id="9"/>
    </w:p>
    <w:p w14:paraId="0FFD444C" w14:textId="04001262" w:rsidR="00BA44F0" w:rsidRPr="00085EDF" w:rsidRDefault="00BA44F0" w:rsidP="00085EDF">
      <w:pPr>
        <w:spacing w:line="360" w:lineRule="auto"/>
        <w:ind w:left="720"/>
        <w:rPr>
          <w:rFonts w:ascii="Arial" w:hAnsi="Arial" w:cs="Arial"/>
          <w:color w:val="343541"/>
        </w:rPr>
      </w:pPr>
      <w:r w:rsidRPr="00085EDF">
        <w:rPr>
          <w:rFonts w:ascii="Arial" w:hAnsi="Arial" w:cs="Arial"/>
          <w:color w:val="343541"/>
        </w:rPr>
        <w:t>Effective communication is pivotal. Consultants must establish customi</w:t>
      </w:r>
      <w:r w:rsidR="00553B15" w:rsidRPr="00085EDF">
        <w:rPr>
          <w:rFonts w:ascii="Arial" w:hAnsi="Arial" w:cs="Arial"/>
          <w:color w:val="343541"/>
        </w:rPr>
        <w:t>s</w:t>
      </w:r>
      <w:r w:rsidRPr="00085EDF">
        <w:rPr>
          <w:rFonts w:ascii="Arial" w:hAnsi="Arial" w:cs="Arial"/>
          <w:color w:val="343541"/>
        </w:rPr>
        <w:t>ed communication channels that suit the preferences of each stakeholder group. External consultants might assist in developing tailored communication plans that cater to the specific needs of dominant and demanding stakeholders</w:t>
      </w:r>
      <w:r w:rsidR="006230F0" w:rsidRPr="00085EDF">
        <w:rPr>
          <w:rFonts w:ascii="Arial" w:hAnsi="Arial" w:cs="Arial"/>
          <w:color w:val="343541"/>
        </w:rPr>
        <w:t xml:space="preserve"> </w:t>
      </w:r>
      <w:r w:rsidR="006230F0" w:rsidRPr="00085EDF">
        <w:rPr>
          <w:rFonts w:ascii="Arial" w:hAnsi="Arial" w:cs="Arial"/>
          <w:color w:val="343541"/>
        </w:rPr>
        <w:t>(Butt, Naaranoja and Savolainen, 2016)</w:t>
      </w:r>
      <w:r w:rsidRPr="00085EDF">
        <w:rPr>
          <w:rFonts w:ascii="Arial" w:hAnsi="Arial" w:cs="Arial"/>
          <w:color w:val="343541"/>
        </w:rPr>
        <w:t>.</w:t>
      </w:r>
    </w:p>
    <w:p w14:paraId="09DD7345" w14:textId="2B5245B9" w:rsidR="00553B15" w:rsidRPr="00085EDF" w:rsidRDefault="00553B15" w:rsidP="00085EDF">
      <w:pPr>
        <w:pStyle w:val="Heading3"/>
        <w:spacing w:line="360" w:lineRule="auto"/>
        <w:ind w:left="720"/>
        <w:rPr>
          <w:rFonts w:ascii="Arial" w:hAnsi="Arial" w:cs="Arial"/>
          <w:sz w:val="22"/>
          <w:szCs w:val="22"/>
        </w:rPr>
      </w:pPr>
      <w:bookmarkStart w:id="10" w:name="_Toc142665981"/>
      <w:r w:rsidRPr="00085EDF">
        <w:rPr>
          <w:rFonts w:ascii="Arial" w:hAnsi="Arial" w:cs="Arial"/>
          <w:sz w:val="22"/>
          <w:szCs w:val="22"/>
        </w:rPr>
        <w:t>Customi</w:t>
      </w:r>
      <w:r w:rsidRPr="00085EDF">
        <w:rPr>
          <w:rFonts w:ascii="Arial" w:hAnsi="Arial" w:cs="Arial"/>
          <w:sz w:val="22"/>
          <w:szCs w:val="22"/>
        </w:rPr>
        <w:t>s</w:t>
      </w:r>
      <w:r w:rsidRPr="00085EDF">
        <w:rPr>
          <w:rFonts w:ascii="Arial" w:hAnsi="Arial" w:cs="Arial"/>
          <w:sz w:val="22"/>
          <w:szCs w:val="22"/>
        </w:rPr>
        <w:t>ed Engagement Approaches</w:t>
      </w:r>
      <w:bookmarkEnd w:id="10"/>
    </w:p>
    <w:p w14:paraId="7FF661E2" w14:textId="41A00D53" w:rsidR="0062662C" w:rsidRPr="00085EDF" w:rsidRDefault="0085330C" w:rsidP="00085EDF">
      <w:pPr>
        <w:spacing w:line="360" w:lineRule="auto"/>
        <w:ind w:left="720"/>
        <w:rPr>
          <w:rFonts w:ascii="Arial" w:hAnsi="Arial" w:cs="Arial"/>
          <w:color w:val="343541"/>
        </w:rPr>
      </w:pPr>
      <w:r w:rsidRPr="00085EDF">
        <w:rPr>
          <w:rFonts w:ascii="Arial" w:hAnsi="Arial" w:cs="Arial"/>
          <w:color w:val="343541"/>
        </w:rPr>
        <w:t>Tailoring engagement approaches based on stakeholder categorization ensures maximum impact. Consultants should design initiatives that resonate with each group's characteristics. For instance, community engagement strategies might involve collaborative projects with external consultants, while internal consultants could create training programs to address employee concerns</w:t>
      </w:r>
      <w:r w:rsidR="002D35CE" w:rsidRPr="00085EDF">
        <w:rPr>
          <w:rFonts w:ascii="Arial" w:hAnsi="Arial" w:cs="Arial"/>
          <w:color w:val="343541"/>
        </w:rPr>
        <w:t xml:space="preserve"> </w:t>
      </w:r>
      <w:r w:rsidR="002D35CE" w:rsidRPr="00085EDF">
        <w:rPr>
          <w:rFonts w:ascii="Arial" w:hAnsi="Arial" w:cs="Arial"/>
          <w:color w:val="343541"/>
        </w:rPr>
        <w:t>(Morgan et al., 2016)</w:t>
      </w:r>
      <w:r w:rsidR="002D35CE" w:rsidRPr="00085EDF">
        <w:rPr>
          <w:rFonts w:ascii="Arial" w:hAnsi="Arial" w:cs="Arial"/>
          <w:color w:val="343541"/>
        </w:rPr>
        <w:t>.</w:t>
      </w:r>
    </w:p>
    <w:p w14:paraId="43E69E63" w14:textId="3CC513C1" w:rsidR="002D35CE" w:rsidRPr="00085EDF" w:rsidRDefault="002D35CE" w:rsidP="00085EDF">
      <w:pPr>
        <w:pStyle w:val="Heading3"/>
        <w:spacing w:line="360" w:lineRule="auto"/>
        <w:ind w:left="720"/>
        <w:rPr>
          <w:rFonts w:ascii="Arial" w:hAnsi="Arial" w:cs="Arial"/>
          <w:sz w:val="22"/>
          <w:szCs w:val="22"/>
        </w:rPr>
      </w:pPr>
      <w:bookmarkStart w:id="11" w:name="_Toc142665982"/>
      <w:r w:rsidRPr="00085EDF">
        <w:rPr>
          <w:rFonts w:ascii="Arial" w:hAnsi="Arial" w:cs="Arial"/>
          <w:sz w:val="22"/>
          <w:szCs w:val="22"/>
        </w:rPr>
        <w:t>Conflict Resolution</w:t>
      </w:r>
      <w:bookmarkEnd w:id="11"/>
    </w:p>
    <w:p w14:paraId="0AA476A3" w14:textId="77777777" w:rsidR="00114FF7" w:rsidRPr="00085EDF" w:rsidRDefault="00BF3D6C" w:rsidP="00085EDF">
      <w:pPr>
        <w:spacing w:line="360" w:lineRule="auto"/>
        <w:ind w:left="720"/>
        <w:rPr>
          <w:rFonts w:ascii="Arial" w:hAnsi="Arial" w:cs="Arial"/>
          <w:color w:val="343541"/>
        </w:rPr>
      </w:pPr>
      <w:r w:rsidRPr="00085EDF">
        <w:rPr>
          <w:rFonts w:ascii="Arial" w:hAnsi="Arial" w:cs="Arial"/>
          <w:color w:val="343541"/>
        </w:rPr>
        <w:t>Conflict resolution is vital in stakeholder engagement. Consultants must mediate disputes, maintaining harmonious relationships. Internal consultants can equip key personnel with conflict resolution skills, enabling them to address conflicts among demanding stakeholders effectively</w:t>
      </w:r>
      <w:r w:rsidRPr="00085EDF">
        <w:rPr>
          <w:rFonts w:ascii="Arial" w:hAnsi="Arial" w:cs="Arial"/>
          <w:color w:val="343541"/>
        </w:rPr>
        <w:t xml:space="preserve"> </w:t>
      </w:r>
      <w:r w:rsidR="005E74BC" w:rsidRPr="00085EDF">
        <w:rPr>
          <w:rFonts w:ascii="Arial" w:hAnsi="Arial" w:cs="Arial"/>
          <w:color w:val="343541"/>
        </w:rPr>
        <w:t>(Bahadorestani, Naderpajouh and Sadiq, 2020)</w:t>
      </w:r>
      <w:r w:rsidRPr="00085EDF">
        <w:rPr>
          <w:rFonts w:ascii="Arial" w:hAnsi="Arial" w:cs="Arial"/>
          <w:color w:val="343541"/>
        </w:rPr>
        <w:t>.</w:t>
      </w:r>
    </w:p>
    <w:p w14:paraId="494F6D3C" w14:textId="65DA7AE0" w:rsidR="00114FF7" w:rsidRPr="00085EDF" w:rsidRDefault="00114FF7" w:rsidP="00085EDF">
      <w:pPr>
        <w:spacing w:line="360" w:lineRule="auto"/>
        <w:rPr>
          <w:rFonts w:ascii="Arial" w:hAnsi="Arial" w:cs="Arial"/>
        </w:rPr>
      </w:pPr>
      <w:r w:rsidRPr="00085EDF">
        <w:rPr>
          <w:rFonts w:ascii="Arial" w:hAnsi="Arial" w:cs="Arial"/>
        </w:rPr>
        <w:t xml:space="preserve">The Stakeholder Salience Model provides consultants with a strong foundation for navigating the intricate stakeholder landscape of Post Office operations. Consultants can efficiently customise engagement tactics by classifying stakeholders into inactive, demanding, and dominant groups, effectively allocate resources, contribute to organisational success, and </w:t>
      </w:r>
      <w:r w:rsidRPr="00085EDF">
        <w:rPr>
          <w:rFonts w:ascii="Arial" w:hAnsi="Arial" w:cs="Arial"/>
        </w:rPr>
        <w:lastRenderedPageBreak/>
        <w:t>forge long-lasting partnerships by comprehending the strength, legitimacy, and urgency of each group (Mitchell, Agle and Wood, 1997).</w:t>
      </w:r>
    </w:p>
    <w:p w14:paraId="19DCC628" w14:textId="728AFCF2" w:rsidR="00007A0C" w:rsidRPr="00085EDF" w:rsidRDefault="0036715E" w:rsidP="00085EDF">
      <w:pPr>
        <w:pStyle w:val="Heading1"/>
        <w:spacing w:line="360" w:lineRule="auto"/>
        <w:rPr>
          <w:rFonts w:ascii="Arial" w:hAnsi="Arial" w:cs="Arial"/>
          <w:sz w:val="22"/>
          <w:szCs w:val="22"/>
        </w:rPr>
      </w:pPr>
      <w:bookmarkStart w:id="12" w:name="_Toc142665983"/>
      <w:r w:rsidRPr="00085EDF">
        <w:rPr>
          <w:rFonts w:ascii="Arial" w:hAnsi="Arial" w:cs="Arial"/>
          <w:sz w:val="22"/>
          <w:szCs w:val="22"/>
        </w:rPr>
        <w:t>P</w:t>
      </w:r>
      <w:r w:rsidRPr="00085EDF">
        <w:rPr>
          <w:rFonts w:ascii="Arial" w:hAnsi="Arial" w:cs="Arial"/>
          <w:sz w:val="22"/>
          <w:szCs w:val="22"/>
        </w:rPr>
        <w:t xml:space="preserve">ower </w:t>
      </w:r>
      <w:r w:rsidRPr="00085EDF">
        <w:rPr>
          <w:rFonts w:ascii="Arial" w:hAnsi="Arial" w:cs="Arial"/>
          <w:sz w:val="22"/>
          <w:szCs w:val="22"/>
        </w:rPr>
        <w:t>and P</w:t>
      </w:r>
      <w:r w:rsidRPr="00085EDF">
        <w:rPr>
          <w:rFonts w:ascii="Arial" w:hAnsi="Arial" w:cs="Arial"/>
          <w:sz w:val="22"/>
          <w:szCs w:val="22"/>
        </w:rPr>
        <w:t>olitics</w:t>
      </w:r>
      <w:r w:rsidR="00007A0C" w:rsidRPr="00085EDF">
        <w:rPr>
          <w:rFonts w:ascii="Arial" w:hAnsi="Arial" w:cs="Arial"/>
          <w:sz w:val="22"/>
          <w:szCs w:val="22"/>
        </w:rPr>
        <w:t>:</w:t>
      </w:r>
      <w:r w:rsidRPr="00085EDF">
        <w:rPr>
          <w:rFonts w:ascii="Arial" w:hAnsi="Arial" w:cs="Arial"/>
          <w:sz w:val="22"/>
          <w:szCs w:val="22"/>
        </w:rPr>
        <w:t xml:space="preserve"> </w:t>
      </w:r>
      <w:r w:rsidRPr="00085EDF">
        <w:rPr>
          <w:rFonts w:ascii="Arial" w:hAnsi="Arial" w:cs="Arial"/>
          <w:sz w:val="22"/>
          <w:szCs w:val="22"/>
        </w:rPr>
        <w:t xml:space="preserve">Influence </w:t>
      </w:r>
      <w:r w:rsidR="00007A0C" w:rsidRPr="00085EDF">
        <w:rPr>
          <w:rFonts w:ascii="Arial" w:hAnsi="Arial" w:cs="Arial"/>
          <w:sz w:val="22"/>
          <w:szCs w:val="22"/>
        </w:rPr>
        <w:t xml:space="preserve">on </w:t>
      </w:r>
      <w:r w:rsidRPr="00085EDF">
        <w:rPr>
          <w:rFonts w:ascii="Arial" w:hAnsi="Arial" w:cs="Arial"/>
          <w:sz w:val="22"/>
          <w:szCs w:val="22"/>
        </w:rPr>
        <w:t xml:space="preserve">Internal </w:t>
      </w:r>
      <w:r w:rsidR="00007A0C" w:rsidRPr="00085EDF">
        <w:rPr>
          <w:rFonts w:ascii="Arial" w:hAnsi="Arial" w:cs="Arial"/>
          <w:sz w:val="22"/>
          <w:szCs w:val="22"/>
        </w:rPr>
        <w:t>a</w:t>
      </w:r>
      <w:r w:rsidRPr="00085EDF">
        <w:rPr>
          <w:rFonts w:ascii="Arial" w:hAnsi="Arial" w:cs="Arial"/>
          <w:sz w:val="22"/>
          <w:szCs w:val="22"/>
        </w:rPr>
        <w:t>nd External Change Consultants</w:t>
      </w:r>
      <w:bookmarkEnd w:id="12"/>
    </w:p>
    <w:p w14:paraId="61312051" w14:textId="77777777" w:rsidR="006C5CAE" w:rsidRPr="00085EDF" w:rsidRDefault="006C5CAE" w:rsidP="00085EDF">
      <w:pPr>
        <w:spacing w:line="360" w:lineRule="auto"/>
        <w:rPr>
          <w:rFonts w:ascii="Arial" w:hAnsi="Arial" w:cs="Arial"/>
        </w:rPr>
      </w:pPr>
      <w:r w:rsidRPr="00085EDF">
        <w:rPr>
          <w:rFonts w:ascii="Arial" w:hAnsi="Arial" w:cs="Arial"/>
        </w:rPr>
        <w:t>Within the dynamic environment of the UK Post Office, the complex interaction between power and politics plays a critical role in determining the effectiveness of both internal and external change agent consultants. How consultants navigate the intricate web of stakeholders, regulatory frameworks, and organisational structures is significantly influenced by the multidimensional dimensions of power relations and the strategic art of political manoeuvring (Jordan, 2011). This section explores in greater detail the complex ways that politics and power, in the unique setting of the UK Post Office, have a significant impact on the ability of change agents to succeed.</w:t>
      </w:r>
    </w:p>
    <w:p w14:paraId="1C0F8357" w14:textId="6EAE6CAA" w:rsidR="00CE6664" w:rsidRPr="00085EDF" w:rsidRDefault="00CE6664" w:rsidP="00085EDF">
      <w:pPr>
        <w:pStyle w:val="Heading2"/>
        <w:spacing w:line="360" w:lineRule="auto"/>
        <w:rPr>
          <w:rFonts w:ascii="Arial" w:hAnsi="Arial" w:cs="Arial"/>
          <w:sz w:val="22"/>
          <w:szCs w:val="22"/>
        </w:rPr>
      </w:pPr>
      <w:bookmarkStart w:id="13" w:name="_Toc142665984"/>
      <w:r w:rsidRPr="00085EDF">
        <w:rPr>
          <w:rFonts w:ascii="Arial" w:hAnsi="Arial" w:cs="Arial"/>
          <w:sz w:val="22"/>
          <w:szCs w:val="22"/>
        </w:rPr>
        <w:t>Power Dynamics</w:t>
      </w:r>
      <w:bookmarkEnd w:id="13"/>
    </w:p>
    <w:p w14:paraId="5A543337" w14:textId="5DC3FF0F" w:rsidR="000C5B48" w:rsidRPr="00085EDF" w:rsidRDefault="000C5B48" w:rsidP="00085EDF">
      <w:pPr>
        <w:spacing w:line="360" w:lineRule="auto"/>
        <w:rPr>
          <w:rFonts w:ascii="Arial" w:hAnsi="Arial" w:cs="Arial"/>
        </w:rPr>
      </w:pPr>
      <w:r w:rsidRPr="00085EDF">
        <w:rPr>
          <w:rFonts w:ascii="Arial" w:hAnsi="Arial" w:cs="Arial"/>
        </w:rPr>
        <w:t xml:space="preserve">Power operates through both formal and informal methods, impacting decisions and actions. Internal consultants are able to influence change through recognised authority in the UK Post Office because they are able to formalise their organisational positions' formal power (Sturdy and Wright, 2011; Hodges, 2017). Internal consultants who possess organisational knowledge implement change through directives from higher up (Wambach, 2013). On the other hand, external consultants use their expertise and appearance of objectivity to gain influence and use their power to effectively push and support change initiatives thus allowing them to use their influence </w:t>
      </w:r>
      <w:r w:rsidR="00283878" w:rsidRPr="00085EDF">
        <w:rPr>
          <w:rFonts w:ascii="Arial" w:hAnsi="Arial" w:cs="Arial"/>
        </w:rPr>
        <w:t>on</w:t>
      </w:r>
      <w:r w:rsidRPr="00085EDF">
        <w:rPr>
          <w:rFonts w:ascii="Arial" w:hAnsi="Arial" w:cs="Arial"/>
        </w:rPr>
        <w:t xml:space="preserve"> overcome opposition to change, manage difficulties, and suggest plans for the future (Lunenburg, 2010).  By using their outside perspective, external consultants enable transformation by making solid recommendations (Cha, </w:t>
      </w:r>
      <w:r w:rsidR="00283878" w:rsidRPr="00085EDF">
        <w:rPr>
          <w:rFonts w:ascii="Arial" w:hAnsi="Arial" w:cs="Arial"/>
        </w:rPr>
        <w:t>Hwang,</w:t>
      </w:r>
      <w:r w:rsidRPr="00085EDF">
        <w:rPr>
          <w:rFonts w:ascii="Arial" w:hAnsi="Arial" w:cs="Arial"/>
        </w:rPr>
        <w:t xml:space="preserve"> and Gregor, 2015). This variety of yet complimentary uses of power highlights the crucial part it plays in enabling effective changes inside the UK Post Office.</w:t>
      </w:r>
    </w:p>
    <w:p w14:paraId="07A732EE" w14:textId="3F0C5428" w:rsidR="00CE6664" w:rsidRPr="00085EDF" w:rsidRDefault="00CE6664" w:rsidP="00085EDF">
      <w:pPr>
        <w:pStyle w:val="Heading3"/>
        <w:spacing w:line="360" w:lineRule="auto"/>
        <w:ind w:firstLine="720"/>
        <w:rPr>
          <w:rFonts w:ascii="Arial" w:hAnsi="Arial" w:cs="Arial"/>
          <w:sz w:val="22"/>
          <w:szCs w:val="22"/>
        </w:rPr>
      </w:pPr>
      <w:bookmarkStart w:id="14" w:name="_Toc142665985"/>
      <w:r w:rsidRPr="00085EDF">
        <w:rPr>
          <w:rFonts w:ascii="Arial" w:hAnsi="Arial" w:cs="Arial"/>
          <w:sz w:val="22"/>
          <w:szCs w:val="22"/>
        </w:rPr>
        <w:t>Internal Change Agents</w:t>
      </w:r>
      <w:bookmarkEnd w:id="14"/>
    </w:p>
    <w:p w14:paraId="374B4BD7" w14:textId="66CC3583" w:rsidR="00A618D6" w:rsidRPr="00085EDF" w:rsidRDefault="00A618D6" w:rsidP="00085EDF">
      <w:pPr>
        <w:spacing w:line="360" w:lineRule="auto"/>
        <w:ind w:left="720"/>
        <w:rPr>
          <w:rFonts w:ascii="Arial" w:hAnsi="Arial" w:cs="Arial"/>
        </w:rPr>
      </w:pPr>
      <w:r w:rsidRPr="00085EDF">
        <w:rPr>
          <w:rFonts w:ascii="Arial" w:hAnsi="Arial" w:cs="Arial"/>
        </w:rPr>
        <w:t xml:space="preserve">Internal consultants, deeply ingrained in the Post Office's culture, possess an unmatched advantage due to their profound understanding of the subtle nuances between organizational components. This understanding extends beyond the visible aspects, delving into the intricacies that influence power structures and complex political undercurrents (International Institute for Science, Technology and Education, 2018). This knowledge empowers them to craft change strategies with surgical precision, seamlessly aligning them with broader goals (Gerwing, 2016). However, the effectiveness of internal </w:t>
      </w:r>
      <w:r w:rsidR="00283878" w:rsidRPr="00085EDF">
        <w:rPr>
          <w:rFonts w:ascii="Arial" w:hAnsi="Arial" w:cs="Arial"/>
        </w:rPr>
        <w:t>consultants’</w:t>
      </w:r>
      <w:r w:rsidRPr="00085EDF">
        <w:rPr>
          <w:rFonts w:ascii="Arial" w:hAnsi="Arial" w:cs="Arial"/>
        </w:rPr>
        <w:t xml:space="preserve"> hinges on their ability to forge coalitions and adeptly manage strategic partnerships, crucially securing the support of key decision-makers amidst the intricate landscape of organizational politics (Simmons and </w:t>
      </w:r>
      <w:r w:rsidRPr="00085EDF">
        <w:rPr>
          <w:rFonts w:ascii="Arial" w:hAnsi="Arial" w:cs="Arial"/>
        </w:rPr>
        <w:lastRenderedPageBreak/>
        <w:t xml:space="preserve">Yawson, 2022). Their expertise goes beyond recognizing internal power dynamics; they excel in orchestrating these dynamics harmoniously to ensure the acceptance of proposed changes by crucial stakeholders. The UK Post Office's adeptness in harnessing internal dynamics creates opportunities for the successful execution of transformative </w:t>
      </w:r>
      <w:r w:rsidR="00D454E9" w:rsidRPr="00085EDF">
        <w:rPr>
          <w:rFonts w:ascii="Arial" w:hAnsi="Arial" w:cs="Arial"/>
        </w:rPr>
        <w:t>endeavours</w:t>
      </w:r>
      <w:r w:rsidRPr="00085EDF">
        <w:rPr>
          <w:rFonts w:ascii="Arial" w:hAnsi="Arial" w:cs="Arial"/>
        </w:rPr>
        <w:t xml:space="preserve"> in its multifaceted environment.</w:t>
      </w:r>
    </w:p>
    <w:p w14:paraId="217150D8" w14:textId="1B9702B1" w:rsidR="00931C1C" w:rsidRPr="00085EDF" w:rsidRDefault="00A618D6" w:rsidP="00085EDF">
      <w:pPr>
        <w:spacing w:line="360" w:lineRule="auto"/>
        <w:ind w:left="720"/>
        <w:rPr>
          <w:rFonts w:ascii="Arial" w:hAnsi="Arial" w:cs="Arial"/>
        </w:rPr>
      </w:pPr>
      <w:r w:rsidRPr="00085EDF">
        <w:rPr>
          <w:rFonts w:ascii="Arial" w:hAnsi="Arial" w:cs="Arial"/>
        </w:rPr>
        <w:t xml:space="preserve">In the specific setting of the UK Post Office, internal consultants wield a unique advantage by strategically utilizing institutional authority structures to spearhead change. Their prowess lies in seamlessly aligning change </w:t>
      </w:r>
      <w:r w:rsidR="00D454E9" w:rsidRPr="00085EDF">
        <w:rPr>
          <w:rFonts w:ascii="Arial" w:hAnsi="Arial" w:cs="Arial"/>
        </w:rPr>
        <w:t>endeavours</w:t>
      </w:r>
      <w:r w:rsidRPr="00085EDF">
        <w:rPr>
          <w:rFonts w:ascii="Arial" w:hAnsi="Arial" w:cs="Arial"/>
        </w:rPr>
        <w:t xml:space="preserve"> with overarching organizational objectives and directions, achieved through a symbiotic collaboration with managers and department heads. By capitalizing on their influential positions, these adept consultants proficiently garner steadfast support from employees for novel concepts. This strategic alignment ensures not only the seamless execution of proposed changes but also the preservation of coherence with the ever-evolving organizational objectives (Proctor and Doukakis, 2003). This amalgamation of organizational authority, strategic alignment, and collaborative effort underscores the pivotal role that internal consultants play in propelling change within the dynamic and evolving landscape of the UK Post Office.</w:t>
      </w:r>
    </w:p>
    <w:p w14:paraId="70AFA02A" w14:textId="77777777" w:rsidR="00EB16B9" w:rsidRPr="00085EDF" w:rsidRDefault="00CE6664" w:rsidP="00085EDF">
      <w:pPr>
        <w:pStyle w:val="Heading3"/>
        <w:spacing w:line="360" w:lineRule="auto"/>
        <w:ind w:left="720"/>
        <w:rPr>
          <w:rFonts w:ascii="Arial" w:hAnsi="Arial" w:cs="Arial"/>
          <w:sz w:val="22"/>
          <w:szCs w:val="22"/>
        </w:rPr>
      </w:pPr>
      <w:bookmarkStart w:id="15" w:name="_Toc142665986"/>
      <w:r w:rsidRPr="00085EDF">
        <w:rPr>
          <w:rFonts w:ascii="Arial" w:hAnsi="Arial" w:cs="Arial"/>
          <w:sz w:val="22"/>
          <w:szCs w:val="22"/>
        </w:rPr>
        <w:t>External Change Agents</w:t>
      </w:r>
      <w:bookmarkEnd w:id="15"/>
    </w:p>
    <w:p w14:paraId="6D3BF007" w14:textId="62910668" w:rsidR="00EB16B9" w:rsidRPr="00085EDF" w:rsidRDefault="00EB16B9" w:rsidP="00085EDF">
      <w:pPr>
        <w:spacing w:line="360" w:lineRule="auto"/>
        <w:ind w:left="720"/>
        <w:rPr>
          <w:rFonts w:ascii="Arial" w:hAnsi="Arial" w:cs="Arial"/>
        </w:rPr>
      </w:pPr>
      <w:r w:rsidRPr="00085EDF">
        <w:rPr>
          <w:rFonts w:ascii="Arial" w:hAnsi="Arial" w:cs="Arial"/>
        </w:rPr>
        <w:t>External consultants bring a welcome sense of objectivity to the decision-making process as their distinctive impact mostly stems from their in-depth knowledge (Koppenjan, Erik-Hans Klijn and Taylor, 2010), unobstructed by the complexity of internal power dynamics. As a result, they are free to bring about radical changes without being constrained by established priorities, creating an environment at the UK Post Office that is conducive to innovation.</w:t>
      </w:r>
    </w:p>
    <w:p w14:paraId="5A49365E" w14:textId="7C912561" w:rsidR="00E814D0" w:rsidRPr="00085EDF" w:rsidRDefault="00DB3117" w:rsidP="00085EDF">
      <w:pPr>
        <w:spacing w:line="360" w:lineRule="auto"/>
        <w:ind w:left="720"/>
        <w:rPr>
          <w:rFonts w:ascii="Arial" w:hAnsi="Arial" w:cs="Arial"/>
        </w:rPr>
      </w:pPr>
      <w:r w:rsidRPr="00085EDF">
        <w:rPr>
          <w:rFonts w:ascii="Arial" w:hAnsi="Arial" w:cs="Arial"/>
        </w:rPr>
        <w:t>The success, however, is dependent on their ability to create unwavering credibility and foster confidence among internal stakeholders (Consulting Quest, 2023). Their experience in the subject topic and practical application of their knowledge attest to their credibility. These consultants must also effectively demonstrate their knowledge, portraying themselves as trustworthy partners capable of navigating the numerous complexities of change. </w:t>
      </w:r>
      <w:r w:rsidR="00E814D0" w:rsidRPr="00085EDF">
        <w:rPr>
          <w:rFonts w:ascii="Arial" w:hAnsi="Arial" w:cs="Arial"/>
        </w:rPr>
        <w:t xml:space="preserve">These consultants execute the position of impartial and unbiased auditors and advisors within the complex framework of the UK Post Office, free from the constraints of the past or workplace cultural conventions. They disrupt preexisting assumptions by providing an unfiltered, independent perspective, possibly incurring resistance among internal stakeholders with the introduction of novel concepts and inventive solutions that could have gone unnoticed in its closed </w:t>
      </w:r>
      <w:r w:rsidR="00E814D0" w:rsidRPr="00085EDF">
        <w:rPr>
          <w:rFonts w:ascii="Arial" w:hAnsi="Arial" w:cs="Arial"/>
        </w:rPr>
        <w:lastRenderedPageBreak/>
        <w:t>environment is encouraged by this objective perspective bring around by disruptive innovation (Christensen, Raynor and McDonald, 2015). External consultants essentially act as change agents, offering ideas that could otherwise encounter opposition or scepticism (Malik, 2021).</w:t>
      </w:r>
      <w:r w:rsidR="00FE20E4" w:rsidRPr="00085EDF">
        <w:rPr>
          <w:rFonts w:ascii="Arial" w:hAnsi="Arial" w:cs="Arial"/>
        </w:rPr>
        <w:t xml:space="preserve"> </w:t>
      </w:r>
    </w:p>
    <w:p w14:paraId="548A4EC5" w14:textId="77777777" w:rsidR="00FE20E4" w:rsidRPr="00085EDF" w:rsidRDefault="00FE20E4" w:rsidP="00085EDF">
      <w:pPr>
        <w:spacing w:line="360" w:lineRule="auto"/>
        <w:ind w:left="720"/>
        <w:rPr>
          <w:rFonts w:ascii="Arial" w:hAnsi="Arial" w:cs="Arial"/>
        </w:rPr>
      </w:pPr>
      <w:r w:rsidRPr="00085EDF">
        <w:rPr>
          <w:rFonts w:ascii="Arial" w:hAnsi="Arial" w:cs="Arial"/>
        </w:rPr>
        <w:t>In the UK Post Office, the usefulness of outside consultants essentially resides in their capacity to transcend internal power dynamics and conventional wisdom. They can drive change projects in novel ways thanks to their unbiased perspective and proven experience. External consultants assist the organisation in adapting to the changing environment by making changes that are in line with best practices and market trends, ensuring that the Post Office stays competitive with the capability of responding to new challenges (Sartori et al., 2018).</w:t>
      </w:r>
    </w:p>
    <w:p w14:paraId="147207F7" w14:textId="696FB936" w:rsidR="00CE6664" w:rsidRPr="00085EDF" w:rsidRDefault="00CE6664" w:rsidP="00085EDF">
      <w:pPr>
        <w:pStyle w:val="Heading2"/>
        <w:spacing w:line="360" w:lineRule="auto"/>
        <w:rPr>
          <w:rFonts w:ascii="Arial" w:hAnsi="Arial" w:cs="Arial"/>
          <w:sz w:val="22"/>
          <w:szCs w:val="22"/>
        </w:rPr>
      </w:pPr>
      <w:bookmarkStart w:id="16" w:name="_Toc142665987"/>
      <w:r w:rsidRPr="00085EDF">
        <w:rPr>
          <w:rFonts w:ascii="Arial" w:hAnsi="Arial" w:cs="Arial"/>
          <w:sz w:val="22"/>
          <w:szCs w:val="22"/>
        </w:rPr>
        <w:t>Political Dynamics</w:t>
      </w:r>
      <w:bookmarkEnd w:id="16"/>
    </w:p>
    <w:p w14:paraId="7FC1EB11" w14:textId="71748DBC" w:rsidR="00D461DC" w:rsidRPr="00085EDF" w:rsidRDefault="00D461DC" w:rsidP="00085EDF">
      <w:pPr>
        <w:spacing w:line="360" w:lineRule="auto"/>
        <w:rPr>
          <w:rFonts w:ascii="Arial" w:hAnsi="Arial" w:cs="Arial"/>
        </w:rPr>
      </w:pPr>
      <w:r w:rsidRPr="00085EDF">
        <w:rPr>
          <w:rFonts w:ascii="Arial" w:hAnsi="Arial" w:cs="Arial"/>
        </w:rPr>
        <w:t xml:space="preserve">Organisational politics, which are a crucial component of the complex web of organisational dynamics, play a vital role in determining how decisions are made. It comprises an intricate mix of informal power relationships, strategic partnerships, and negotiation skills that has a significant impact on the organisational landscape (Mintzberg, 2009; CIPD, 2017). This impact also extends to the UK Post Office, a complex organisation with intricate currents of organisational politics. The ability of consultants—internal or external—to navigate and </w:t>
      </w:r>
      <w:r w:rsidR="00D454E9" w:rsidRPr="00085EDF">
        <w:rPr>
          <w:rFonts w:ascii="Arial" w:hAnsi="Arial" w:cs="Arial"/>
        </w:rPr>
        <w:t>skilfully</w:t>
      </w:r>
      <w:r w:rsidRPr="00085EDF">
        <w:rPr>
          <w:rFonts w:ascii="Arial" w:hAnsi="Arial" w:cs="Arial"/>
        </w:rPr>
        <w:t xml:space="preserve"> capitalise on these delicate political currents is inextricably linked to their effectiveness. Their ultimate path to success is significantly influenced by their capacity to understand the unspoken power dynamics, form strategic alliances, and manoeuvre the delicate matrix of influence. </w:t>
      </w:r>
    </w:p>
    <w:p w14:paraId="525FF5D3" w14:textId="678F4463" w:rsidR="00793443" w:rsidRPr="00085EDF" w:rsidRDefault="00793443" w:rsidP="00085EDF">
      <w:pPr>
        <w:spacing w:line="360" w:lineRule="auto"/>
        <w:rPr>
          <w:rFonts w:ascii="Arial" w:hAnsi="Arial" w:cs="Arial"/>
        </w:rPr>
      </w:pPr>
      <w:r w:rsidRPr="00085EDF">
        <w:rPr>
          <w:rFonts w:ascii="Arial" w:hAnsi="Arial" w:cs="Arial"/>
        </w:rPr>
        <w:t xml:space="preserve">The effectiveness of consultants in </w:t>
      </w:r>
      <w:r w:rsidR="00D454E9" w:rsidRPr="00085EDF">
        <w:rPr>
          <w:rFonts w:ascii="Arial" w:hAnsi="Arial" w:cs="Arial"/>
        </w:rPr>
        <w:t>skilfully</w:t>
      </w:r>
      <w:r w:rsidRPr="00085EDF">
        <w:rPr>
          <w:rFonts w:ascii="Arial" w:hAnsi="Arial" w:cs="Arial"/>
        </w:rPr>
        <w:t xml:space="preserve"> negotiating the complexities of organisational politics becomes an essential component of their capability to initiate and steer transformative change as the UK Post Office struggles with the myriad challenges and opportunities presented by its operational environment and as highlighted in the interview (Currie, 2023)</w:t>
      </w:r>
    </w:p>
    <w:p w14:paraId="3CE56CDE" w14:textId="5A94183B" w:rsidR="00CE6664" w:rsidRPr="00085EDF" w:rsidRDefault="00CE6664" w:rsidP="00085EDF">
      <w:pPr>
        <w:pStyle w:val="Heading3"/>
        <w:spacing w:line="360" w:lineRule="auto"/>
        <w:ind w:left="720"/>
        <w:rPr>
          <w:rFonts w:ascii="Arial" w:eastAsiaTheme="minorHAnsi" w:hAnsi="Arial" w:cs="Arial"/>
          <w:color w:val="auto"/>
          <w:sz w:val="22"/>
          <w:szCs w:val="22"/>
        </w:rPr>
      </w:pPr>
      <w:bookmarkStart w:id="17" w:name="_Toc142665988"/>
      <w:r w:rsidRPr="00085EDF">
        <w:rPr>
          <w:rFonts w:ascii="Arial" w:hAnsi="Arial" w:cs="Arial"/>
          <w:sz w:val="22"/>
          <w:szCs w:val="22"/>
        </w:rPr>
        <w:t>Internal Change Agents</w:t>
      </w:r>
      <w:bookmarkEnd w:id="17"/>
    </w:p>
    <w:p w14:paraId="12B0ED42" w14:textId="77777777" w:rsidR="00A8383A" w:rsidRPr="00085EDF" w:rsidRDefault="00A8383A" w:rsidP="00085EDF">
      <w:pPr>
        <w:spacing w:line="360" w:lineRule="auto"/>
        <w:ind w:left="720"/>
        <w:rPr>
          <w:rFonts w:ascii="Arial" w:hAnsi="Arial" w:cs="Arial"/>
        </w:rPr>
      </w:pPr>
      <w:r w:rsidRPr="00085EDF">
        <w:rPr>
          <w:rFonts w:ascii="Arial" w:hAnsi="Arial" w:cs="Arial"/>
        </w:rPr>
        <w:t>Internal consultants become deeply entangled in the exercise of organisational politics as they become entangled in the intricate web of the organisational framework. They have a unique perspective thanks to this immersing position, which provides insights into the complexities that power and politics play (Chalutz Ben</w:t>
      </w:r>
      <w:r w:rsidRPr="00085EDF">
        <w:rPr>
          <w:rFonts w:ascii="Cambria Math" w:hAnsi="Cambria Math" w:cs="Cambria Math"/>
        </w:rPr>
        <w:t>‐</w:t>
      </w:r>
      <w:r w:rsidRPr="00085EDF">
        <w:rPr>
          <w:rFonts w:ascii="Arial" w:hAnsi="Arial" w:cs="Arial"/>
        </w:rPr>
        <w:t xml:space="preserve">Gal and Tzafrir, 2011) so they can strategically position themselves with key allies since they have a conceptual guide of powerful stakeholders and an unwritten manual on organisational norms. Another consideration is their ability to spark dramatic change </w:t>
      </w:r>
      <w:r w:rsidRPr="00085EDF">
        <w:rPr>
          <w:rFonts w:ascii="Arial" w:hAnsi="Arial" w:cs="Arial"/>
        </w:rPr>
        <w:lastRenderedPageBreak/>
        <w:t>by mastering the complicated process of building relationships with those who have powerful connections or the ability to make important decisions (Sturdy, 2011). To avoid the idea that they are pursuing their own personal agendas, which could potentially cast doubt on the change process they are trying to advocate, it is important to preserve balance (Lewis and Swerdzewski, 2009; Rozdolskaya and Ledovskaya, 2015).</w:t>
      </w:r>
    </w:p>
    <w:p w14:paraId="1E151660" w14:textId="77777777" w:rsidR="00AC746E" w:rsidRPr="00085EDF" w:rsidRDefault="00AC746E" w:rsidP="00085EDF">
      <w:pPr>
        <w:tabs>
          <w:tab w:val="left" w:pos="6379"/>
        </w:tabs>
        <w:spacing w:line="360" w:lineRule="auto"/>
        <w:ind w:left="720"/>
        <w:rPr>
          <w:rFonts w:ascii="Arial" w:hAnsi="Arial" w:cs="Arial"/>
        </w:rPr>
      </w:pPr>
      <w:r w:rsidRPr="00085EDF">
        <w:rPr>
          <w:rFonts w:ascii="Arial" w:hAnsi="Arial" w:cs="Arial"/>
        </w:rPr>
        <w:t>Internal change agents have the opportunity to use their carefully cultivated relationships within the overall structure of the UK Post Office. possessing the rare ability to align change initiatives with the complex interests of several stakeholder groups by forming strategic partnerships with department heads or union leaders. This strategic alignment not only increases the likelihood of successful implementation but also strengthens the relationships between internal consultants and those who are crucial in piloting change for the Post Office.</w:t>
      </w:r>
    </w:p>
    <w:p w14:paraId="17F8C1AC" w14:textId="648775F3" w:rsidR="00CE6664" w:rsidRPr="00085EDF" w:rsidRDefault="00CE6664" w:rsidP="00085EDF">
      <w:pPr>
        <w:pStyle w:val="Heading3"/>
        <w:spacing w:line="360" w:lineRule="auto"/>
        <w:ind w:left="720"/>
        <w:rPr>
          <w:rFonts w:ascii="Arial" w:hAnsi="Arial" w:cs="Arial"/>
          <w:sz w:val="22"/>
          <w:szCs w:val="22"/>
        </w:rPr>
      </w:pPr>
      <w:bookmarkStart w:id="18" w:name="_Toc142665989"/>
      <w:r w:rsidRPr="00085EDF">
        <w:rPr>
          <w:rFonts w:ascii="Arial" w:hAnsi="Arial" w:cs="Arial"/>
          <w:sz w:val="22"/>
          <w:szCs w:val="22"/>
        </w:rPr>
        <w:t>External Change Agents</w:t>
      </w:r>
      <w:bookmarkEnd w:id="18"/>
    </w:p>
    <w:p w14:paraId="2DEABAC6" w14:textId="4F690AC8" w:rsidR="002F2520" w:rsidRPr="00085EDF" w:rsidRDefault="002F2520" w:rsidP="00085EDF">
      <w:pPr>
        <w:spacing w:line="360" w:lineRule="auto"/>
        <w:ind w:left="720"/>
        <w:rPr>
          <w:rFonts w:ascii="Arial" w:hAnsi="Arial" w:cs="Arial"/>
        </w:rPr>
      </w:pPr>
      <w:r w:rsidRPr="00085EDF">
        <w:rPr>
          <w:rFonts w:ascii="Arial" w:hAnsi="Arial" w:cs="Arial"/>
        </w:rPr>
        <w:t>External consultants must be cautious while navigating the intricate landscape of organisational politics due to their position from outside of the organisation; despite the fact that their impartiality is an invaluable resource it is difficult to fully understand the subtle underlying forces of internal dynamics (Davison, 2009). A systematic approach to organisational politics is required because external consultants are unfamiliar with the intricate details that frequently impact both power and decision-making relations for the Post Office. Recognising this, external consultants must develop strategic alliances with inside advocates who have a thorough understanding of complex organisational politics. These relationships not only provide an insider's perspective on important power dynamics but also ensure that proposed changes are in sync with the organization's cultural nuances, making them both innovative and realistic.</w:t>
      </w:r>
    </w:p>
    <w:p w14:paraId="0528B100" w14:textId="77777777" w:rsidR="002A03E6" w:rsidRPr="00085EDF" w:rsidRDefault="002A03E6" w:rsidP="00085EDF">
      <w:pPr>
        <w:spacing w:line="360" w:lineRule="auto"/>
        <w:ind w:left="720"/>
        <w:rPr>
          <w:rFonts w:ascii="Arial" w:hAnsi="Arial" w:cs="Arial"/>
        </w:rPr>
      </w:pPr>
      <w:r w:rsidRPr="00085EDF">
        <w:rPr>
          <w:rFonts w:ascii="Arial" w:hAnsi="Arial" w:cs="Arial"/>
        </w:rPr>
        <w:t>External consultants strategically work with key government stakeholders and senior management. Through this partnership, political issues are navigated, a relationship is built with decision-makers, and the implementation of change is reinforced. This partnership gives consultants the ability to overcome opposition by utilising the backing of influential people. The UK Post Office's fundamental transformations are expertly coordinated by this precise performance of power and influence, which is accelerated by strategic alliances, a cautious approach. </w:t>
      </w:r>
    </w:p>
    <w:p w14:paraId="336E901E" w14:textId="78E5061E" w:rsidR="004670AE" w:rsidRPr="00085EDF" w:rsidRDefault="004670AE" w:rsidP="00085EDF">
      <w:pPr>
        <w:spacing w:line="360" w:lineRule="auto"/>
        <w:rPr>
          <w:rFonts w:ascii="Arial" w:hAnsi="Arial" w:cs="Arial"/>
        </w:rPr>
      </w:pPr>
      <w:r w:rsidRPr="00085EDF">
        <w:rPr>
          <w:rFonts w:ascii="Arial" w:hAnsi="Arial" w:cs="Arial"/>
        </w:rPr>
        <w:t xml:space="preserve">The success of both internal and external change agent consultants within the UK Post Office hinges on their dexterity in effectively wielding power and adroitly navigating the </w:t>
      </w:r>
      <w:r w:rsidRPr="00085EDF">
        <w:rPr>
          <w:rFonts w:ascii="Arial" w:hAnsi="Arial" w:cs="Arial"/>
        </w:rPr>
        <w:lastRenderedPageBreak/>
        <w:t>intricate terrain of organizational politics. Internal consultants can harness formal power structures and established relationships to champion change from within, while external consultants can leverage their objective insights and specialized expertise to propose transformative solutions. A nuanced understanding of power dynamics and organizational politics equips consultants with the acumen to navigate resistance, forge strategic alliances, and orchestrate successful change within the unique contours of the UK Post Office's operational landscape.</w:t>
      </w:r>
    </w:p>
    <w:p w14:paraId="47B20B91" w14:textId="0C27156C" w:rsidR="00C4079D" w:rsidRPr="00085EDF" w:rsidRDefault="004D19F6" w:rsidP="00085EDF">
      <w:pPr>
        <w:pStyle w:val="Heading1"/>
        <w:spacing w:line="360" w:lineRule="auto"/>
        <w:rPr>
          <w:rFonts w:ascii="Arial" w:hAnsi="Arial" w:cs="Arial"/>
          <w:sz w:val="22"/>
          <w:szCs w:val="22"/>
        </w:rPr>
      </w:pPr>
      <w:bookmarkStart w:id="19" w:name="_Toc142665990"/>
      <w:r w:rsidRPr="00085EDF">
        <w:rPr>
          <w:rFonts w:ascii="Arial" w:hAnsi="Arial" w:cs="Arial"/>
          <w:sz w:val="22"/>
          <w:szCs w:val="22"/>
        </w:rPr>
        <w:t>Conclusion</w:t>
      </w:r>
      <w:r w:rsidR="00DF70E9" w:rsidRPr="00085EDF">
        <w:rPr>
          <w:rFonts w:ascii="Arial" w:hAnsi="Arial" w:cs="Arial"/>
          <w:sz w:val="22"/>
          <w:szCs w:val="22"/>
        </w:rPr>
        <w:t xml:space="preserve"> &amp; Recommendations</w:t>
      </w:r>
      <w:bookmarkEnd w:id="19"/>
    </w:p>
    <w:p w14:paraId="4D9B3B04" w14:textId="77777777" w:rsidR="00500D95" w:rsidRPr="00085EDF" w:rsidRDefault="00500D95" w:rsidP="00085EDF">
      <w:pPr>
        <w:spacing w:line="360" w:lineRule="auto"/>
        <w:rPr>
          <w:rFonts w:ascii="Arial" w:hAnsi="Arial" w:cs="Arial"/>
        </w:rPr>
      </w:pPr>
      <w:r w:rsidRPr="00085EDF">
        <w:rPr>
          <w:rFonts w:ascii="Arial" w:hAnsi="Arial" w:cs="Arial"/>
        </w:rPr>
        <w:t>In conclusion, Michael's observations and the analysis of power, politics, and stakeholder engagement highlight the critical role that internal and external consultants play in bringing about transformational change for the Post Office. A solid foundation to evaluate the urgent need for transformation and the role that consultants can play in promoting this change is provided by Michael's practical understanding of the organisation's difficulties and his connection with recognised theories and models.</w:t>
      </w:r>
    </w:p>
    <w:p w14:paraId="66536D83" w14:textId="77777777" w:rsidR="00292D3E" w:rsidRPr="00085EDF" w:rsidRDefault="00292D3E" w:rsidP="00085EDF">
      <w:pPr>
        <w:spacing w:line="360" w:lineRule="auto"/>
        <w:rPr>
          <w:rFonts w:ascii="Arial" w:hAnsi="Arial" w:cs="Arial"/>
        </w:rPr>
      </w:pPr>
      <w:r w:rsidRPr="00085EDF">
        <w:rPr>
          <w:rFonts w:ascii="Arial" w:hAnsi="Arial" w:cs="Arial"/>
        </w:rPr>
        <w:t>The interaction of organisational politics and power dynamics further emphasises the importance of consultants in negotiating complicated stakeholder interactions and enacting change. While external consultants bring an objective viewpoint and specialised experience to propose creative solutions, internal consultants strategically align change activities with organisational objectives by drawing on their organisational knowledge and relationships.</w:t>
      </w:r>
    </w:p>
    <w:p w14:paraId="36EA1498" w14:textId="77777777" w:rsidR="009B65F0" w:rsidRPr="00085EDF" w:rsidRDefault="009B65F0" w:rsidP="00085EDF">
      <w:pPr>
        <w:spacing w:line="360" w:lineRule="auto"/>
        <w:rPr>
          <w:rFonts w:ascii="Arial" w:hAnsi="Arial" w:cs="Arial"/>
        </w:rPr>
      </w:pPr>
      <w:r w:rsidRPr="00085EDF">
        <w:rPr>
          <w:rFonts w:ascii="Arial" w:hAnsi="Arial" w:cs="Arial"/>
        </w:rPr>
        <w:t>Recommendations for the UK Post Office include, if possible, utilising a hybrid approach to consulting. With a hybrid strategy, the Post Office could benefit from the institutional expertise of internal consultants as well as the new perspectives and creative ideas provided by external consultants, utilising the capabilities of both consultants. This technique would also enable the fusion of internal relationships and outside expertise, resulting in a comprehensive and successful transformation.</w:t>
      </w:r>
    </w:p>
    <w:p w14:paraId="7BA1A4DE" w14:textId="77777777" w:rsidR="0014283E" w:rsidRPr="00085EDF" w:rsidRDefault="0014283E" w:rsidP="00085EDF">
      <w:pPr>
        <w:spacing w:line="360" w:lineRule="auto"/>
        <w:rPr>
          <w:rFonts w:ascii="Arial" w:hAnsi="Arial" w:cs="Arial"/>
        </w:rPr>
      </w:pPr>
      <w:r w:rsidRPr="00085EDF">
        <w:rPr>
          <w:rFonts w:ascii="Arial" w:hAnsi="Arial" w:cs="Arial"/>
        </w:rPr>
        <w:t>If a hybrid approach cannot be implemented, the Post Office should prioritise external consultants, as they bring an impartial viewpoint and specialised knowledge that can foster transformative change without being constrained by internal power dynamics. They may successfully implement initiatives to change and put the organisation in a position for long-term success by disrupting old norms and proposing creative ideas while capitalising on existing internal relationships.</w:t>
      </w:r>
    </w:p>
    <w:p w14:paraId="1595AADF" w14:textId="59ACF24E" w:rsidR="009B65F0" w:rsidRPr="00085EDF" w:rsidRDefault="00120B5C" w:rsidP="00085EDF">
      <w:pPr>
        <w:spacing w:line="360" w:lineRule="auto"/>
        <w:rPr>
          <w:rFonts w:ascii="Arial" w:hAnsi="Arial" w:cs="Arial"/>
        </w:rPr>
      </w:pPr>
      <w:r w:rsidRPr="00085EDF">
        <w:rPr>
          <w:rFonts w:ascii="Arial" w:hAnsi="Arial" w:cs="Arial"/>
        </w:rPr>
        <w:t xml:space="preserve">Michael's observations, power relationships, and stakeholder analyses, taken together, illustrate the importance of consultants in directing the UK Post Office's reform process. The </w:t>
      </w:r>
      <w:r w:rsidRPr="00085EDF">
        <w:rPr>
          <w:rFonts w:ascii="Arial" w:hAnsi="Arial" w:cs="Arial"/>
        </w:rPr>
        <w:lastRenderedPageBreak/>
        <w:t>organisation may successfully manage change, overcome complicated challenges, and spur innovation by strategically utilising both internal and external consultants.</w:t>
      </w:r>
    </w:p>
    <w:p w14:paraId="6A9BE30D" w14:textId="796260B5" w:rsidR="002378E9" w:rsidRPr="00085EDF" w:rsidRDefault="002378E9" w:rsidP="00085EDF">
      <w:pPr>
        <w:spacing w:line="360" w:lineRule="auto"/>
        <w:rPr>
          <w:rFonts w:ascii="Arial" w:hAnsi="Arial" w:cs="Arial"/>
        </w:rPr>
      </w:pPr>
      <w:r w:rsidRPr="00085EDF">
        <w:rPr>
          <w:rFonts w:ascii="Arial" w:hAnsi="Arial" w:cs="Arial"/>
        </w:rPr>
        <w:br w:type="page"/>
      </w:r>
    </w:p>
    <w:p w14:paraId="61E4186D" w14:textId="77777777" w:rsidR="00B259CD" w:rsidRPr="00085EDF" w:rsidRDefault="00B259CD" w:rsidP="00085EDF">
      <w:pPr>
        <w:pStyle w:val="Heading1"/>
        <w:spacing w:line="360" w:lineRule="auto"/>
        <w:rPr>
          <w:rFonts w:ascii="Arial" w:hAnsi="Arial" w:cs="Arial"/>
          <w:sz w:val="22"/>
          <w:szCs w:val="22"/>
        </w:rPr>
      </w:pPr>
      <w:bookmarkStart w:id="20" w:name="_Toc142665991"/>
      <w:r w:rsidRPr="00085EDF">
        <w:rPr>
          <w:rFonts w:ascii="Arial" w:hAnsi="Arial" w:cs="Arial"/>
          <w:sz w:val="22"/>
          <w:szCs w:val="22"/>
        </w:rPr>
        <w:lastRenderedPageBreak/>
        <w:t>Reference list</w:t>
      </w:r>
      <w:bookmarkEnd w:id="20"/>
    </w:p>
    <w:p w14:paraId="0689FB26"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Alshmemri, M., Maude, P. and Shahwan-Akl, L. (2017). Herzberg’s Two-Factor Theory. </w:t>
      </w:r>
      <w:r w:rsidRPr="00085EDF">
        <w:rPr>
          <w:rFonts w:ascii="Arial" w:hAnsi="Arial" w:cs="Arial"/>
          <w:i/>
          <w:iCs/>
          <w:sz w:val="22"/>
          <w:szCs w:val="22"/>
        </w:rPr>
        <w:t>Life Science Journal</w:t>
      </w:r>
      <w:r w:rsidRPr="00085EDF">
        <w:rPr>
          <w:rFonts w:ascii="Arial" w:hAnsi="Arial" w:cs="Arial"/>
          <w:sz w:val="22"/>
          <w:szCs w:val="22"/>
        </w:rPr>
        <w:t>, [online] 14(5), pp.12–16. doi:https://doi.org/10.7537/marslsj140517.03.</w:t>
      </w:r>
    </w:p>
    <w:p w14:paraId="76748358"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Amui, L.B.L., Jabbour, C.J.C., de Sousa Jabbour, A.B.L. and Kannan, D. (2017). Sustainability as a dynamic organizational capability: a systematic review and a future agenda toward a sustainable transition. </w:t>
      </w:r>
      <w:r w:rsidRPr="00085EDF">
        <w:rPr>
          <w:rFonts w:ascii="Arial" w:hAnsi="Arial" w:cs="Arial"/>
          <w:i/>
          <w:iCs/>
          <w:sz w:val="22"/>
          <w:szCs w:val="22"/>
        </w:rPr>
        <w:t>Journal of Cleaner Production</w:t>
      </w:r>
      <w:r w:rsidRPr="00085EDF">
        <w:rPr>
          <w:rFonts w:ascii="Arial" w:hAnsi="Arial" w:cs="Arial"/>
          <w:sz w:val="22"/>
          <w:szCs w:val="22"/>
        </w:rPr>
        <w:t>, [online] 142, pp.308–322. doi:https://doi.org/10.1016/j.jclepro.2016.07.103.</w:t>
      </w:r>
    </w:p>
    <w:p w14:paraId="6EDFBD0E"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Bahadorestani, A., Naderpajouh, N. and Sadiq, R. (2020). Planning for sustainable stakeholder engagement based on the assessment of conflicting interests in projects. </w:t>
      </w:r>
      <w:r w:rsidRPr="00085EDF">
        <w:rPr>
          <w:rFonts w:ascii="Arial" w:hAnsi="Arial" w:cs="Arial"/>
          <w:i/>
          <w:iCs/>
          <w:sz w:val="22"/>
          <w:szCs w:val="22"/>
        </w:rPr>
        <w:t>Journal of Cleaner Production</w:t>
      </w:r>
      <w:r w:rsidRPr="00085EDF">
        <w:rPr>
          <w:rFonts w:ascii="Arial" w:hAnsi="Arial" w:cs="Arial"/>
          <w:sz w:val="22"/>
          <w:szCs w:val="22"/>
        </w:rPr>
        <w:t>, [online] 242(1), p.118402. doi:https://doi.org/10.1016/j.jclepro.2019.118402.</w:t>
      </w:r>
    </w:p>
    <w:p w14:paraId="1864A61E"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Barney, J. (1991). Firm resources and sustained competitive advantage. </w:t>
      </w:r>
      <w:r w:rsidRPr="00085EDF">
        <w:rPr>
          <w:rFonts w:ascii="Arial" w:hAnsi="Arial" w:cs="Arial"/>
          <w:i/>
          <w:iCs/>
          <w:sz w:val="22"/>
          <w:szCs w:val="22"/>
        </w:rPr>
        <w:t>Journal of Management</w:t>
      </w:r>
      <w:r w:rsidRPr="00085EDF">
        <w:rPr>
          <w:rFonts w:ascii="Arial" w:hAnsi="Arial" w:cs="Arial"/>
          <w:sz w:val="22"/>
          <w:szCs w:val="22"/>
        </w:rPr>
        <w:t>, 17(1), pp.99–120. doi:https://doi.org/10.1177/014920639101700108.</w:t>
      </w:r>
    </w:p>
    <w:p w14:paraId="68459341"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Beer, M., Voelpel, S.C., Leibold, M. and Tekie, E.B. (2005). Strategic Management as Organizational Learning. </w:t>
      </w:r>
      <w:r w:rsidRPr="00085EDF">
        <w:rPr>
          <w:rFonts w:ascii="Arial" w:hAnsi="Arial" w:cs="Arial"/>
          <w:i/>
          <w:iCs/>
          <w:sz w:val="22"/>
          <w:szCs w:val="22"/>
        </w:rPr>
        <w:t>Long Range Planning</w:t>
      </w:r>
      <w:r w:rsidRPr="00085EDF">
        <w:rPr>
          <w:rFonts w:ascii="Arial" w:hAnsi="Arial" w:cs="Arial"/>
          <w:sz w:val="22"/>
          <w:szCs w:val="22"/>
        </w:rPr>
        <w:t>, [online] 38(5), pp.445–465. doi:https://doi.org/10.1016/j.lrp.2005.04.008.</w:t>
      </w:r>
    </w:p>
    <w:p w14:paraId="502F13F5"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Beheshti, N. (2019). </w:t>
      </w:r>
      <w:r w:rsidRPr="00085EDF">
        <w:rPr>
          <w:rFonts w:ascii="Arial" w:hAnsi="Arial" w:cs="Arial"/>
          <w:i/>
          <w:iCs/>
          <w:sz w:val="22"/>
          <w:szCs w:val="22"/>
        </w:rPr>
        <w:t>Improve Workplace Culture With A Strong Mentoring Program</w:t>
      </w:r>
      <w:r w:rsidRPr="00085EDF">
        <w:rPr>
          <w:rFonts w:ascii="Arial" w:hAnsi="Arial" w:cs="Arial"/>
          <w:sz w:val="22"/>
          <w:szCs w:val="22"/>
        </w:rPr>
        <w:t>. [online] Forbes. Available at: https://www.forbes.com/sites/nazbeheshti/2019/01/23/improve-workplace-culture-with-a-strong-mentoring-program/.</w:t>
      </w:r>
    </w:p>
    <w:p w14:paraId="391D74B2"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Ben-ner, A. and Jones, D.C. (1995). Employee Participation, Ownership, and Productivity: A Theoretical Framework. </w:t>
      </w:r>
      <w:r w:rsidRPr="00085EDF">
        <w:rPr>
          <w:rFonts w:ascii="Arial" w:hAnsi="Arial" w:cs="Arial"/>
          <w:i/>
          <w:iCs/>
          <w:sz w:val="22"/>
          <w:szCs w:val="22"/>
        </w:rPr>
        <w:t>Industrial Relations</w:t>
      </w:r>
      <w:r w:rsidRPr="00085EDF">
        <w:rPr>
          <w:rFonts w:ascii="Arial" w:hAnsi="Arial" w:cs="Arial"/>
          <w:sz w:val="22"/>
          <w:szCs w:val="22"/>
        </w:rPr>
        <w:t>, 34(4), pp.532–554. doi:https://doi.org/10.1111/j.1468-232x.1995.tb00387.x.</w:t>
      </w:r>
    </w:p>
    <w:p w14:paraId="3A12B093"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Benn, S., Edwards, M. and Williams, T. (2014). </w:t>
      </w:r>
      <w:r w:rsidRPr="00085EDF">
        <w:rPr>
          <w:rFonts w:ascii="Arial" w:hAnsi="Arial" w:cs="Arial"/>
          <w:i/>
          <w:iCs/>
          <w:sz w:val="22"/>
          <w:szCs w:val="22"/>
        </w:rPr>
        <w:t>Organizational Change for Corporate Sustainability</w:t>
      </w:r>
      <w:r w:rsidRPr="00085EDF">
        <w:rPr>
          <w:rFonts w:ascii="Arial" w:hAnsi="Arial" w:cs="Arial"/>
          <w:sz w:val="22"/>
          <w:szCs w:val="22"/>
        </w:rPr>
        <w:t>. Routledge.</w:t>
      </w:r>
    </w:p>
    <w:p w14:paraId="7A0CBE0E"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Burke, R.R. (2002). Technology and the Customer Interface: What Consumers Want in the Physical and Virtual Store. </w:t>
      </w:r>
      <w:r w:rsidRPr="00085EDF">
        <w:rPr>
          <w:rFonts w:ascii="Arial" w:hAnsi="Arial" w:cs="Arial"/>
          <w:i/>
          <w:iCs/>
          <w:sz w:val="22"/>
          <w:szCs w:val="22"/>
        </w:rPr>
        <w:t>Journal of the Academy of Marketing Science</w:t>
      </w:r>
      <w:r w:rsidRPr="00085EDF">
        <w:rPr>
          <w:rFonts w:ascii="Arial" w:hAnsi="Arial" w:cs="Arial"/>
          <w:sz w:val="22"/>
          <w:szCs w:val="22"/>
        </w:rPr>
        <w:t>, 30(4), pp.411–432. doi:https://doi.org/10.1177/009207002236914.</w:t>
      </w:r>
    </w:p>
    <w:p w14:paraId="55E42A4D"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Butt, A., Naaranoja, M. and Savolainen, J. (2016). Project change stakeholder communication. </w:t>
      </w:r>
      <w:r w:rsidRPr="00085EDF">
        <w:rPr>
          <w:rFonts w:ascii="Arial" w:hAnsi="Arial" w:cs="Arial"/>
          <w:i/>
          <w:iCs/>
          <w:sz w:val="22"/>
          <w:szCs w:val="22"/>
        </w:rPr>
        <w:t>International Journal of Project Management</w:t>
      </w:r>
      <w:r w:rsidRPr="00085EDF">
        <w:rPr>
          <w:rFonts w:ascii="Arial" w:hAnsi="Arial" w:cs="Arial"/>
          <w:sz w:val="22"/>
          <w:szCs w:val="22"/>
        </w:rPr>
        <w:t>, 34(8), pp.1579–1595. doi:https://doi.org/10.1016/j.ijproman.2016.08.010.</w:t>
      </w:r>
    </w:p>
    <w:p w14:paraId="2D37B8B2"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lastRenderedPageBreak/>
        <w:t xml:space="preserve">Cha, K.J., Hwang, T. and Gregor, S. (2015). An integrative model of IT-enabled organizational transformation. </w:t>
      </w:r>
      <w:r w:rsidRPr="00085EDF">
        <w:rPr>
          <w:rFonts w:ascii="Arial" w:hAnsi="Arial" w:cs="Arial"/>
          <w:i/>
          <w:iCs/>
          <w:sz w:val="22"/>
          <w:szCs w:val="22"/>
        </w:rPr>
        <w:t>Management Decision</w:t>
      </w:r>
      <w:r w:rsidRPr="00085EDF">
        <w:rPr>
          <w:rFonts w:ascii="Arial" w:hAnsi="Arial" w:cs="Arial"/>
          <w:sz w:val="22"/>
          <w:szCs w:val="22"/>
        </w:rPr>
        <w:t>, 53(8), pp.1755–1770. doi:https://doi.org/10.1108/md-09-2014-0550.</w:t>
      </w:r>
    </w:p>
    <w:p w14:paraId="4DB54DA5"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Chalutz Ben</w:t>
      </w:r>
      <w:r w:rsidRPr="00085EDF">
        <w:rPr>
          <w:rFonts w:ascii="Cambria Math" w:hAnsi="Cambria Math" w:cs="Cambria Math"/>
          <w:sz w:val="22"/>
          <w:szCs w:val="22"/>
        </w:rPr>
        <w:t>‐</w:t>
      </w:r>
      <w:r w:rsidRPr="00085EDF">
        <w:rPr>
          <w:rFonts w:ascii="Arial" w:hAnsi="Arial" w:cs="Arial"/>
          <w:sz w:val="22"/>
          <w:szCs w:val="22"/>
        </w:rPr>
        <w:t>Gal, H. and Tzafrir, S.S. (2011). Consultant</w:t>
      </w:r>
      <w:r w:rsidRPr="00085EDF">
        <w:rPr>
          <w:rFonts w:ascii="Cambria Math" w:hAnsi="Cambria Math" w:cs="Cambria Math"/>
          <w:sz w:val="22"/>
          <w:szCs w:val="22"/>
        </w:rPr>
        <w:t>‐</w:t>
      </w:r>
      <w:r w:rsidRPr="00085EDF">
        <w:rPr>
          <w:rFonts w:ascii="Arial" w:hAnsi="Arial" w:cs="Arial"/>
          <w:sz w:val="22"/>
          <w:szCs w:val="22"/>
        </w:rPr>
        <w:t xml:space="preserve">client relationship: one of the secrets to effective organizational change? </w:t>
      </w:r>
      <w:r w:rsidRPr="00085EDF">
        <w:rPr>
          <w:rFonts w:ascii="Arial" w:hAnsi="Arial" w:cs="Arial"/>
          <w:i/>
          <w:iCs/>
          <w:sz w:val="22"/>
          <w:szCs w:val="22"/>
        </w:rPr>
        <w:t>Journal of Organizational Change Management</w:t>
      </w:r>
      <w:r w:rsidRPr="00085EDF">
        <w:rPr>
          <w:rFonts w:ascii="Arial" w:hAnsi="Arial" w:cs="Arial"/>
          <w:sz w:val="22"/>
          <w:szCs w:val="22"/>
        </w:rPr>
        <w:t>, 24(5), pp.662–679. doi:https://doi.org/10.1108/09534811111158912.</w:t>
      </w:r>
    </w:p>
    <w:p w14:paraId="3F7089A2"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Christensen, C.M., Raynor, M.E. and McDonald, R. (2015). </w:t>
      </w:r>
      <w:r w:rsidRPr="00085EDF">
        <w:rPr>
          <w:rFonts w:ascii="Arial" w:hAnsi="Arial" w:cs="Arial"/>
          <w:i/>
          <w:iCs/>
          <w:sz w:val="22"/>
          <w:szCs w:val="22"/>
        </w:rPr>
        <w:t>What Is Disruptive Innovation?</w:t>
      </w:r>
      <w:r w:rsidRPr="00085EDF">
        <w:rPr>
          <w:rFonts w:ascii="Arial" w:hAnsi="Arial" w:cs="Arial"/>
          <w:sz w:val="22"/>
          <w:szCs w:val="22"/>
        </w:rPr>
        <w:t xml:space="preserve"> [online] Harvard Business Review. Available at: https://hbr.org/2015/12/what-is-disruptive-innovation.</w:t>
      </w:r>
    </w:p>
    <w:p w14:paraId="5B5CEBC2"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CIPD (2017). </w:t>
      </w:r>
      <w:r w:rsidRPr="00085EDF">
        <w:rPr>
          <w:rFonts w:ascii="Arial" w:hAnsi="Arial" w:cs="Arial"/>
          <w:i/>
          <w:iCs/>
          <w:sz w:val="22"/>
          <w:szCs w:val="22"/>
        </w:rPr>
        <w:t>Power dynamics in work and employment relationships: the capacity for employee influence Research report Part 1 -Thematic literature review</w:t>
      </w:r>
      <w:r w:rsidRPr="00085EDF">
        <w:rPr>
          <w:rFonts w:ascii="Arial" w:hAnsi="Arial" w:cs="Arial"/>
          <w:sz w:val="22"/>
          <w:szCs w:val="22"/>
        </w:rPr>
        <w:t>. [online] Available at: https://www.cipd.org/globalassets/media/knowledge/knowledge-hub/reports/power-dynamics-in-work-and-employment-relationships_2017-the-capacity-for-employee-influence_tcm18-33089.pdf.</w:t>
      </w:r>
    </w:p>
    <w:p w14:paraId="16CD5E80"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Colle, S.D. (2005). A stakeholder management model for ethical decision making. </w:t>
      </w:r>
      <w:r w:rsidRPr="00085EDF">
        <w:rPr>
          <w:rFonts w:ascii="Arial" w:hAnsi="Arial" w:cs="Arial"/>
          <w:i/>
          <w:iCs/>
          <w:sz w:val="22"/>
          <w:szCs w:val="22"/>
        </w:rPr>
        <w:t>International Journal of Management and Decision Making</w:t>
      </w:r>
      <w:r w:rsidRPr="00085EDF">
        <w:rPr>
          <w:rFonts w:ascii="Arial" w:hAnsi="Arial" w:cs="Arial"/>
          <w:sz w:val="22"/>
          <w:szCs w:val="22"/>
        </w:rPr>
        <w:t>, 6(3/4), p.299. doi:https://doi.org/10.1504/ijmdm.2005.006555.</w:t>
      </w:r>
    </w:p>
    <w:p w14:paraId="5FAF12FD"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Consulting Quest (2023). </w:t>
      </w:r>
      <w:r w:rsidRPr="00085EDF">
        <w:rPr>
          <w:rFonts w:ascii="Arial" w:hAnsi="Arial" w:cs="Arial"/>
          <w:i/>
          <w:iCs/>
          <w:sz w:val="22"/>
          <w:szCs w:val="22"/>
        </w:rPr>
        <w:t>Internal Vs External Consultants: The Definitive Guide (2023)</w:t>
      </w:r>
      <w:r w:rsidRPr="00085EDF">
        <w:rPr>
          <w:rFonts w:ascii="Arial" w:hAnsi="Arial" w:cs="Arial"/>
          <w:sz w:val="22"/>
          <w:szCs w:val="22"/>
        </w:rPr>
        <w:t>. [online] Consulting Quest. Available at: https://consultingquest.com/insights/internal-vs-external-consultants/.</w:t>
      </w:r>
    </w:p>
    <w:p w14:paraId="5A78607B"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Cummings, T.G. and Worley, C.G. (2015). </w:t>
      </w:r>
      <w:r w:rsidRPr="00085EDF">
        <w:rPr>
          <w:rFonts w:ascii="Arial" w:hAnsi="Arial" w:cs="Arial"/>
          <w:i/>
          <w:iCs/>
          <w:sz w:val="22"/>
          <w:szCs w:val="22"/>
        </w:rPr>
        <w:t>Organization development and change</w:t>
      </w:r>
      <w:r w:rsidRPr="00085EDF">
        <w:rPr>
          <w:rFonts w:ascii="Arial" w:hAnsi="Arial" w:cs="Arial"/>
          <w:sz w:val="22"/>
          <w:szCs w:val="22"/>
        </w:rPr>
        <w:t>. Mason (Ohio): Cengage Learning.</w:t>
      </w:r>
    </w:p>
    <w:p w14:paraId="571A3017"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Currie, T. (2023). </w:t>
      </w:r>
      <w:r w:rsidRPr="00085EDF">
        <w:rPr>
          <w:rFonts w:ascii="Arial" w:hAnsi="Arial" w:cs="Arial"/>
          <w:i/>
          <w:iCs/>
          <w:sz w:val="22"/>
          <w:szCs w:val="22"/>
        </w:rPr>
        <w:t>Critical Issues to be considered for change agents of UK Post Office</w:t>
      </w:r>
      <w:r w:rsidRPr="00085EDF">
        <w:rPr>
          <w:rFonts w:ascii="Arial" w:hAnsi="Arial" w:cs="Arial"/>
          <w:sz w:val="22"/>
          <w:szCs w:val="22"/>
        </w:rPr>
        <w:t>. 25 Jul.</w:t>
      </w:r>
    </w:p>
    <w:p w14:paraId="22B3C14B"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CWU (n.d.). </w:t>
      </w:r>
      <w:r w:rsidRPr="00085EDF">
        <w:rPr>
          <w:rFonts w:ascii="Arial" w:hAnsi="Arial" w:cs="Arial"/>
          <w:i/>
          <w:iCs/>
          <w:sz w:val="22"/>
          <w:szCs w:val="22"/>
        </w:rPr>
        <w:t>Post Office Strike</w:t>
      </w:r>
      <w:r w:rsidRPr="00085EDF">
        <w:rPr>
          <w:rFonts w:ascii="Arial" w:hAnsi="Arial" w:cs="Arial"/>
          <w:sz w:val="22"/>
          <w:szCs w:val="22"/>
        </w:rPr>
        <w:t>. [online] CWU. Available at: https://www.cwu.org/post-office-strike-info.</w:t>
      </w:r>
    </w:p>
    <w:p w14:paraId="650B130A"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Davison, M.L. (2009). </w:t>
      </w:r>
      <w:r w:rsidRPr="00085EDF">
        <w:rPr>
          <w:rFonts w:ascii="Arial" w:hAnsi="Arial" w:cs="Arial"/>
          <w:i/>
          <w:iCs/>
          <w:sz w:val="22"/>
          <w:szCs w:val="22"/>
        </w:rPr>
        <w:t>Challenges - Managing External and Internal Consultants</w:t>
      </w:r>
      <w:r w:rsidRPr="00085EDF">
        <w:rPr>
          <w:rFonts w:ascii="Arial" w:hAnsi="Arial" w:cs="Arial"/>
          <w:sz w:val="22"/>
          <w:szCs w:val="22"/>
        </w:rPr>
        <w:t>. [online] www.pmi.org. Available at: https://www.pmi.org/learning/library/challenges-managing-external-internal-consultants-6670.</w:t>
      </w:r>
    </w:p>
    <w:p w14:paraId="74E65AB2"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lastRenderedPageBreak/>
        <w:t xml:space="preserve">Dutta, S. and Kumar, J.A. (2021). Knowledge creation and external consultants during ERP implementation: an interpretive study. </w:t>
      </w:r>
      <w:r w:rsidRPr="00085EDF">
        <w:rPr>
          <w:rFonts w:ascii="Arial" w:hAnsi="Arial" w:cs="Arial"/>
          <w:i/>
          <w:iCs/>
          <w:sz w:val="22"/>
          <w:szCs w:val="22"/>
        </w:rPr>
        <w:t>Business Process Management Journal</w:t>
      </w:r>
      <w:r w:rsidRPr="00085EDF">
        <w:rPr>
          <w:rFonts w:ascii="Arial" w:hAnsi="Arial" w:cs="Arial"/>
          <w:sz w:val="22"/>
          <w:szCs w:val="22"/>
        </w:rPr>
        <w:t>, ahead-of-print(ahead-of-print). doi:https://doi.org/10.1108/bpmj-01-2021-0055.</w:t>
      </w:r>
    </w:p>
    <w:p w14:paraId="4432465D"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Elms, H. and Phillips, R.A. (2018). Stakeholder. </w:t>
      </w:r>
      <w:r w:rsidRPr="00085EDF">
        <w:rPr>
          <w:rFonts w:ascii="Arial" w:hAnsi="Arial" w:cs="Arial"/>
          <w:i/>
          <w:iCs/>
          <w:sz w:val="22"/>
          <w:szCs w:val="22"/>
        </w:rPr>
        <w:t>The Palgrave Encyclopedia of Strategic Management</w:t>
      </w:r>
      <w:r w:rsidRPr="00085EDF">
        <w:rPr>
          <w:rFonts w:ascii="Arial" w:hAnsi="Arial" w:cs="Arial"/>
          <w:sz w:val="22"/>
          <w:szCs w:val="22"/>
        </w:rPr>
        <w:t>, [online] pp.1592–1593. doi:https://doi.org/10.1057/978-1-137-00772-8_270.</w:t>
      </w:r>
    </w:p>
    <w:p w14:paraId="57C2469C"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Errida, A. and Lotfi, B. (2021). The determinants of organizational change management success: Literature review and case study. </w:t>
      </w:r>
      <w:r w:rsidRPr="00085EDF">
        <w:rPr>
          <w:rFonts w:ascii="Arial" w:hAnsi="Arial" w:cs="Arial"/>
          <w:i/>
          <w:iCs/>
          <w:sz w:val="22"/>
          <w:szCs w:val="22"/>
        </w:rPr>
        <w:t>International Journal of Engineering Business Management</w:t>
      </w:r>
      <w:r w:rsidRPr="00085EDF">
        <w:rPr>
          <w:rFonts w:ascii="Arial" w:hAnsi="Arial" w:cs="Arial"/>
          <w:sz w:val="22"/>
          <w:szCs w:val="22"/>
        </w:rPr>
        <w:t>, [online] 13(1), pp.1–15. doi:https://doi.org/10.1177/18479790211016273.</w:t>
      </w:r>
    </w:p>
    <w:p w14:paraId="531BACEE"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Fiksel, J.R. (2015). </w:t>
      </w:r>
      <w:r w:rsidRPr="00085EDF">
        <w:rPr>
          <w:rFonts w:ascii="Arial" w:hAnsi="Arial" w:cs="Arial"/>
          <w:i/>
          <w:iCs/>
          <w:sz w:val="22"/>
          <w:szCs w:val="22"/>
        </w:rPr>
        <w:t>Resilient by design : creating businesses that adapt and flourish in a changing world</w:t>
      </w:r>
      <w:r w:rsidRPr="00085EDF">
        <w:rPr>
          <w:rFonts w:ascii="Arial" w:hAnsi="Arial" w:cs="Arial"/>
          <w:sz w:val="22"/>
          <w:szCs w:val="22"/>
        </w:rPr>
        <w:t>. Washington, Dc: Island Press.</w:t>
      </w:r>
    </w:p>
    <w:p w14:paraId="67C613A1"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Fleisher, C.S. and Bensoussan, B.E. (2018). </w:t>
      </w:r>
      <w:r w:rsidRPr="00085EDF">
        <w:rPr>
          <w:rFonts w:ascii="Arial" w:hAnsi="Arial" w:cs="Arial"/>
          <w:i/>
          <w:iCs/>
          <w:sz w:val="22"/>
          <w:szCs w:val="22"/>
        </w:rPr>
        <w:t>Business and competitive analysis : effective application of new and classic methods</w:t>
      </w:r>
      <w:r w:rsidRPr="00085EDF">
        <w:rPr>
          <w:rFonts w:ascii="Arial" w:hAnsi="Arial" w:cs="Arial"/>
          <w:sz w:val="22"/>
          <w:szCs w:val="22"/>
        </w:rPr>
        <w:t>. Upper Saddle River, N.J.: Ft Press.</w:t>
      </w:r>
    </w:p>
    <w:p w14:paraId="34EBFA48"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Foster, C., Punjaisri, K. and Cheng, R. (2010). Exploring the relationship between corporate, internal and employer branding. </w:t>
      </w:r>
      <w:r w:rsidRPr="00085EDF">
        <w:rPr>
          <w:rFonts w:ascii="Arial" w:hAnsi="Arial" w:cs="Arial"/>
          <w:i/>
          <w:iCs/>
          <w:sz w:val="22"/>
          <w:szCs w:val="22"/>
        </w:rPr>
        <w:t>Journal of Product &amp; Brand Management</w:t>
      </w:r>
      <w:r w:rsidRPr="00085EDF">
        <w:rPr>
          <w:rFonts w:ascii="Arial" w:hAnsi="Arial" w:cs="Arial"/>
          <w:sz w:val="22"/>
          <w:szCs w:val="22"/>
        </w:rPr>
        <w:t>, 19(6), pp.401–409. doi:https://doi.org/10.1108/10610421011085712.</w:t>
      </w:r>
    </w:p>
    <w:p w14:paraId="5BED5A1F"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Frewer, L. (2004). The public and effective risk communication. </w:t>
      </w:r>
      <w:r w:rsidRPr="00085EDF">
        <w:rPr>
          <w:rFonts w:ascii="Arial" w:hAnsi="Arial" w:cs="Arial"/>
          <w:i/>
          <w:iCs/>
          <w:sz w:val="22"/>
          <w:szCs w:val="22"/>
        </w:rPr>
        <w:t>Toxicology Letters</w:t>
      </w:r>
      <w:r w:rsidRPr="00085EDF">
        <w:rPr>
          <w:rFonts w:ascii="Arial" w:hAnsi="Arial" w:cs="Arial"/>
          <w:sz w:val="22"/>
          <w:szCs w:val="22"/>
        </w:rPr>
        <w:t>, 149(1-3), pp.391–397. doi:https://doi.org/10.1016/j.toxlet.2003.12.049.</w:t>
      </w:r>
    </w:p>
    <w:p w14:paraId="3BA7396B"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Gattorna, J. (2017). </w:t>
      </w:r>
      <w:r w:rsidRPr="00085EDF">
        <w:rPr>
          <w:rFonts w:ascii="Arial" w:hAnsi="Arial" w:cs="Arial"/>
          <w:i/>
          <w:iCs/>
          <w:sz w:val="22"/>
          <w:szCs w:val="22"/>
        </w:rPr>
        <w:t>Strategic Supply Chain Alignment : Best Practice in Supply Chain Management.</w:t>
      </w:r>
      <w:r w:rsidRPr="00085EDF">
        <w:rPr>
          <w:rFonts w:ascii="Arial" w:hAnsi="Arial" w:cs="Arial"/>
          <w:sz w:val="22"/>
          <w:szCs w:val="22"/>
        </w:rPr>
        <w:t xml:space="preserve"> Taylor &amp; Francis.</w:t>
      </w:r>
    </w:p>
    <w:p w14:paraId="195295C4"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Gerwing, C. (2016). </w:t>
      </w:r>
      <w:r w:rsidRPr="00085EDF">
        <w:rPr>
          <w:rFonts w:ascii="Arial" w:hAnsi="Arial" w:cs="Arial"/>
          <w:i/>
          <w:iCs/>
          <w:sz w:val="22"/>
          <w:szCs w:val="22"/>
        </w:rPr>
        <w:t>Meaning of Change Agents within Organizational</w:t>
      </w:r>
      <w:r w:rsidRPr="00085EDF">
        <w:rPr>
          <w:rFonts w:ascii="Arial" w:hAnsi="Arial" w:cs="Arial"/>
          <w:sz w:val="22"/>
          <w:szCs w:val="22"/>
        </w:rPr>
        <w:t>. [online] Available at: https://www.econstor.eu/bitstream/10419/156751/1/17107-66665-1-PB.pdf.</w:t>
      </w:r>
    </w:p>
    <w:p w14:paraId="10483628"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Giannakis, M. and Louis, M. (2011). A multi-agent based framework for supply chain risk management. </w:t>
      </w:r>
      <w:r w:rsidRPr="00085EDF">
        <w:rPr>
          <w:rFonts w:ascii="Arial" w:hAnsi="Arial" w:cs="Arial"/>
          <w:i/>
          <w:iCs/>
          <w:sz w:val="22"/>
          <w:szCs w:val="22"/>
        </w:rPr>
        <w:t>Journal of Purchasing and Supply Management</w:t>
      </w:r>
      <w:r w:rsidRPr="00085EDF">
        <w:rPr>
          <w:rFonts w:ascii="Arial" w:hAnsi="Arial" w:cs="Arial"/>
          <w:sz w:val="22"/>
          <w:szCs w:val="22"/>
        </w:rPr>
        <w:t>, 17(1), pp.23–31. doi:https://doi.org/10.1016/j.pursup.2010.05.001.</w:t>
      </w:r>
    </w:p>
    <w:p w14:paraId="3D52479E"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Greenwood, M. and Van Buren III, H.J. (2010). Trust and Stakeholder Theory: Trustworthiness in the Organisation–Stakeholder Relationship. </w:t>
      </w:r>
      <w:r w:rsidRPr="00085EDF">
        <w:rPr>
          <w:rFonts w:ascii="Arial" w:hAnsi="Arial" w:cs="Arial"/>
          <w:i/>
          <w:iCs/>
          <w:sz w:val="22"/>
          <w:szCs w:val="22"/>
        </w:rPr>
        <w:t>Journal of Business Ethics</w:t>
      </w:r>
      <w:r w:rsidRPr="00085EDF">
        <w:rPr>
          <w:rFonts w:ascii="Arial" w:hAnsi="Arial" w:cs="Arial"/>
          <w:sz w:val="22"/>
          <w:szCs w:val="22"/>
        </w:rPr>
        <w:t>, 95(3), pp.425–438. doi:https://doi.org/10.1007/s10551-010-0414-4.</w:t>
      </w:r>
    </w:p>
    <w:p w14:paraId="18923CE3"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Hair, J.F., Page, M. and Brusveld, N. (2019). </w:t>
      </w:r>
      <w:r w:rsidRPr="00085EDF">
        <w:rPr>
          <w:rFonts w:ascii="Arial" w:hAnsi="Arial" w:cs="Arial"/>
          <w:i/>
          <w:iCs/>
          <w:sz w:val="22"/>
          <w:szCs w:val="22"/>
        </w:rPr>
        <w:t>Essentials of Business Research Methods</w:t>
      </w:r>
      <w:r w:rsidRPr="00085EDF">
        <w:rPr>
          <w:rFonts w:ascii="Arial" w:hAnsi="Arial" w:cs="Arial"/>
          <w:sz w:val="22"/>
          <w:szCs w:val="22"/>
        </w:rPr>
        <w:t>. M.E. Sharpe.</w:t>
      </w:r>
    </w:p>
    <w:p w14:paraId="3D3684B1"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lastRenderedPageBreak/>
        <w:t xml:space="preserve">Hodges, J. (2017). To be or not to be an internal consultant. </w:t>
      </w:r>
      <w:r w:rsidRPr="00085EDF">
        <w:rPr>
          <w:rFonts w:ascii="Arial" w:hAnsi="Arial" w:cs="Arial"/>
          <w:i/>
          <w:iCs/>
          <w:sz w:val="22"/>
          <w:szCs w:val="22"/>
        </w:rPr>
        <w:t>durham-repository.worktribe.com</w:t>
      </w:r>
      <w:r w:rsidRPr="00085EDF">
        <w:rPr>
          <w:rFonts w:ascii="Arial" w:hAnsi="Arial" w:cs="Arial"/>
          <w:sz w:val="22"/>
          <w:szCs w:val="22"/>
        </w:rPr>
        <w:t>. [online] Available at: https://durham-repository.worktribe.com/output/1665090 [Accessed 11 Aug. 2023].</w:t>
      </w:r>
    </w:p>
    <w:p w14:paraId="6F8D44ED"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Hollmann, S., Regierer, B., Bechis, J., Tobin, L. and D’Elia, D. (2022). Ten simple rules on how to develop a stakeholder engagement plan. </w:t>
      </w:r>
      <w:r w:rsidRPr="00085EDF">
        <w:rPr>
          <w:rFonts w:ascii="Arial" w:hAnsi="Arial" w:cs="Arial"/>
          <w:i/>
          <w:iCs/>
          <w:sz w:val="22"/>
          <w:szCs w:val="22"/>
        </w:rPr>
        <w:t>PLOS Computational Biology</w:t>
      </w:r>
      <w:r w:rsidRPr="00085EDF">
        <w:rPr>
          <w:rFonts w:ascii="Arial" w:hAnsi="Arial" w:cs="Arial"/>
          <w:sz w:val="22"/>
          <w:szCs w:val="22"/>
        </w:rPr>
        <w:t>, 18(10), p.e1010520. doi:https://doi.org/10.1371/journal.pcbi.1010520.</w:t>
      </w:r>
    </w:p>
    <w:p w14:paraId="199A3501"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Iannotta, M., Meret, C. and Marchetti, G. (2020). Defining Leadership in Smart Working Contexts: A Concept Synthesis. </w:t>
      </w:r>
      <w:r w:rsidRPr="00085EDF">
        <w:rPr>
          <w:rFonts w:ascii="Arial" w:hAnsi="Arial" w:cs="Arial"/>
          <w:i/>
          <w:iCs/>
          <w:sz w:val="22"/>
          <w:szCs w:val="22"/>
        </w:rPr>
        <w:t>Frontiers in Psychology</w:t>
      </w:r>
      <w:r w:rsidRPr="00085EDF">
        <w:rPr>
          <w:rFonts w:ascii="Arial" w:hAnsi="Arial" w:cs="Arial"/>
          <w:sz w:val="22"/>
          <w:szCs w:val="22"/>
        </w:rPr>
        <w:t>, [online] 11, pp.1–11. doi:https://doi.org/10.3389/fpsyg.2020.556933.</w:t>
      </w:r>
    </w:p>
    <w:p w14:paraId="4BF03969"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International Institute for Science, Technology and Education (2018). The Ecosystem of Internal Consultants as a Structure: A Contradictory Approach to Leverage the Imbalance between Internal and External Consultants. </w:t>
      </w:r>
      <w:r w:rsidRPr="00085EDF">
        <w:rPr>
          <w:rFonts w:ascii="Arial" w:hAnsi="Arial" w:cs="Arial"/>
          <w:i/>
          <w:iCs/>
          <w:sz w:val="22"/>
          <w:szCs w:val="22"/>
        </w:rPr>
        <w:t>core.ac.uk</w:t>
      </w:r>
      <w:r w:rsidRPr="00085EDF">
        <w:rPr>
          <w:rFonts w:ascii="Arial" w:hAnsi="Arial" w:cs="Arial"/>
          <w:sz w:val="22"/>
          <w:szCs w:val="22"/>
        </w:rPr>
        <w:t>, [online] 10. Available at: https://core.ac.uk/reader/234628330 [Accessed 11 Aug. 2023].</w:t>
      </w:r>
    </w:p>
    <w:p w14:paraId="59D74703"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Jain-Link, P., Taylor Kennedy, J. and Bourgeois, T. (2020). </w:t>
      </w:r>
      <w:r w:rsidRPr="00085EDF">
        <w:rPr>
          <w:rFonts w:ascii="Arial" w:hAnsi="Arial" w:cs="Arial"/>
          <w:i/>
          <w:iCs/>
          <w:sz w:val="22"/>
          <w:szCs w:val="22"/>
        </w:rPr>
        <w:t>5 Strategies for Creating an Inclusive Workplace</w:t>
      </w:r>
      <w:r w:rsidRPr="00085EDF">
        <w:rPr>
          <w:rFonts w:ascii="Arial" w:hAnsi="Arial" w:cs="Arial"/>
          <w:sz w:val="22"/>
          <w:szCs w:val="22"/>
        </w:rPr>
        <w:t>. [online] Harvard Business Review. Available at: https://hbr.org/2020/01/5-strategies-for-creating-an-inclusive-workplace.</w:t>
      </w:r>
    </w:p>
    <w:p w14:paraId="32CC1E13"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Jordan, T. (2011). Skillful Engagement with Wicked Issues: A Framework for Analysing the Meaning-Making Structures of Societal Change Agents. </w:t>
      </w:r>
      <w:r w:rsidRPr="00085EDF">
        <w:rPr>
          <w:rFonts w:ascii="Arial" w:hAnsi="Arial" w:cs="Arial"/>
          <w:i/>
          <w:iCs/>
          <w:sz w:val="22"/>
          <w:szCs w:val="22"/>
        </w:rPr>
        <w:t>DOAJ (DOAJ: Directory of Open Access Journals)</w:t>
      </w:r>
      <w:r w:rsidRPr="00085EDF">
        <w:rPr>
          <w:rFonts w:ascii="Arial" w:hAnsi="Arial" w:cs="Arial"/>
          <w:sz w:val="22"/>
          <w:szCs w:val="22"/>
        </w:rPr>
        <w:t>.</w:t>
      </w:r>
    </w:p>
    <w:p w14:paraId="5BAA8C87"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Koppenjan, M., Erik-Hans Klijn and Taylor (2010). </w:t>
      </w:r>
      <w:r w:rsidRPr="00085EDF">
        <w:rPr>
          <w:rFonts w:ascii="Arial" w:hAnsi="Arial" w:cs="Arial"/>
          <w:i/>
          <w:iCs/>
          <w:sz w:val="22"/>
          <w:szCs w:val="22"/>
        </w:rPr>
        <w:t>Managing uncertainties in networks : a network approach to problem solving and decision making</w:t>
      </w:r>
      <w:r w:rsidRPr="00085EDF">
        <w:rPr>
          <w:rFonts w:ascii="Arial" w:hAnsi="Arial" w:cs="Arial"/>
          <w:sz w:val="22"/>
          <w:szCs w:val="22"/>
        </w:rPr>
        <w:t>. London ; New York: Routledge Taylor &amp; Francis Group.</w:t>
      </w:r>
    </w:p>
    <w:p w14:paraId="38DDF7C7"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Kotter, J.P. (2012). </w:t>
      </w:r>
      <w:r w:rsidRPr="00085EDF">
        <w:rPr>
          <w:rFonts w:ascii="Arial" w:hAnsi="Arial" w:cs="Arial"/>
          <w:i/>
          <w:iCs/>
          <w:sz w:val="22"/>
          <w:szCs w:val="22"/>
        </w:rPr>
        <w:t>Leading Change</w:t>
      </w:r>
      <w:r w:rsidRPr="00085EDF">
        <w:rPr>
          <w:rFonts w:ascii="Arial" w:hAnsi="Arial" w:cs="Arial"/>
          <w:sz w:val="22"/>
          <w:szCs w:val="22"/>
        </w:rPr>
        <w:t>. [online] Boston, Massachusetts: Harvard Business Review Press. Available at: https://www.perlego.com/book/837049/leading-change-with-a-new-preface-by-the-author-pdf.</w:t>
      </w:r>
    </w:p>
    <w:p w14:paraId="367753E0"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Kumar Basu, K. (2015). The Leader’s Role in Managing Change: Five Cases of Technology-Enabled Business Transformation. </w:t>
      </w:r>
      <w:r w:rsidRPr="00085EDF">
        <w:rPr>
          <w:rFonts w:ascii="Arial" w:hAnsi="Arial" w:cs="Arial"/>
          <w:i/>
          <w:iCs/>
          <w:sz w:val="22"/>
          <w:szCs w:val="22"/>
        </w:rPr>
        <w:t>Global Business and Organizational Excellence</w:t>
      </w:r>
      <w:r w:rsidRPr="00085EDF">
        <w:rPr>
          <w:rFonts w:ascii="Arial" w:hAnsi="Arial" w:cs="Arial"/>
          <w:sz w:val="22"/>
          <w:szCs w:val="22"/>
        </w:rPr>
        <w:t>, 34(3), pp.28–42. doi:https://doi.org/10.1002/joe.21602.</w:t>
      </w:r>
    </w:p>
    <w:p w14:paraId="1AD99643"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Legislation.gov.uk. (2020). </w:t>
      </w:r>
      <w:r w:rsidRPr="00085EDF">
        <w:rPr>
          <w:rFonts w:ascii="Arial" w:hAnsi="Arial" w:cs="Arial"/>
          <w:i/>
          <w:iCs/>
          <w:sz w:val="22"/>
          <w:szCs w:val="22"/>
        </w:rPr>
        <w:t>Postal Services Act 2011</w:t>
      </w:r>
      <w:r w:rsidRPr="00085EDF">
        <w:rPr>
          <w:rFonts w:ascii="Arial" w:hAnsi="Arial" w:cs="Arial"/>
          <w:sz w:val="22"/>
          <w:szCs w:val="22"/>
        </w:rPr>
        <w:t>. [online] Available at: https://www.legislation.gov.uk/ukpga/2011/5/part/3/crossheading/the-universal-postal-service.</w:t>
      </w:r>
    </w:p>
    <w:p w14:paraId="286652AC"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lastRenderedPageBreak/>
        <w:t xml:space="preserve">Lemon, K.N. and Verhoef, P.C. (2016). Understanding Customer Experience Throughout the Customer Journey. </w:t>
      </w:r>
      <w:r w:rsidRPr="00085EDF">
        <w:rPr>
          <w:rFonts w:ascii="Arial" w:hAnsi="Arial" w:cs="Arial"/>
          <w:i/>
          <w:iCs/>
          <w:sz w:val="22"/>
          <w:szCs w:val="22"/>
        </w:rPr>
        <w:t>Journal of Marketing</w:t>
      </w:r>
      <w:r w:rsidRPr="00085EDF">
        <w:rPr>
          <w:rFonts w:ascii="Arial" w:hAnsi="Arial" w:cs="Arial"/>
          <w:sz w:val="22"/>
          <w:szCs w:val="22"/>
        </w:rPr>
        <w:t>, [online] 80(6), pp.69–96. doi:https://doi.org/10.1509/jm.15.0420.</w:t>
      </w:r>
    </w:p>
    <w:p w14:paraId="787E4B26"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Lewin, K. (1951). Field Theory in Social Science: Selected Theoretical Papers. </w:t>
      </w:r>
      <w:r w:rsidRPr="00085EDF">
        <w:rPr>
          <w:rFonts w:ascii="Arial" w:hAnsi="Arial" w:cs="Arial"/>
          <w:i/>
          <w:iCs/>
          <w:sz w:val="22"/>
          <w:szCs w:val="22"/>
        </w:rPr>
        <w:t>American Sociological Review</w:t>
      </w:r>
      <w:r w:rsidRPr="00085EDF">
        <w:rPr>
          <w:rFonts w:ascii="Arial" w:hAnsi="Arial" w:cs="Arial"/>
          <w:sz w:val="22"/>
          <w:szCs w:val="22"/>
        </w:rPr>
        <w:t>, 16(3). doi:https://doi.org/10.2307/2087618.</w:t>
      </w:r>
    </w:p>
    <w:p w14:paraId="2015F9A0"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Lewis, K. and Swerdzewski, P.J. (2009). The Internal Consultant Model for Assessment. </w:t>
      </w:r>
      <w:r w:rsidRPr="00085EDF">
        <w:rPr>
          <w:rFonts w:ascii="Arial" w:hAnsi="Arial" w:cs="Arial"/>
          <w:i/>
          <w:iCs/>
          <w:sz w:val="22"/>
          <w:szCs w:val="22"/>
        </w:rPr>
        <w:t>Assessment Update</w:t>
      </w:r>
      <w:r w:rsidRPr="00085EDF">
        <w:rPr>
          <w:rFonts w:ascii="Arial" w:hAnsi="Arial" w:cs="Arial"/>
          <w:sz w:val="22"/>
          <w:szCs w:val="22"/>
        </w:rPr>
        <w:t>, 21(6), pp.5–7.</w:t>
      </w:r>
    </w:p>
    <w:p w14:paraId="06163CAE"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Lin, H. (2007). Knowledge sharing and firm innovation capability: an empirical study. </w:t>
      </w:r>
      <w:r w:rsidRPr="00085EDF">
        <w:rPr>
          <w:rFonts w:ascii="Arial" w:hAnsi="Arial" w:cs="Arial"/>
          <w:i/>
          <w:iCs/>
          <w:sz w:val="22"/>
          <w:szCs w:val="22"/>
        </w:rPr>
        <w:t>International Journal of Manpower</w:t>
      </w:r>
      <w:r w:rsidRPr="00085EDF">
        <w:rPr>
          <w:rFonts w:ascii="Arial" w:hAnsi="Arial" w:cs="Arial"/>
          <w:sz w:val="22"/>
          <w:szCs w:val="22"/>
        </w:rPr>
        <w:t>, 28(3/4), pp.315–332. doi:https://doi.org/10.1108/01437720710755272.</w:t>
      </w:r>
    </w:p>
    <w:p w14:paraId="1E22929D"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Lunenburg, F. (2010). Managing Change: The Role of the Change Agent. </w:t>
      </w:r>
      <w:r w:rsidRPr="00085EDF">
        <w:rPr>
          <w:rFonts w:ascii="Arial" w:hAnsi="Arial" w:cs="Arial"/>
          <w:i/>
          <w:iCs/>
          <w:sz w:val="22"/>
          <w:szCs w:val="22"/>
        </w:rPr>
        <w:t>International Journal of Management, Business, and Administration</w:t>
      </w:r>
      <w:r w:rsidRPr="00085EDF">
        <w:rPr>
          <w:rFonts w:ascii="Arial" w:hAnsi="Arial" w:cs="Arial"/>
          <w:sz w:val="22"/>
          <w:szCs w:val="22"/>
        </w:rPr>
        <w:t>, 13(1).</w:t>
      </w:r>
    </w:p>
    <w:p w14:paraId="2F5F5BBD" w14:textId="5859F30E"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Luning, S. (2012). Corporate Social Responsibility (CSR) for exploration: Consultants, </w:t>
      </w:r>
      <w:r w:rsidR="00463E82" w:rsidRPr="00085EDF">
        <w:rPr>
          <w:rFonts w:ascii="Arial" w:hAnsi="Arial" w:cs="Arial"/>
          <w:sz w:val="22"/>
          <w:szCs w:val="22"/>
        </w:rPr>
        <w:t>companies,</w:t>
      </w:r>
      <w:r w:rsidRPr="00085EDF">
        <w:rPr>
          <w:rFonts w:ascii="Arial" w:hAnsi="Arial" w:cs="Arial"/>
          <w:sz w:val="22"/>
          <w:szCs w:val="22"/>
        </w:rPr>
        <w:t xml:space="preserve"> and communities in processes of engagements. </w:t>
      </w:r>
      <w:r w:rsidRPr="00085EDF">
        <w:rPr>
          <w:rFonts w:ascii="Arial" w:hAnsi="Arial" w:cs="Arial"/>
          <w:i/>
          <w:iCs/>
          <w:sz w:val="22"/>
          <w:szCs w:val="22"/>
        </w:rPr>
        <w:t>Resources Policy</w:t>
      </w:r>
      <w:r w:rsidRPr="00085EDF">
        <w:rPr>
          <w:rFonts w:ascii="Arial" w:hAnsi="Arial" w:cs="Arial"/>
          <w:sz w:val="22"/>
          <w:szCs w:val="22"/>
        </w:rPr>
        <w:t>, 37(2), pp.205–211. doi:https://doi.org/10.1016/j.resourpol.2011.02.004.</w:t>
      </w:r>
    </w:p>
    <w:p w14:paraId="784F3F2B"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Malik, P. (2021). </w:t>
      </w:r>
      <w:r w:rsidRPr="00085EDF">
        <w:rPr>
          <w:rFonts w:ascii="Arial" w:hAnsi="Arial" w:cs="Arial"/>
          <w:i/>
          <w:iCs/>
          <w:sz w:val="22"/>
          <w:szCs w:val="22"/>
        </w:rPr>
        <w:t>The Role of a Change Agent: Characteristics, Types, Skills (2022) - Whatfix</w:t>
      </w:r>
      <w:r w:rsidRPr="00085EDF">
        <w:rPr>
          <w:rFonts w:ascii="Arial" w:hAnsi="Arial" w:cs="Arial"/>
          <w:sz w:val="22"/>
          <w:szCs w:val="22"/>
        </w:rPr>
        <w:t>. [online] The Whatfix Blog | Drive Digital Adoption. Available at: https://whatfix.com/blog/change-agent/.</w:t>
      </w:r>
    </w:p>
    <w:p w14:paraId="133748D7"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McVey, M. (2022). Untangling the authority of external experts in the corporate implementation of the UN Guiding Principles on Business and Human Rights. </w:t>
      </w:r>
      <w:r w:rsidRPr="00085EDF">
        <w:rPr>
          <w:rFonts w:ascii="Arial" w:hAnsi="Arial" w:cs="Arial"/>
          <w:i/>
          <w:iCs/>
          <w:sz w:val="22"/>
          <w:szCs w:val="22"/>
        </w:rPr>
        <w:t>Journal of Human Rights</w:t>
      </w:r>
      <w:r w:rsidRPr="00085EDF">
        <w:rPr>
          <w:rFonts w:ascii="Arial" w:hAnsi="Arial" w:cs="Arial"/>
          <w:sz w:val="22"/>
          <w:szCs w:val="22"/>
        </w:rPr>
        <w:t>, 21(5), pp.620–638. doi:https://doi.org/10.1080/14754835.2022.2105646.</w:t>
      </w:r>
    </w:p>
    <w:p w14:paraId="4AF20917"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Metwally, D., Palomino, P.R. -, Metwally, M. and Gartzia, L. (2019). How Ethical Leadership Shapes Employees’ Readiness to Change: the Mediating Role of an Organizational Culture of Effectiveness. </w:t>
      </w:r>
      <w:r w:rsidRPr="00085EDF">
        <w:rPr>
          <w:rFonts w:ascii="Arial" w:hAnsi="Arial" w:cs="Arial"/>
          <w:i/>
          <w:iCs/>
          <w:sz w:val="22"/>
          <w:szCs w:val="22"/>
        </w:rPr>
        <w:t>Frontiers in Psychology</w:t>
      </w:r>
      <w:r w:rsidRPr="00085EDF">
        <w:rPr>
          <w:rFonts w:ascii="Arial" w:hAnsi="Arial" w:cs="Arial"/>
          <w:sz w:val="22"/>
          <w:szCs w:val="22"/>
        </w:rPr>
        <w:t>, [online] 10(4). doi:https://doi.org/10.3389/fpsyg.2019.02493.</w:t>
      </w:r>
    </w:p>
    <w:p w14:paraId="42539EE8"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Mintzberg, H. (2009). </w:t>
      </w:r>
      <w:r w:rsidRPr="00085EDF">
        <w:rPr>
          <w:rFonts w:ascii="Arial" w:hAnsi="Arial" w:cs="Arial"/>
          <w:i/>
          <w:iCs/>
          <w:sz w:val="22"/>
          <w:szCs w:val="22"/>
        </w:rPr>
        <w:t>The Structuring of Organizations - Henry Mintzberg.</w:t>
      </w:r>
      <w:r w:rsidRPr="00085EDF">
        <w:rPr>
          <w:rFonts w:ascii="Arial" w:hAnsi="Arial" w:cs="Arial"/>
          <w:sz w:val="22"/>
          <w:szCs w:val="22"/>
        </w:rPr>
        <w:t xml:space="preserve"> [online] Available at: https://www.nrc.gov/docs/ML0907/ML090710600.pdf.</w:t>
      </w:r>
    </w:p>
    <w:p w14:paraId="1D04052C"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Mitchell, R.K., Agle, B.R. and Wood, D.J. (1997). Toward a Theory of Stakeholder Identification and Salience: Defining the Principle of Who and What Really Counts. </w:t>
      </w:r>
      <w:r w:rsidRPr="00085EDF">
        <w:rPr>
          <w:rFonts w:ascii="Arial" w:hAnsi="Arial" w:cs="Arial"/>
          <w:i/>
          <w:iCs/>
          <w:sz w:val="22"/>
          <w:szCs w:val="22"/>
        </w:rPr>
        <w:t>The Academy of Management Review</w:t>
      </w:r>
      <w:r w:rsidRPr="00085EDF">
        <w:rPr>
          <w:rFonts w:ascii="Arial" w:hAnsi="Arial" w:cs="Arial"/>
          <w:sz w:val="22"/>
          <w:szCs w:val="22"/>
        </w:rPr>
        <w:t>, 22(4), pp.853–886.</w:t>
      </w:r>
    </w:p>
    <w:p w14:paraId="3E472920"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lastRenderedPageBreak/>
        <w:t xml:space="preserve">Morgan, G., Mcelrath, R., Allison-Hope, D. and Prattico, E. (2016). </w:t>
      </w:r>
      <w:r w:rsidRPr="00085EDF">
        <w:rPr>
          <w:rFonts w:ascii="Arial" w:hAnsi="Arial" w:cs="Arial"/>
          <w:i/>
          <w:iCs/>
          <w:sz w:val="22"/>
          <w:szCs w:val="22"/>
        </w:rPr>
        <w:t>The Future of Stakeholder Engagement</w:t>
      </w:r>
      <w:r w:rsidRPr="00085EDF">
        <w:rPr>
          <w:rFonts w:ascii="Arial" w:hAnsi="Arial" w:cs="Arial"/>
          <w:sz w:val="22"/>
          <w:szCs w:val="22"/>
        </w:rPr>
        <w:t>. [online] Available at: https://www.bsr.org/reports/BSR_Future_of_Stakeholder_Engagement_Report.pdf.</w:t>
      </w:r>
    </w:p>
    <w:p w14:paraId="4B0176AF"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Munir, R., Lodhi, M., Hazoor, M., Sabir and Khan, M. (2016). Impact of Rewards (Intrinsic and Extrinsic) on Employee Performance with Special Reference to Courier Companies of Faisalabad City. </w:t>
      </w:r>
      <w:r w:rsidRPr="00085EDF">
        <w:rPr>
          <w:rFonts w:ascii="Arial" w:hAnsi="Arial" w:cs="Arial"/>
          <w:i/>
          <w:iCs/>
          <w:sz w:val="22"/>
          <w:szCs w:val="22"/>
        </w:rPr>
        <w:t>European Journal of Business and Management</w:t>
      </w:r>
      <w:r w:rsidRPr="00085EDF">
        <w:rPr>
          <w:rFonts w:ascii="Arial" w:hAnsi="Arial" w:cs="Arial"/>
          <w:sz w:val="22"/>
          <w:szCs w:val="22"/>
        </w:rPr>
        <w:t>, [online] 8(25). Available at: https://core.ac.uk/download/pdf/234627487.pdf.</w:t>
      </w:r>
    </w:p>
    <w:p w14:paraId="1232EB0C"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Mushtaq, S. (2011). Resistance to Organizational Change: Successful Implementation of Change through Effective Communication. </w:t>
      </w:r>
      <w:r w:rsidRPr="00085EDF">
        <w:rPr>
          <w:rFonts w:ascii="Arial" w:hAnsi="Arial" w:cs="Arial"/>
          <w:i/>
          <w:iCs/>
          <w:sz w:val="22"/>
          <w:szCs w:val="22"/>
        </w:rPr>
        <w:t>SSRN Electronic Journal</w:t>
      </w:r>
      <w:r w:rsidRPr="00085EDF">
        <w:rPr>
          <w:rFonts w:ascii="Arial" w:hAnsi="Arial" w:cs="Arial"/>
          <w:sz w:val="22"/>
          <w:szCs w:val="22"/>
        </w:rPr>
        <w:t>, 1(1). doi:https://doi.org/10.2139/ssrn.1759034.</w:t>
      </w:r>
    </w:p>
    <w:p w14:paraId="466FEC2C"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Neill, M.S., Men, L.R. and Yue, C.A. (2019). How communication climate and organizational identification impact change. </w:t>
      </w:r>
      <w:r w:rsidRPr="00085EDF">
        <w:rPr>
          <w:rFonts w:ascii="Arial" w:hAnsi="Arial" w:cs="Arial"/>
          <w:i/>
          <w:iCs/>
          <w:sz w:val="22"/>
          <w:szCs w:val="22"/>
        </w:rPr>
        <w:t>Corporate Communications: An International Journal</w:t>
      </w:r>
      <w:r w:rsidRPr="00085EDF">
        <w:rPr>
          <w:rFonts w:ascii="Arial" w:hAnsi="Arial" w:cs="Arial"/>
          <w:sz w:val="22"/>
          <w:szCs w:val="22"/>
        </w:rPr>
        <w:t>, 25(2), pp.281–298. doi:https://doi.org/10.1108/ccij-06-2019-0063.</w:t>
      </w:r>
    </w:p>
    <w:p w14:paraId="4EC43265"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OFCOM (2020). </w:t>
      </w:r>
      <w:r w:rsidRPr="00085EDF">
        <w:rPr>
          <w:rFonts w:ascii="Arial" w:hAnsi="Arial" w:cs="Arial"/>
          <w:i/>
          <w:iCs/>
          <w:sz w:val="22"/>
          <w:szCs w:val="22"/>
        </w:rPr>
        <w:t>UK legislation relating to the postal industry</w:t>
      </w:r>
      <w:r w:rsidRPr="00085EDF">
        <w:rPr>
          <w:rFonts w:ascii="Arial" w:hAnsi="Arial" w:cs="Arial"/>
          <w:sz w:val="22"/>
          <w:szCs w:val="22"/>
        </w:rPr>
        <w:t>. [online] Ofcom. Available at: https://www.ofcom.org.uk/postal-services/information-for-the-postal-industry/uk-leg.</w:t>
      </w:r>
    </w:p>
    <w:p w14:paraId="57CE216F"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OFCOM (2022). </w:t>
      </w:r>
      <w:r w:rsidRPr="00085EDF">
        <w:rPr>
          <w:rFonts w:ascii="Arial" w:hAnsi="Arial" w:cs="Arial"/>
          <w:i/>
          <w:iCs/>
          <w:sz w:val="22"/>
          <w:szCs w:val="22"/>
        </w:rPr>
        <w:t>2022 Review of Postal Regulation Statement Non-confidential version: [</w:t>
      </w:r>
      <w:r w:rsidRPr="00085EDF">
        <w:rPr>
          <w:rFonts w:ascii="Arial" w:hAnsi="Arial" w:cs="Arial"/>
          <w:i/>
          <w:iCs/>
          <w:sz w:val="22"/>
          <w:szCs w:val="22"/>
        </w:rPr>
        <w:sym w:font="Symbol" w:char="F022"/>
      </w:r>
      <w:r w:rsidRPr="00085EDF">
        <w:rPr>
          <w:rFonts w:ascii="Arial" w:hAnsi="Arial" w:cs="Arial"/>
          <w:i/>
          <w:iCs/>
          <w:sz w:val="22"/>
          <w:szCs w:val="22"/>
        </w:rPr>
        <w:t>] marks confidential redactions</w:t>
      </w:r>
      <w:r w:rsidRPr="00085EDF">
        <w:rPr>
          <w:rFonts w:ascii="Arial" w:hAnsi="Arial" w:cs="Arial"/>
          <w:sz w:val="22"/>
          <w:szCs w:val="22"/>
        </w:rPr>
        <w:t>. [online] Available at: https://www.ofcom.org.uk/__data/assets/pdf_file/0023/240971/Statement-2022-Review-of-Postal-Regulation-Statement.pdf.</w:t>
      </w:r>
    </w:p>
    <w:p w14:paraId="19E589E0"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Olaf Weber (2016). </w:t>
      </w:r>
      <w:r w:rsidRPr="00085EDF">
        <w:rPr>
          <w:rFonts w:ascii="Arial" w:hAnsi="Arial" w:cs="Arial"/>
          <w:i/>
          <w:iCs/>
          <w:sz w:val="22"/>
          <w:szCs w:val="22"/>
        </w:rPr>
        <w:t>Sustainable banking and finance : managing the social and environmental impact of financial ... institutions.</w:t>
      </w:r>
      <w:r w:rsidRPr="00085EDF">
        <w:rPr>
          <w:rFonts w:ascii="Arial" w:hAnsi="Arial" w:cs="Arial"/>
          <w:sz w:val="22"/>
          <w:szCs w:val="22"/>
        </w:rPr>
        <w:t xml:space="preserve"> Univ Of Toronto Press.</w:t>
      </w:r>
    </w:p>
    <w:p w14:paraId="15E71518"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Pollack, J. and Pollack, R. (2015). Using Kotter’s Eight Stage Process to Manage an Organisational Change Program: Presentation and Practice. </w:t>
      </w:r>
      <w:r w:rsidRPr="00085EDF">
        <w:rPr>
          <w:rFonts w:ascii="Arial" w:hAnsi="Arial" w:cs="Arial"/>
          <w:i/>
          <w:iCs/>
          <w:sz w:val="22"/>
          <w:szCs w:val="22"/>
        </w:rPr>
        <w:t>Systemic Practice and Action Research</w:t>
      </w:r>
      <w:r w:rsidRPr="00085EDF">
        <w:rPr>
          <w:rFonts w:ascii="Arial" w:hAnsi="Arial" w:cs="Arial"/>
          <w:sz w:val="22"/>
          <w:szCs w:val="22"/>
        </w:rPr>
        <w:t>, 28(1), pp.51–66. doi:https://doi.org/10.1007/s11213-014-9317-0.</w:t>
      </w:r>
    </w:p>
    <w:p w14:paraId="5D20EE78"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Post Office (2021). </w:t>
      </w:r>
      <w:r w:rsidRPr="00085EDF">
        <w:rPr>
          <w:rFonts w:ascii="Arial" w:hAnsi="Arial" w:cs="Arial"/>
          <w:i/>
          <w:iCs/>
          <w:sz w:val="22"/>
          <w:szCs w:val="22"/>
        </w:rPr>
        <w:t>Who We Are</w:t>
      </w:r>
      <w:r w:rsidRPr="00085EDF">
        <w:rPr>
          <w:rFonts w:ascii="Arial" w:hAnsi="Arial" w:cs="Arial"/>
          <w:sz w:val="22"/>
          <w:szCs w:val="22"/>
        </w:rPr>
        <w:t>. [online] Postoffice.co.uk. Available at: https://corporate.postoffice.co.uk/en/about/our-story/who-we-are.</w:t>
      </w:r>
    </w:p>
    <w:p w14:paraId="536946A3"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Proctor, T. and Doukakis, I. (2003). Change management: the role of internal communication and employee development. </w:t>
      </w:r>
      <w:r w:rsidRPr="00085EDF">
        <w:rPr>
          <w:rFonts w:ascii="Arial" w:hAnsi="Arial" w:cs="Arial"/>
          <w:i/>
          <w:iCs/>
          <w:sz w:val="22"/>
          <w:szCs w:val="22"/>
        </w:rPr>
        <w:t>Corporate Communications: An International Journal</w:t>
      </w:r>
      <w:r w:rsidRPr="00085EDF">
        <w:rPr>
          <w:rFonts w:ascii="Arial" w:hAnsi="Arial" w:cs="Arial"/>
          <w:sz w:val="22"/>
          <w:szCs w:val="22"/>
        </w:rPr>
        <w:t>, 8(4), pp.268–277. doi:https://doi.org/10.1108/13563280310506430.</w:t>
      </w:r>
    </w:p>
    <w:p w14:paraId="08C7BB47"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lastRenderedPageBreak/>
        <w:t xml:space="preserve">Rozdolskaya, I.V. and Ledovskaya, M.E. (2015). Customer-Oriented Marketing Imperatives of Innovation in the Field of Organization Management Working on the Internal Consulting Principles. </w:t>
      </w:r>
      <w:r w:rsidRPr="00085EDF">
        <w:rPr>
          <w:rFonts w:ascii="Arial" w:hAnsi="Arial" w:cs="Arial"/>
          <w:i/>
          <w:iCs/>
          <w:sz w:val="22"/>
          <w:szCs w:val="22"/>
        </w:rPr>
        <w:t>Mediterranean Journal of Social Sciences</w:t>
      </w:r>
      <w:r w:rsidRPr="00085EDF">
        <w:rPr>
          <w:rFonts w:ascii="Arial" w:hAnsi="Arial" w:cs="Arial"/>
          <w:sz w:val="22"/>
          <w:szCs w:val="22"/>
        </w:rPr>
        <w:t>, [online] 6(3 S1), p.627. Available at: https://www.mcser.org/journal/index.php/mjss/article/view/6452 [Accessed 11 Aug. 2023].</w:t>
      </w:r>
    </w:p>
    <w:p w14:paraId="71684105"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Sartori, R., Costantini, A., Ceschi, A. and Tommasi, F. (2018). How Do You Manage Change in Organizations? Training, Development, Innovation, and Their Relationships. </w:t>
      </w:r>
      <w:r w:rsidRPr="00085EDF">
        <w:rPr>
          <w:rFonts w:ascii="Arial" w:hAnsi="Arial" w:cs="Arial"/>
          <w:i/>
          <w:iCs/>
          <w:sz w:val="22"/>
          <w:szCs w:val="22"/>
        </w:rPr>
        <w:t>Frontiers in Psychology</w:t>
      </w:r>
      <w:r w:rsidRPr="00085EDF">
        <w:rPr>
          <w:rFonts w:ascii="Arial" w:hAnsi="Arial" w:cs="Arial"/>
          <w:sz w:val="22"/>
          <w:szCs w:val="22"/>
        </w:rPr>
        <w:t>, 9(313). doi:https://doi.org/10.3389/fpsyg.2018.00313.</w:t>
      </w:r>
    </w:p>
    <w:p w14:paraId="47935FCA" w14:textId="244E4460"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Scott, </w:t>
      </w:r>
      <w:r w:rsidR="00463E82" w:rsidRPr="00085EDF">
        <w:rPr>
          <w:rFonts w:ascii="Arial" w:hAnsi="Arial" w:cs="Arial"/>
          <w:sz w:val="22"/>
          <w:szCs w:val="22"/>
        </w:rPr>
        <w:t>B.,</w:t>
      </w:r>
      <w:r w:rsidRPr="00085EDF">
        <w:rPr>
          <w:rFonts w:ascii="Arial" w:hAnsi="Arial" w:cs="Arial"/>
          <w:sz w:val="22"/>
          <w:szCs w:val="22"/>
        </w:rPr>
        <w:t xml:space="preserve"> and B Kim Barnes (2011). </w:t>
      </w:r>
      <w:r w:rsidRPr="00085EDF">
        <w:rPr>
          <w:rFonts w:ascii="Arial" w:hAnsi="Arial" w:cs="Arial"/>
          <w:i/>
          <w:iCs/>
          <w:sz w:val="22"/>
          <w:szCs w:val="22"/>
        </w:rPr>
        <w:t>Consulting on the inside a practical guide for internal consultants</w:t>
      </w:r>
      <w:r w:rsidRPr="00085EDF">
        <w:rPr>
          <w:rFonts w:ascii="Arial" w:hAnsi="Arial" w:cs="Arial"/>
          <w:sz w:val="22"/>
          <w:szCs w:val="22"/>
        </w:rPr>
        <w:t>. Alexandria Astd.</w:t>
      </w:r>
    </w:p>
    <w:p w14:paraId="7BCEB5B3"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Senior, B. and Fleming, J. (2006). </w:t>
      </w:r>
      <w:r w:rsidRPr="00085EDF">
        <w:rPr>
          <w:rFonts w:ascii="Arial" w:hAnsi="Arial" w:cs="Arial"/>
          <w:i/>
          <w:iCs/>
          <w:sz w:val="22"/>
          <w:szCs w:val="22"/>
        </w:rPr>
        <w:t>Organizational change</w:t>
      </w:r>
      <w:r w:rsidRPr="00085EDF">
        <w:rPr>
          <w:rFonts w:ascii="Arial" w:hAnsi="Arial" w:cs="Arial"/>
          <w:sz w:val="22"/>
          <w:szCs w:val="22"/>
        </w:rPr>
        <w:t>. 3rd ed. Harlow, England ; New York: Prentice Hall/Financial Times.</w:t>
      </w:r>
    </w:p>
    <w:p w14:paraId="441D94C1"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Simmons, S.V. and Yawson, R.M. (2022). Developing Leaders for Disruptive Change: An Inclusive Leadership Approach. </w:t>
      </w:r>
      <w:r w:rsidRPr="00085EDF">
        <w:rPr>
          <w:rFonts w:ascii="Arial" w:hAnsi="Arial" w:cs="Arial"/>
          <w:i/>
          <w:iCs/>
          <w:sz w:val="22"/>
          <w:szCs w:val="22"/>
        </w:rPr>
        <w:t>Advances in Developing Human Resources</w:t>
      </w:r>
      <w:r w:rsidRPr="00085EDF">
        <w:rPr>
          <w:rFonts w:ascii="Arial" w:hAnsi="Arial" w:cs="Arial"/>
          <w:sz w:val="22"/>
          <w:szCs w:val="22"/>
        </w:rPr>
        <w:t>, 24(4), p.152342232211143. doi:https://doi.org/10.1177/15234223221114359.</w:t>
      </w:r>
    </w:p>
    <w:p w14:paraId="3DE08C5A"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Sturdy, A. (2011). </w:t>
      </w:r>
      <w:r w:rsidRPr="00085EDF">
        <w:rPr>
          <w:rFonts w:ascii="Arial" w:hAnsi="Arial" w:cs="Arial"/>
          <w:i/>
          <w:iCs/>
          <w:sz w:val="22"/>
          <w:szCs w:val="22"/>
        </w:rPr>
        <w:t>INTERNAL CONSULTANTS AS AGENTS OF CHANGE</w:t>
      </w:r>
      <w:r w:rsidRPr="00085EDF">
        <w:rPr>
          <w:rFonts w:ascii="Arial" w:hAnsi="Arial" w:cs="Arial"/>
          <w:sz w:val="22"/>
          <w:szCs w:val="22"/>
        </w:rPr>
        <w:t>. [online] Available at: https://www.bayes.city.ac.uk/__data/assets/pdf_file/0007/107179/InternalConsultants.pdf.</w:t>
      </w:r>
    </w:p>
    <w:p w14:paraId="6A75232C" w14:textId="52DC04D0"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Sturdy, A. and Wright, C. (2011). The active client: The boundary-spanning roles of internal consultants as gatekeepers, </w:t>
      </w:r>
      <w:r w:rsidR="00463E82" w:rsidRPr="00085EDF">
        <w:rPr>
          <w:rFonts w:ascii="Arial" w:hAnsi="Arial" w:cs="Arial"/>
          <w:sz w:val="22"/>
          <w:szCs w:val="22"/>
        </w:rPr>
        <w:t>brokers,</w:t>
      </w:r>
      <w:r w:rsidRPr="00085EDF">
        <w:rPr>
          <w:rFonts w:ascii="Arial" w:hAnsi="Arial" w:cs="Arial"/>
          <w:sz w:val="22"/>
          <w:szCs w:val="22"/>
        </w:rPr>
        <w:t xml:space="preserve"> and partners of their external counterparts. </w:t>
      </w:r>
      <w:r w:rsidRPr="00085EDF">
        <w:rPr>
          <w:rFonts w:ascii="Arial" w:hAnsi="Arial" w:cs="Arial"/>
          <w:i/>
          <w:iCs/>
          <w:sz w:val="22"/>
          <w:szCs w:val="22"/>
        </w:rPr>
        <w:t>Management Learning</w:t>
      </w:r>
      <w:r w:rsidRPr="00085EDF">
        <w:rPr>
          <w:rFonts w:ascii="Arial" w:hAnsi="Arial" w:cs="Arial"/>
          <w:sz w:val="22"/>
          <w:szCs w:val="22"/>
        </w:rPr>
        <w:t>, 42(5), pp.485–503. doi:https://doi.org/10.1177/1350507611401536.</w:t>
      </w:r>
    </w:p>
    <w:p w14:paraId="2AD33DF4"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i/>
          <w:iCs/>
          <w:sz w:val="22"/>
          <w:szCs w:val="22"/>
        </w:rPr>
        <w:t>The Postal Services (Universal Postal Service) Order 2012</w:t>
      </w:r>
      <w:r w:rsidRPr="00085EDF">
        <w:rPr>
          <w:rFonts w:ascii="Arial" w:hAnsi="Arial" w:cs="Arial"/>
          <w:sz w:val="22"/>
          <w:szCs w:val="22"/>
        </w:rPr>
        <w:t>. Available at: https://www.ofcom.org.uk/__data/assets/pdf_file/0027/71784/annex6.pdf.</w:t>
      </w:r>
    </w:p>
    <w:p w14:paraId="04FC93DC" w14:textId="77777777"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UK GOV (2020). Post Office Limited: Shareholder Relationship Framework Document. [online] Available at: https://assets.publishing.service.gov.uk/government/uploads/system/uploads/attachment_data/file/874283/post-office-limited-shareholder-relationship-framework-part-1.pdf.</w:t>
      </w:r>
    </w:p>
    <w:p w14:paraId="68C106B5" w14:textId="1B1B091C" w:rsidR="00B259CD" w:rsidRPr="00085EDF" w:rsidRDefault="00B259CD" w:rsidP="00085EDF">
      <w:pPr>
        <w:pStyle w:val="NormalWeb"/>
        <w:spacing w:before="0" w:beforeAutospacing="0" w:after="240" w:afterAutospacing="0" w:line="360" w:lineRule="auto"/>
        <w:rPr>
          <w:rFonts w:ascii="Arial" w:hAnsi="Arial" w:cs="Arial"/>
          <w:sz w:val="22"/>
          <w:szCs w:val="22"/>
        </w:rPr>
      </w:pPr>
      <w:r w:rsidRPr="00085EDF">
        <w:rPr>
          <w:rFonts w:ascii="Arial" w:hAnsi="Arial" w:cs="Arial"/>
          <w:sz w:val="22"/>
          <w:szCs w:val="22"/>
        </w:rPr>
        <w:t xml:space="preserve">Wambach, L. (2013). </w:t>
      </w:r>
      <w:r w:rsidRPr="00085EDF">
        <w:rPr>
          <w:rFonts w:ascii="Arial" w:hAnsi="Arial" w:cs="Arial"/>
          <w:i/>
          <w:iCs/>
          <w:sz w:val="22"/>
          <w:szCs w:val="22"/>
        </w:rPr>
        <w:t>Internal consultants as positive change agents</w:t>
      </w:r>
      <w:r w:rsidRPr="00085EDF">
        <w:rPr>
          <w:rFonts w:ascii="Arial" w:hAnsi="Arial" w:cs="Arial"/>
          <w:sz w:val="22"/>
          <w:szCs w:val="22"/>
        </w:rPr>
        <w:t>. [online] run.unl.pt. Available at: https://run.unl.pt/handle/10362/11647 [Accessed 11 Aug. 2023].</w:t>
      </w:r>
    </w:p>
    <w:p w14:paraId="77394877" w14:textId="77777777" w:rsidR="00B259CD" w:rsidRPr="00085EDF" w:rsidRDefault="00B259CD" w:rsidP="00085EDF">
      <w:pPr>
        <w:spacing w:line="360" w:lineRule="auto"/>
        <w:rPr>
          <w:rFonts w:ascii="Arial" w:eastAsia="Times New Roman" w:hAnsi="Arial" w:cs="Arial"/>
          <w:kern w:val="0"/>
          <w:lang w:eastAsia="en-GB"/>
          <w14:ligatures w14:val="none"/>
        </w:rPr>
      </w:pPr>
      <w:r w:rsidRPr="00085EDF">
        <w:rPr>
          <w:rFonts w:ascii="Arial" w:hAnsi="Arial" w:cs="Arial"/>
        </w:rPr>
        <w:br w:type="page"/>
      </w:r>
    </w:p>
    <w:p w14:paraId="0735195F" w14:textId="4ECB6ABC" w:rsidR="00B259CD" w:rsidRPr="00085EDF" w:rsidRDefault="00B259CD" w:rsidP="00085EDF">
      <w:pPr>
        <w:pStyle w:val="Heading1"/>
        <w:spacing w:line="360" w:lineRule="auto"/>
        <w:rPr>
          <w:rFonts w:ascii="Arial" w:hAnsi="Arial" w:cs="Arial"/>
          <w:sz w:val="22"/>
          <w:szCs w:val="22"/>
        </w:rPr>
      </w:pPr>
      <w:bookmarkStart w:id="21" w:name="_Toc142665992"/>
      <w:r w:rsidRPr="00085EDF">
        <w:rPr>
          <w:rFonts w:ascii="Arial" w:hAnsi="Arial" w:cs="Arial"/>
          <w:sz w:val="22"/>
          <w:szCs w:val="22"/>
        </w:rPr>
        <w:lastRenderedPageBreak/>
        <w:t>Appendix 1</w:t>
      </w:r>
      <w:r w:rsidR="00C66D78" w:rsidRPr="00085EDF">
        <w:rPr>
          <w:rFonts w:ascii="Arial" w:hAnsi="Arial" w:cs="Arial"/>
          <w:sz w:val="22"/>
          <w:szCs w:val="22"/>
        </w:rPr>
        <w:t>: Interview Transcript with Tian Currie &amp; Micheal Thomas</w:t>
      </w:r>
      <w:bookmarkEnd w:id="21"/>
    </w:p>
    <w:p w14:paraId="727D537D" w14:textId="77777777" w:rsidR="005C7A3E" w:rsidRPr="00085EDF" w:rsidRDefault="005C7A3E" w:rsidP="00085EDF">
      <w:pPr>
        <w:spacing w:line="360" w:lineRule="auto"/>
        <w:rPr>
          <w:rFonts w:ascii="Arial" w:hAnsi="Arial" w:cs="Arial"/>
        </w:rPr>
      </w:pPr>
      <w:r w:rsidRPr="00085EDF">
        <w:rPr>
          <w:rFonts w:ascii="Arial" w:hAnsi="Arial" w:cs="Arial"/>
        </w:rPr>
        <w:t>**Interviewer (00:00):** Hey there, thanks for taking the time to chat with me. Let's dive right in. Could you tell me a bit about yourself and your connection with the UK Post Office?</w:t>
      </w:r>
    </w:p>
    <w:p w14:paraId="01544738" w14:textId="77777777" w:rsidR="005C7A3E" w:rsidRPr="00085EDF" w:rsidRDefault="005C7A3E" w:rsidP="00085EDF">
      <w:pPr>
        <w:spacing w:line="360" w:lineRule="auto"/>
        <w:rPr>
          <w:rFonts w:ascii="Arial" w:hAnsi="Arial" w:cs="Arial"/>
        </w:rPr>
      </w:pPr>
      <w:r w:rsidRPr="00085EDF">
        <w:rPr>
          <w:rFonts w:ascii="Arial" w:hAnsi="Arial" w:cs="Arial"/>
        </w:rPr>
        <w:t>**Michael (00:15):** Sure thing! I'm Michael, and I'm studying business management here at the university. I've always been intrigued by how organisations manage change, which is why I've been digging into organisational behaviour and change management during my studies. While I'm not working at the Post Office, I've been a long-time customer and have seen some of the challenges they're facing firsthand.</w:t>
      </w:r>
    </w:p>
    <w:p w14:paraId="50A83A85" w14:textId="77777777" w:rsidR="005C7A3E" w:rsidRPr="00085EDF" w:rsidRDefault="005C7A3E" w:rsidP="00085EDF">
      <w:pPr>
        <w:spacing w:line="360" w:lineRule="auto"/>
        <w:rPr>
          <w:rFonts w:ascii="Arial" w:hAnsi="Arial" w:cs="Arial"/>
        </w:rPr>
      </w:pPr>
      <w:r w:rsidRPr="00085EDF">
        <w:rPr>
          <w:rFonts w:ascii="Arial" w:hAnsi="Arial" w:cs="Arial"/>
        </w:rPr>
        <w:t>**Interviewer (00:30):** That's awesome, Michael. Given your insights, could you share what you think are the primary issues the UK Post Office is dealing with?</w:t>
      </w:r>
    </w:p>
    <w:p w14:paraId="2323D49E" w14:textId="77777777" w:rsidR="005C7A3E" w:rsidRPr="00085EDF" w:rsidRDefault="005C7A3E" w:rsidP="00085EDF">
      <w:pPr>
        <w:spacing w:line="360" w:lineRule="auto"/>
        <w:rPr>
          <w:rFonts w:ascii="Arial" w:hAnsi="Arial" w:cs="Arial"/>
        </w:rPr>
      </w:pPr>
      <w:r w:rsidRPr="00085EDF">
        <w:rPr>
          <w:rFonts w:ascii="Arial" w:hAnsi="Arial" w:cs="Arial"/>
        </w:rPr>
        <w:t>**Michael (00:45):** Definitely. The Post Office has a lot on its plate. There's the issue of workers being paid low wages, which affects their motivation and the overall quality of service. I've also heard about occasional strikes due to labour disputes, which can disrupt operations and make customers frustrated. On top of that, with everyone going digital, mail volumes are dropping, and I know that's got to be tough. Plus, there's that IT system mess with Horizon that's caused a lot of controversy.</w:t>
      </w:r>
    </w:p>
    <w:p w14:paraId="16501FC5" w14:textId="77777777" w:rsidR="005C7A3E" w:rsidRPr="00085EDF" w:rsidRDefault="005C7A3E" w:rsidP="00085EDF">
      <w:pPr>
        <w:spacing w:line="360" w:lineRule="auto"/>
        <w:rPr>
          <w:rFonts w:ascii="Arial" w:hAnsi="Arial" w:cs="Arial"/>
        </w:rPr>
      </w:pPr>
      <w:r w:rsidRPr="00085EDF">
        <w:rPr>
          <w:rFonts w:ascii="Arial" w:hAnsi="Arial" w:cs="Arial"/>
        </w:rPr>
        <w:t>**Interviewer (01:15):** You've covered it well, Michael. So, with these challenges in mind, how do you think the Post Office should tackle them?</w:t>
      </w:r>
    </w:p>
    <w:p w14:paraId="0E66987A" w14:textId="77777777" w:rsidR="005C7A3E" w:rsidRPr="00085EDF" w:rsidRDefault="005C7A3E" w:rsidP="00085EDF">
      <w:pPr>
        <w:spacing w:line="360" w:lineRule="auto"/>
        <w:rPr>
          <w:rFonts w:ascii="Arial" w:hAnsi="Arial" w:cs="Arial"/>
        </w:rPr>
      </w:pPr>
      <w:r w:rsidRPr="00085EDF">
        <w:rPr>
          <w:rFonts w:ascii="Arial" w:hAnsi="Arial" w:cs="Arial"/>
        </w:rPr>
        <w:t>**Michael (01:30):** I think they should take a multi-pronged approach. First off, they need to make sure workers are fairly compensated and create a positive work environment to keep them motivated. Then, they've got to embrace the digital wave – improve online services and maybe even offer new digital options. And yeah, that IT system needs some major fixing to restore trust and reliability.</w:t>
      </w:r>
    </w:p>
    <w:p w14:paraId="0414E38B" w14:textId="77777777" w:rsidR="005C7A3E" w:rsidRPr="00085EDF" w:rsidRDefault="005C7A3E" w:rsidP="00085EDF">
      <w:pPr>
        <w:spacing w:line="360" w:lineRule="auto"/>
        <w:rPr>
          <w:rFonts w:ascii="Arial" w:hAnsi="Arial" w:cs="Arial"/>
        </w:rPr>
      </w:pPr>
      <w:r w:rsidRPr="00085EDF">
        <w:rPr>
          <w:rFonts w:ascii="Arial" w:hAnsi="Arial" w:cs="Arial"/>
        </w:rPr>
        <w:t>**Interviewer (01:55):** Solid suggestions, Michael. How do you see a consultant playing a role in all this?</w:t>
      </w:r>
    </w:p>
    <w:p w14:paraId="6D3F29F0" w14:textId="77777777" w:rsidR="005C7A3E" w:rsidRPr="00085EDF" w:rsidRDefault="005C7A3E" w:rsidP="00085EDF">
      <w:pPr>
        <w:spacing w:line="360" w:lineRule="auto"/>
        <w:rPr>
          <w:rFonts w:ascii="Arial" w:hAnsi="Arial" w:cs="Arial"/>
        </w:rPr>
      </w:pPr>
      <w:r w:rsidRPr="00085EDF">
        <w:rPr>
          <w:rFonts w:ascii="Arial" w:hAnsi="Arial" w:cs="Arial"/>
        </w:rPr>
        <w:t>**Michael (02:10):** Consultants could be a game-changer here. They could bring in fresh eyes and expertise to help the Post Office navigate these issues. They'd analyse the situation, come up with tailored strategies, and guide the actual changes. And let's not forget, they can point out things the Post Office might not see because they're too close to the action.</w:t>
      </w:r>
    </w:p>
    <w:p w14:paraId="3C805BB3" w14:textId="77777777" w:rsidR="005C7A3E" w:rsidRPr="00085EDF" w:rsidRDefault="005C7A3E" w:rsidP="00085EDF">
      <w:pPr>
        <w:spacing w:line="360" w:lineRule="auto"/>
        <w:rPr>
          <w:rFonts w:ascii="Arial" w:hAnsi="Arial" w:cs="Arial"/>
        </w:rPr>
      </w:pPr>
      <w:r w:rsidRPr="00085EDF">
        <w:rPr>
          <w:rFonts w:ascii="Arial" w:hAnsi="Arial" w:cs="Arial"/>
        </w:rPr>
        <w:t>**Interviewer (02:35):** Right on. Speaking of which, who do you think would be impacted by these changes?</w:t>
      </w:r>
    </w:p>
    <w:p w14:paraId="05A89EBB" w14:textId="77777777" w:rsidR="005C7A3E" w:rsidRPr="00085EDF" w:rsidRDefault="005C7A3E" w:rsidP="00085EDF">
      <w:pPr>
        <w:spacing w:line="360" w:lineRule="auto"/>
        <w:rPr>
          <w:rFonts w:ascii="Arial" w:hAnsi="Arial" w:cs="Arial"/>
        </w:rPr>
      </w:pPr>
      <w:r w:rsidRPr="00085EDF">
        <w:rPr>
          <w:rFonts w:ascii="Arial" w:hAnsi="Arial" w:cs="Arial"/>
        </w:rPr>
        <w:lastRenderedPageBreak/>
        <w:t>**Michael (02:50):** It's like a ripple effect, you know? Workers would obviously be affected, in a good way, with better wages and working conditions. Management would benefit from smoother operations and happier employees. Customers would get improved services, which is a win-win. Shareholders would be keen on a more efficient and profitable Post Office. And even the government, as a stakeholder, would be interested in seeing the organisation meet its public service obligations.</w:t>
      </w:r>
    </w:p>
    <w:p w14:paraId="0EB8E8C3" w14:textId="2C5B2E6F" w:rsidR="005C7A3E" w:rsidRPr="00085EDF" w:rsidRDefault="005C7A3E" w:rsidP="00085EDF">
      <w:pPr>
        <w:spacing w:line="360" w:lineRule="auto"/>
        <w:rPr>
          <w:rFonts w:ascii="Arial" w:hAnsi="Arial" w:cs="Arial"/>
        </w:rPr>
      </w:pPr>
      <w:r w:rsidRPr="00085EDF">
        <w:rPr>
          <w:rFonts w:ascii="Arial" w:hAnsi="Arial" w:cs="Arial"/>
        </w:rPr>
        <w:t>**Interviewer (03:15):** Well put, Michael. Could you briefly differentiate between what internal and external consultants can bring to the table?</w:t>
      </w:r>
    </w:p>
    <w:p w14:paraId="66C63DC1" w14:textId="77777777" w:rsidR="005C7A3E" w:rsidRPr="00085EDF" w:rsidRDefault="005C7A3E" w:rsidP="00085EDF">
      <w:pPr>
        <w:spacing w:line="360" w:lineRule="auto"/>
        <w:rPr>
          <w:rFonts w:ascii="Arial" w:hAnsi="Arial" w:cs="Arial"/>
        </w:rPr>
      </w:pPr>
      <w:r w:rsidRPr="00085EDF">
        <w:rPr>
          <w:rFonts w:ascii="Arial" w:hAnsi="Arial" w:cs="Arial"/>
        </w:rPr>
        <w:t>**Michael (03:30):** Sure thing. Internal consultants know the organisation inside out. They get the culture, the processes, and the history. On the flip side, external consultants bring in fresh ideas, different industry experiences, and they're not bound by any internal biases.</w:t>
      </w:r>
    </w:p>
    <w:p w14:paraId="402A8BB2" w14:textId="77777777" w:rsidR="005C7A3E" w:rsidRPr="00085EDF" w:rsidRDefault="005C7A3E" w:rsidP="00085EDF">
      <w:pPr>
        <w:spacing w:line="360" w:lineRule="auto"/>
        <w:rPr>
          <w:rFonts w:ascii="Arial" w:hAnsi="Arial" w:cs="Arial"/>
        </w:rPr>
      </w:pPr>
      <w:r w:rsidRPr="00085EDF">
        <w:rPr>
          <w:rFonts w:ascii="Arial" w:hAnsi="Arial" w:cs="Arial"/>
        </w:rPr>
        <w:t>**Interviewer (03:50):** Got it. Now, what's your take on internal consultants' ability to analyse these issues?</w:t>
      </w:r>
    </w:p>
    <w:p w14:paraId="54FB9C52" w14:textId="77777777" w:rsidR="005C7A3E" w:rsidRPr="00085EDF" w:rsidRDefault="005C7A3E" w:rsidP="00085EDF">
      <w:pPr>
        <w:spacing w:line="360" w:lineRule="auto"/>
        <w:rPr>
          <w:rFonts w:ascii="Arial" w:hAnsi="Arial" w:cs="Arial"/>
        </w:rPr>
      </w:pPr>
      <w:r w:rsidRPr="00085EDF">
        <w:rPr>
          <w:rFonts w:ascii="Arial" w:hAnsi="Arial" w:cs="Arial"/>
        </w:rPr>
        <w:t>**Michael (04:05):** They definitely have a head start with their insider knowledge. But sometimes, being too close to the situation can make them miss the forest for the trees. That's where external consultants come in – they can question assumptions and dig into things internal folks might take for granted.</w:t>
      </w:r>
    </w:p>
    <w:p w14:paraId="0DFB879F" w14:textId="77777777" w:rsidR="005C7A3E" w:rsidRPr="00085EDF" w:rsidRDefault="005C7A3E" w:rsidP="00085EDF">
      <w:pPr>
        <w:spacing w:line="360" w:lineRule="auto"/>
        <w:rPr>
          <w:rFonts w:ascii="Arial" w:hAnsi="Arial" w:cs="Arial"/>
        </w:rPr>
      </w:pPr>
      <w:r w:rsidRPr="00085EDF">
        <w:rPr>
          <w:rFonts w:ascii="Arial" w:hAnsi="Arial" w:cs="Arial"/>
        </w:rPr>
        <w:t>**Interviewer (04:25):** Good point. Thinking about the urgency of the problems, how do you think internal and external consultants fit in?</w:t>
      </w:r>
    </w:p>
    <w:p w14:paraId="49B81DE4" w14:textId="77777777" w:rsidR="005C7A3E" w:rsidRPr="00085EDF" w:rsidRDefault="005C7A3E" w:rsidP="00085EDF">
      <w:pPr>
        <w:spacing w:line="360" w:lineRule="auto"/>
        <w:rPr>
          <w:rFonts w:ascii="Arial" w:hAnsi="Arial" w:cs="Arial"/>
        </w:rPr>
      </w:pPr>
      <w:r w:rsidRPr="00085EDF">
        <w:rPr>
          <w:rFonts w:ascii="Arial" w:hAnsi="Arial" w:cs="Arial"/>
        </w:rPr>
        <w:t>**Michael (04:40):** If the Post Office needs a quick turnaround, external consultants might be the way to go. They're used to adapting to new environments and can bring in a sense of urgency. Internal consultants might be great for a more gradual change, using their knowledge to make steady progress.</w:t>
      </w:r>
    </w:p>
    <w:p w14:paraId="69F571D5" w14:textId="77777777" w:rsidR="005C7A3E" w:rsidRPr="00085EDF" w:rsidRDefault="005C7A3E" w:rsidP="00085EDF">
      <w:pPr>
        <w:spacing w:line="360" w:lineRule="auto"/>
        <w:rPr>
          <w:rFonts w:ascii="Arial" w:hAnsi="Arial" w:cs="Arial"/>
        </w:rPr>
      </w:pPr>
      <w:r w:rsidRPr="00085EDF">
        <w:rPr>
          <w:rFonts w:ascii="Arial" w:hAnsi="Arial" w:cs="Arial"/>
        </w:rPr>
        <w:t>**Interviewer (05:00):** True. Can you break down the process from entry to diagnosis according to Cumming's and Worley's model?</w:t>
      </w:r>
    </w:p>
    <w:p w14:paraId="56320F13" w14:textId="07EDC52E" w:rsidR="005C7A3E" w:rsidRPr="00085EDF" w:rsidRDefault="002301F0" w:rsidP="00085EDF">
      <w:pPr>
        <w:spacing w:line="360" w:lineRule="auto"/>
        <w:rPr>
          <w:rFonts w:ascii="Arial" w:hAnsi="Arial" w:cs="Arial"/>
        </w:rPr>
      </w:pPr>
      <w:r w:rsidRPr="00085EDF">
        <w:rPr>
          <w:rFonts w:ascii="Arial" w:hAnsi="Arial" w:cs="Arial"/>
        </w:rPr>
        <w:t>*</w:t>
      </w:r>
      <w:r w:rsidR="005C7A3E" w:rsidRPr="00085EDF">
        <w:rPr>
          <w:rFonts w:ascii="Arial" w:hAnsi="Arial" w:cs="Arial"/>
        </w:rPr>
        <w:t>*Michael (05:15):** Totally. So first, the consultant builds rapport with the client and understands the organisation's culture. Then, they dive into data collection – surveys, interviews, whatever it takes. Once they've got that, they analyse the data to figure out the root causes. After that, it's all about presenting their findings and recommendations, and finally, helping the client come up with an action plan for change.</w:t>
      </w:r>
    </w:p>
    <w:p w14:paraId="172E2142" w14:textId="77777777" w:rsidR="005C7A3E" w:rsidRPr="00085EDF" w:rsidRDefault="005C7A3E" w:rsidP="00085EDF">
      <w:pPr>
        <w:spacing w:line="360" w:lineRule="auto"/>
        <w:rPr>
          <w:rFonts w:ascii="Arial" w:hAnsi="Arial" w:cs="Arial"/>
        </w:rPr>
      </w:pPr>
      <w:r w:rsidRPr="00085EDF">
        <w:rPr>
          <w:rFonts w:ascii="Arial" w:hAnsi="Arial" w:cs="Arial"/>
        </w:rPr>
        <w:t>**Interviewer (05:45):** You've got it down, Michael. When it comes to innovations for growth, who do you think would be more effective – internal or external consultants?</w:t>
      </w:r>
    </w:p>
    <w:p w14:paraId="30CFEF98" w14:textId="77777777" w:rsidR="005C7A3E" w:rsidRPr="00085EDF" w:rsidRDefault="005C7A3E" w:rsidP="00085EDF">
      <w:pPr>
        <w:spacing w:line="360" w:lineRule="auto"/>
        <w:rPr>
          <w:rFonts w:ascii="Arial" w:hAnsi="Arial" w:cs="Arial"/>
        </w:rPr>
      </w:pPr>
      <w:r w:rsidRPr="00085EDF">
        <w:rPr>
          <w:rFonts w:ascii="Arial" w:hAnsi="Arial" w:cs="Arial"/>
        </w:rPr>
        <w:lastRenderedPageBreak/>
        <w:t>**Michael (06:00):** It's a bit of both. Internal consultants can use their inside scoop to drive changes that fit the company's identity. But when it's about shaking things up and bringing in new ideas, external consultants can rock the boat in a good way. I'd say a mix of both could bring out the best in this situation.</w:t>
      </w:r>
    </w:p>
    <w:p w14:paraId="663230ED" w14:textId="77777777" w:rsidR="005C7A3E" w:rsidRPr="00085EDF" w:rsidRDefault="005C7A3E" w:rsidP="00085EDF">
      <w:pPr>
        <w:spacing w:line="360" w:lineRule="auto"/>
        <w:rPr>
          <w:rFonts w:ascii="Arial" w:hAnsi="Arial" w:cs="Arial"/>
        </w:rPr>
      </w:pPr>
      <w:r w:rsidRPr="00085EDF">
        <w:rPr>
          <w:rFonts w:ascii="Arial" w:hAnsi="Arial" w:cs="Arial"/>
        </w:rPr>
        <w:t>**Interviewer (06:20):** That's a balanced view. Shifting gears, how could an external consultant ensure that employees adopt and sustain the changes?</w:t>
      </w:r>
    </w:p>
    <w:p w14:paraId="44E3DC4C" w14:textId="77777777" w:rsidR="005C7A3E" w:rsidRPr="00085EDF" w:rsidRDefault="005C7A3E" w:rsidP="00085EDF">
      <w:pPr>
        <w:spacing w:line="360" w:lineRule="auto"/>
        <w:rPr>
          <w:rFonts w:ascii="Arial" w:hAnsi="Arial" w:cs="Arial"/>
        </w:rPr>
      </w:pPr>
      <w:r w:rsidRPr="00085EDF">
        <w:rPr>
          <w:rFonts w:ascii="Arial" w:hAnsi="Arial" w:cs="Arial"/>
        </w:rPr>
        <w:t>**Michael (06:35):** The key is involvement. If an external consultant collaborates closely with employees, gets their input, and shows them the "what's in it for me," the chances of adoption go way up. They'd also need to provide proper training and ongoing support to make sure everyone's on the same page.</w:t>
      </w:r>
    </w:p>
    <w:p w14:paraId="026D3A03" w14:textId="77777777" w:rsidR="005C7A3E" w:rsidRPr="00085EDF" w:rsidRDefault="005C7A3E" w:rsidP="00085EDF">
      <w:pPr>
        <w:spacing w:line="360" w:lineRule="auto"/>
        <w:rPr>
          <w:rFonts w:ascii="Arial" w:hAnsi="Arial" w:cs="Arial"/>
        </w:rPr>
      </w:pPr>
      <w:r w:rsidRPr="00085EDF">
        <w:rPr>
          <w:rFonts w:ascii="Arial" w:hAnsi="Arial" w:cs="Arial"/>
        </w:rPr>
        <w:t>**Interviewer (06:55):** Makes sense. What do you think is the purpose of these changes at the UK Post Office?</w:t>
      </w:r>
    </w:p>
    <w:p w14:paraId="3255F90B" w14:textId="77777777" w:rsidR="005C7A3E" w:rsidRPr="00085EDF" w:rsidRDefault="005C7A3E" w:rsidP="00085EDF">
      <w:pPr>
        <w:spacing w:line="360" w:lineRule="auto"/>
        <w:rPr>
          <w:rFonts w:ascii="Arial" w:hAnsi="Arial" w:cs="Arial"/>
        </w:rPr>
      </w:pPr>
      <w:r w:rsidRPr="00085EDF">
        <w:rPr>
          <w:rFonts w:ascii="Arial" w:hAnsi="Arial" w:cs="Arial"/>
        </w:rPr>
        <w:t>**Michael (07:10):** Simple – survival and growth. They need to tackle these challenges head-on to stay relevant and keep up with the times. By fixing the wages, improving services, and sorting out that IT mess, they're setting themselves up for success in a changing market.</w:t>
      </w:r>
    </w:p>
    <w:p w14:paraId="5A55F649" w14:textId="77777777" w:rsidR="005C7A3E" w:rsidRPr="00085EDF" w:rsidRDefault="005C7A3E" w:rsidP="00085EDF">
      <w:pPr>
        <w:spacing w:line="360" w:lineRule="auto"/>
        <w:rPr>
          <w:rFonts w:ascii="Arial" w:hAnsi="Arial" w:cs="Arial"/>
        </w:rPr>
      </w:pPr>
      <w:r w:rsidRPr="00085EDF">
        <w:rPr>
          <w:rFonts w:ascii="Arial" w:hAnsi="Arial" w:cs="Arial"/>
        </w:rPr>
        <w:t>**Interviewer (07:30):** Why, in your opinion, are these changes necessary?</w:t>
      </w:r>
    </w:p>
    <w:p w14:paraId="0CA94636" w14:textId="77777777" w:rsidR="002301F0" w:rsidRPr="00085EDF" w:rsidRDefault="005C7A3E" w:rsidP="00085EDF">
      <w:pPr>
        <w:spacing w:line="360" w:lineRule="auto"/>
        <w:rPr>
          <w:rFonts w:ascii="Arial" w:hAnsi="Arial" w:cs="Arial"/>
        </w:rPr>
      </w:pPr>
      <w:r w:rsidRPr="00085EDF">
        <w:rPr>
          <w:rFonts w:ascii="Arial" w:hAnsi="Arial" w:cs="Arial"/>
        </w:rPr>
        <w:t>**Michael (07:45):** Because if they don't change, they'll struggle. Low wages and labour disputes affect the work environment and quality of service. With everyone going digital, they've got to adapt to avoid getting left behind. And that IT issue is a ticking time bomb – it could disrupt everything if not sorted out.</w:t>
      </w:r>
    </w:p>
    <w:p w14:paraId="64E2B8E1" w14:textId="0AE19F4F" w:rsidR="005C7A3E" w:rsidRPr="00085EDF" w:rsidRDefault="005C7A3E" w:rsidP="00085EDF">
      <w:pPr>
        <w:spacing w:line="360" w:lineRule="auto"/>
        <w:rPr>
          <w:rFonts w:ascii="Arial" w:hAnsi="Arial" w:cs="Arial"/>
        </w:rPr>
      </w:pPr>
      <w:r w:rsidRPr="00085EDF">
        <w:rPr>
          <w:rFonts w:ascii="Arial" w:hAnsi="Arial" w:cs="Arial"/>
        </w:rPr>
        <w:t>**Interviewer (08:05):** Right on point. What adjustments would help them get out of this predicament?</w:t>
      </w:r>
    </w:p>
    <w:p w14:paraId="47B2B5CE" w14:textId="77777777" w:rsidR="005C7A3E" w:rsidRPr="00085EDF" w:rsidRDefault="005C7A3E" w:rsidP="00085EDF">
      <w:pPr>
        <w:spacing w:line="360" w:lineRule="auto"/>
        <w:rPr>
          <w:rFonts w:ascii="Arial" w:hAnsi="Arial" w:cs="Arial"/>
        </w:rPr>
      </w:pPr>
      <w:r w:rsidRPr="00085EDF">
        <w:rPr>
          <w:rFonts w:ascii="Arial" w:hAnsi="Arial" w:cs="Arial"/>
        </w:rPr>
        <w:t>**Michael (08:20):** For wages, a serious pay adjustment would be a game-changer. Throw in better working conditions to sweeten the deal. Going digital would mean upgrading their online platforms, maybe offering e-commerce services. And that IT system? They've got to bring in the experts to fix it and restore trust.</w:t>
      </w:r>
    </w:p>
    <w:p w14:paraId="401E12EE" w14:textId="77777777" w:rsidR="005C7A3E" w:rsidRPr="00085EDF" w:rsidRDefault="005C7A3E" w:rsidP="00085EDF">
      <w:pPr>
        <w:spacing w:line="360" w:lineRule="auto"/>
        <w:rPr>
          <w:rFonts w:ascii="Arial" w:hAnsi="Arial" w:cs="Arial"/>
        </w:rPr>
      </w:pPr>
      <w:r w:rsidRPr="00085EDF">
        <w:rPr>
          <w:rFonts w:ascii="Arial" w:hAnsi="Arial" w:cs="Arial"/>
        </w:rPr>
        <w:t>**Interviewer (08:40):** Got it. Thinking about the company's culture, how do you think these changes would affect it?</w:t>
      </w:r>
    </w:p>
    <w:p w14:paraId="14388297" w14:textId="2AA6B75A" w:rsidR="005C7A3E" w:rsidRPr="00085EDF" w:rsidRDefault="005C7A3E" w:rsidP="00085EDF">
      <w:pPr>
        <w:spacing w:line="360" w:lineRule="auto"/>
        <w:rPr>
          <w:rFonts w:ascii="Arial" w:hAnsi="Arial" w:cs="Arial"/>
        </w:rPr>
      </w:pPr>
      <w:r w:rsidRPr="00085EDF">
        <w:rPr>
          <w:rFonts w:ascii="Arial" w:hAnsi="Arial" w:cs="Arial"/>
        </w:rPr>
        <w:t xml:space="preserve">**Michael (08:55):** It's a mixed bag. Fixing wages and creating a better work environment could lead to a more positive and collaborative culture. Going digital might initially face </w:t>
      </w:r>
      <w:r w:rsidRPr="00085EDF">
        <w:rPr>
          <w:rFonts w:ascii="Arial" w:hAnsi="Arial" w:cs="Arial"/>
        </w:rPr>
        <w:lastRenderedPageBreak/>
        <w:t>resistance, but it could encourage innovation and a more tech-savvy mindset. And resolving the IT issue would build trust and transparency in the culture.</w:t>
      </w:r>
    </w:p>
    <w:p w14:paraId="4E8DC438" w14:textId="77777777" w:rsidR="005C7A3E" w:rsidRPr="00085EDF" w:rsidRDefault="005C7A3E" w:rsidP="00085EDF">
      <w:pPr>
        <w:spacing w:line="360" w:lineRule="auto"/>
        <w:rPr>
          <w:rFonts w:ascii="Arial" w:hAnsi="Arial" w:cs="Arial"/>
        </w:rPr>
      </w:pPr>
      <w:r w:rsidRPr="00085EDF">
        <w:rPr>
          <w:rFonts w:ascii="Arial" w:hAnsi="Arial" w:cs="Arial"/>
        </w:rPr>
        <w:t>**Interviewer (09:20):** Well said. Finally, what are the pros and cons of working with internal or external consultants?</w:t>
      </w:r>
    </w:p>
    <w:p w14:paraId="2CC5BDF4" w14:textId="77777777" w:rsidR="005C7A3E" w:rsidRPr="00085EDF" w:rsidRDefault="005C7A3E" w:rsidP="00085EDF">
      <w:pPr>
        <w:spacing w:line="360" w:lineRule="auto"/>
        <w:rPr>
          <w:rFonts w:ascii="Arial" w:hAnsi="Arial" w:cs="Arial"/>
        </w:rPr>
      </w:pPr>
      <w:r w:rsidRPr="00085EDF">
        <w:rPr>
          <w:rFonts w:ascii="Arial" w:hAnsi="Arial" w:cs="Arial"/>
        </w:rPr>
        <w:t>**Michael (09:35):** Internal consultants know the ins and outs, but they might miss the bigger picture due to their closeness to the organisation. External consultants bring fresh ideas, but they could struggle to understand the unique dynamics. It's about finding the right balance between insider knowledge and outsider creativity.</w:t>
      </w:r>
    </w:p>
    <w:p w14:paraId="76C77C4E" w14:textId="77777777" w:rsidR="005C7A3E" w:rsidRPr="00085EDF" w:rsidRDefault="005C7A3E" w:rsidP="00085EDF">
      <w:pPr>
        <w:spacing w:line="360" w:lineRule="auto"/>
        <w:rPr>
          <w:rFonts w:ascii="Arial" w:hAnsi="Arial" w:cs="Arial"/>
        </w:rPr>
      </w:pPr>
      <w:r w:rsidRPr="00085EDF">
        <w:rPr>
          <w:rFonts w:ascii="Arial" w:hAnsi="Arial" w:cs="Arial"/>
        </w:rPr>
        <w:t>**Interviewer (09:55):** Thanks for your insights, Michael. Based on everything you've said, which do you think would be the better choice – external or internal consultants?</w:t>
      </w:r>
    </w:p>
    <w:p w14:paraId="26E4F43B" w14:textId="77777777" w:rsidR="005C7A3E" w:rsidRPr="00085EDF" w:rsidRDefault="005C7A3E" w:rsidP="00085EDF">
      <w:pPr>
        <w:spacing w:line="360" w:lineRule="auto"/>
        <w:rPr>
          <w:rFonts w:ascii="Arial" w:hAnsi="Arial" w:cs="Arial"/>
        </w:rPr>
      </w:pPr>
      <w:r w:rsidRPr="00085EDF">
        <w:rPr>
          <w:rFonts w:ascii="Arial" w:hAnsi="Arial" w:cs="Arial"/>
        </w:rPr>
        <w:t>**Michael (10:10):** Given the mix of challenges and the need for fresh perspectives, I'd go with external consultants. They can shake things up, bring in innovative solutions, and challenge the status quo. It's like injecting new energy into the Post Office's efforts.</w:t>
      </w:r>
    </w:p>
    <w:p w14:paraId="465764EC" w14:textId="77777777" w:rsidR="005C7A3E" w:rsidRPr="00085EDF" w:rsidRDefault="005C7A3E" w:rsidP="00085EDF">
      <w:pPr>
        <w:spacing w:line="360" w:lineRule="auto"/>
        <w:rPr>
          <w:rFonts w:ascii="Arial" w:hAnsi="Arial" w:cs="Arial"/>
        </w:rPr>
      </w:pPr>
      <w:r w:rsidRPr="00085EDF">
        <w:rPr>
          <w:rFonts w:ascii="Arial" w:hAnsi="Arial" w:cs="Arial"/>
        </w:rPr>
        <w:t>**Interviewer (10:30):** I appreciate your perspective, Michael. Thanks for sharing your thoughts. This has been really enlightening.</w:t>
      </w:r>
    </w:p>
    <w:p w14:paraId="00E32553" w14:textId="77777777" w:rsidR="005C7A3E" w:rsidRPr="00085EDF" w:rsidRDefault="005C7A3E" w:rsidP="00085EDF">
      <w:pPr>
        <w:spacing w:line="360" w:lineRule="auto"/>
        <w:rPr>
          <w:rFonts w:ascii="Arial" w:hAnsi="Arial" w:cs="Arial"/>
        </w:rPr>
      </w:pPr>
      <w:r w:rsidRPr="00085EDF">
        <w:rPr>
          <w:rFonts w:ascii="Arial" w:hAnsi="Arial" w:cs="Arial"/>
        </w:rPr>
        <w:t>**Michael (10:45):** No problem, happy to help out! If you need anything else, feel free to reach out anytime.</w:t>
      </w:r>
    </w:p>
    <w:sectPr w:rsidR="005C7A3E" w:rsidRPr="00085EDF" w:rsidSect="00E34925">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45422" w14:textId="77777777" w:rsidR="00C50CC7" w:rsidRDefault="00C50CC7" w:rsidP="00FE0378">
      <w:pPr>
        <w:spacing w:after="0" w:line="240" w:lineRule="auto"/>
      </w:pPr>
      <w:r>
        <w:separator/>
      </w:r>
    </w:p>
  </w:endnote>
  <w:endnote w:type="continuationSeparator" w:id="0">
    <w:p w14:paraId="0E66C323" w14:textId="77777777" w:rsidR="00C50CC7" w:rsidRDefault="00C50CC7" w:rsidP="00FE0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212157"/>
      <w:docPartObj>
        <w:docPartGallery w:val="Page Numbers (Bottom of Page)"/>
        <w:docPartUnique/>
      </w:docPartObj>
    </w:sdtPr>
    <w:sdtEndPr>
      <w:rPr>
        <w:noProof/>
      </w:rPr>
    </w:sdtEndPr>
    <w:sdtContent>
      <w:p w14:paraId="5D75EB35" w14:textId="06B2C162" w:rsidR="00FE0378" w:rsidRDefault="00FE03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000132" w14:textId="77777777" w:rsidR="00FE0378" w:rsidRDefault="00FE03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E4C46" w14:textId="77777777" w:rsidR="00C50CC7" w:rsidRDefault="00C50CC7" w:rsidP="00FE0378">
      <w:pPr>
        <w:spacing w:after="0" w:line="240" w:lineRule="auto"/>
      </w:pPr>
      <w:r>
        <w:separator/>
      </w:r>
    </w:p>
  </w:footnote>
  <w:footnote w:type="continuationSeparator" w:id="0">
    <w:p w14:paraId="4ED6F391" w14:textId="77777777" w:rsidR="00C50CC7" w:rsidRDefault="00C50CC7" w:rsidP="00FE0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31C40"/>
    <w:multiLevelType w:val="multilevel"/>
    <w:tmpl w:val="19842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243180"/>
    <w:multiLevelType w:val="multilevel"/>
    <w:tmpl w:val="19842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540CBE"/>
    <w:multiLevelType w:val="multilevel"/>
    <w:tmpl w:val="19842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003739">
    <w:abstractNumId w:val="0"/>
  </w:num>
  <w:num w:numId="2" w16cid:durableId="1033114252">
    <w:abstractNumId w:val="1"/>
  </w:num>
  <w:num w:numId="3" w16cid:durableId="4187151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668"/>
    <w:rsid w:val="00007A0C"/>
    <w:rsid w:val="00013E74"/>
    <w:rsid w:val="00044A41"/>
    <w:rsid w:val="00047B16"/>
    <w:rsid w:val="00051F3C"/>
    <w:rsid w:val="0005486B"/>
    <w:rsid w:val="00085EDF"/>
    <w:rsid w:val="000928D4"/>
    <w:rsid w:val="000A66A9"/>
    <w:rsid w:val="000C1C68"/>
    <w:rsid w:val="000C5B48"/>
    <w:rsid w:val="000E6BC3"/>
    <w:rsid w:val="000F1CA5"/>
    <w:rsid w:val="000F6629"/>
    <w:rsid w:val="00114FF7"/>
    <w:rsid w:val="00120B5C"/>
    <w:rsid w:val="00135D42"/>
    <w:rsid w:val="0014283E"/>
    <w:rsid w:val="00161E2D"/>
    <w:rsid w:val="0019292C"/>
    <w:rsid w:val="001E4712"/>
    <w:rsid w:val="001E6765"/>
    <w:rsid w:val="002301F0"/>
    <w:rsid w:val="002378E9"/>
    <w:rsid w:val="0024099F"/>
    <w:rsid w:val="00253890"/>
    <w:rsid w:val="00253997"/>
    <w:rsid w:val="002759BB"/>
    <w:rsid w:val="00283878"/>
    <w:rsid w:val="00292D3E"/>
    <w:rsid w:val="002A03E6"/>
    <w:rsid w:val="002A447C"/>
    <w:rsid w:val="002A60B8"/>
    <w:rsid w:val="002B0035"/>
    <w:rsid w:val="002C0D69"/>
    <w:rsid w:val="002C794A"/>
    <w:rsid w:val="002D2BCE"/>
    <w:rsid w:val="002D35CE"/>
    <w:rsid w:val="002D3CA2"/>
    <w:rsid w:val="002E5DA7"/>
    <w:rsid w:val="002F2520"/>
    <w:rsid w:val="002F6BE1"/>
    <w:rsid w:val="0032008A"/>
    <w:rsid w:val="0034200D"/>
    <w:rsid w:val="00342D5B"/>
    <w:rsid w:val="003456EF"/>
    <w:rsid w:val="00350DAF"/>
    <w:rsid w:val="0036715E"/>
    <w:rsid w:val="00370F61"/>
    <w:rsid w:val="00387713"/>
    <w:rsid w:val="003A3FC8"/>
    <w:rsid w:val="003B7C60"/>
    <w:rsid w:val="003C68BE"/>
    <w:rsid w:val="003D2C84"/>
    <w:rsid w:val="003E2A52"/>
    <w:rsid w:val="003E7174"/>
    <w:rsid w:val="004166FC"/>
    <w:rsid w:val="00463E82"/>
    <w:rsid w:val="004670AE"/>
    <w:rsid w:val="00482658"/>
    <w:rsid w:val="00495714"/>
    <w:rsid w:val="004D19F6"/>
    <w:rsid w:val="004D28D5"/>
    <w:rsid w:val="004D5300"/>
    <w:rsid w:val="004D78C0"/>
    <w:rsid w:val="004E7EB6"/>
    <w:rsid w:val="004F0D23"/>
    <w:rsid w:val="00500D95"/>
    <w:rsid w:val="00542990"/>
    <w:rsid w:val="00553B15"/>
    <w:rsid w:val="00555A31"/>
    <w:rsid w:val="0057742E"/>
    <w:rsid w:val="005866D2"/>
    <w:rsid w:val="0059361C"/>
    <w:rsid w:val="005B49D5"/>
    <w:rsid w:val="005C13AA"/>
    <w:rsid w:val="005C7A3E"/>
    <w:rsid w:val="005E74BC"/>
    <w:rsid w:val="005F75D2"/>
    <w:rsid w:val="006140B1"/>
    <w:rsid w:val="006159D6"/>
    <w:rsid w:val="006162A0"/>
    <w:rsid w:val="006230F0"/>
    <w:rsid w:val="00625F61"/>
    <w:rsid w:val="0062662C"/>
    <w:rsid w:val="006663E7"/>
    <w:rsid w:val="00692F8E"/>
    <w:rsid w:val="006A1EED"/>
    <w:rsid w:val="006B389A"/>
    <w:rsid w:val="006C5CAE"/>
    <w:rsid w:val="006F4366"/>
    <w:rsid w:val="00704239"/>
    <w:rsid w:val="00715FC5"/>
    <w:rsid w:val="007275CB"/>
    <w:rsid w:val="00743BDC"/>
    <w:rsid w:val="00793443"/>
    <w:rsid w:val="007C10F0"/>
    <w:rsid w:val="007D4F2D"/>
    <w:rsid w:val="007D68F5"/>
    <w:rsid w:val="0081072B"/>
    <w:rsid w:val="00844049"/>
    <w:rsid w:val="0085330C"/>
    <w:rsid w:val="008761CB"/>
    <w:rsid w:val="008839EF"/>
    <w:rsid w:val="0088477E"/>
    <w:rsid w:val="008A0327"/>
    <w:rsid w:val="008A0E52"/>
    <w:rsid w:val="008A5E70"/>
    <w:rsid w:val="008D5A1A"/>
    <w:rsid w:val="00914862"/>
    <w:rsid w:val="00926EC2"/>
    <w:rsid w:val="009316F2"/>
    <w:rsid w:val="00931C1C"/>
    <w:rsid w:val="00946E5F"/>
    <w:rsid w:val="00983B72"/>
    <w:rsid w:val="009972D8"/>
    <w:rsid w:val="009A4967"/>
    <w:rsid w:val="009A5C77"/>
    <w:rsid w:val="009B63C6"/>
    <w:rsid w:val="009B65F0"/>
    <w:rsid w:val="009C18EB"/>
    <w:rsid w:val="009C47A6"/>
    <w:rsid w:val="009D00CC"/>
    <w:rsid w:val="009E75DF"/>
    <w:rsid w:val="00A13B75"/>
    <w:rsid w:val="00A618D6"/>
    <w:rsid w:val="00A660D8"/>
    <w:rsid w:val="00A8383A"/>
    <w:rsid w:val="00AC746E"/>
    <w:rsid w:val="00AD157C"/>
    <w:rsid w:val="00AD5E56"/>
    <w:rsid w:val="00B011E8"/>
    <w:rsid w:val="00B209C2"/>
    <w:rsid w:val="00B259CD"/>
    <w:rsid w:val="00B3075C"/>
    <w:rsid w:val="00B5739C"/>
    <w:rsid w:val="00B716B7"/>
    <w:rsid w:val="00B93A6D"/>
    <w:rsid w:val="00BA44F0"/>
    <w:rsid w:val="00BA598C"/>
    <w:rsid w:val="00BC1B8E"/>
    <w:rsid w:val="00BE63E9"/>
    <w:rsid w:val="00BF3D6C"/>
    <w:rsid w:val="00C21B2A"/>
    <w:rsid w:val="00C326B4"/>
    <w:rsid w:val="00C4079D"/>
    <w:rsid w:val="00C44E3B"/>
    <w:rsid w:val="00C44E97"/>
    <w:rsid w:val="00C50CC7"/>
    <w:rsid w:val="00C66D78"/>
    <w:rsid w:val="00C82E16"/>
    <w:rsid w:val="00CA15B4"/>
    <w:rsid w:val="00CB28A5"/>
    <w:rsid w:val="00CC483D"/>
    <w:rsid w:val="00CE57AD"/>
    <w:rsid w:val="00CE5EDB"/>
    <w:rsid w:val="00CE6664"/>
    <w:rsid w:val="00D145EB"/>
    <w:rsid w:val="00D454E9"/>
    <w:rsid w:val="00D461DC"/>
    <w:rsid w:val="00D46ED7"/>
    <w:rsid w:val="00D75F36"/>
    <w:rsid w:val="00D87A19"/>
    <w:rsid w:val="00DB1E9E"/>
    <w:rsid w:val="00DB3117"/>
    <w:rsid w:val="00DB79DF"/>
    <w:rsid w:val="00DF70E9"/>
    <w:rsid w:val="00E16445"/>
    <w:rsid w:val="00E255D9"/>
    <w:rsid w:val="00E34925"/>
    <w:rsid w:val="00E40612"/>
    <w:rsid w:val="00E612C3"/>
    <w:rsid w:val="00E6474F"/>
    <w:rsid w:val="00E700C2"/>
    <w:rsid w:val="00E75F44"/>
    <w:rsid w:val="00E80DDC"/>
    <w:rsid w:val="00E814D0"/>
    <w:rsid w:val="00E95F40"/>
    <w:rsid w:val="00EB16B9"/>
    <w:rsid w:val="00EC619B"/>
    <w:rsid w:val="00ED33FC"/>
    <w:rsid w:val="00EF1076"/>
    <w:rsid w:val="00F022AE"/>
    <w:rsid w:val="00F060CB"/>
    <w:rsid w:val="00F271D9"/>
    <w:rsid w:val="00F4716C"/>
    <w:rsid w:val="00F86ABE"/>
    <w:rsid w:val="00F9341E"/>
    <w:rsid w:val="00FA7140"/>
    <w:rsid w:val="00FD0668"/>
    <w:rsid w:val="00FE0378"/>
    <w:rsid w:val="00FE2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AF10A"/>
  <w15:chartTrackingRefBased/>
  <w15:docId w15:val="{E6F238ED-EB63-4E43-8BBC-9172A88AE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6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0D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36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E67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15iwe0d">
    <w:name w:val="css-15iwe0d"/>
    <w:basedOn w:val="DefaultParagraphFont"/>
    <w:rsid w:val="004E7EB6"/>
  </w:style>
  <w:style w:type="character" w:customStyle="1" w:styleId="css-2yp7ui">
    <w:name w:val="css-2yp7ui"/>
    <w:basedOn w:val="DefaultParagraphFont"/>
    <w:rsid w:val="004E7EB6"/>
  </w:style>
  <w:style w:type="character" w:customStyle="1" w:styleId="css-1ber87j">
    <w:name w:val="css-1ber87j"/>
    <w:basedOn w:val="DefaultParagraphFont"/>
    <w:rsid w:val="004E7EB6"/>
  </w:style>
  <w:style w:type="character" w:customStyle="1" w:styleId="css-0">
    <w:name w:val="css-0"/>
    <w:basedOn w:val="DefaultParagraphFont"/>
    <w:rsid w:val="004E7EB6"/>
  </w:style>
  <w:style w:type="character" w:customStyle="1" w:styleId="css-rh820s">
    <w:name w:val="css-rh820s"/>
    <w:basedOn w:val="DefaultParagraphFont"/>
    <w:rsid w:val="004E7EB6"/>
  </w:style>
  <w:style w:type="character" w:customStyle="1" w:styleId="Heading1Char">
    <w:name w:val="Heading 1 Char"/>
    <w:basedOn w:val="DefaultParagraphFont"/>
    <w:link w:val="Heading1"/>
    <w:uiPriority w:val="9"/>
    <w:rsid w:val="009316F2"/>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9E75DF"/>
    <w:rPr>
      <w:b/>
      <w:bCs/>
    </w:rPr>
  </w:style>
  <w:style w:type="paragraph" w:styleId="NormalWeb">
    <w:name w:val="Normal (Web)"/>
    <w:basedOn w:val="Normal"/>
    <w:uiPriority w:val="99"/>
    <w:semiHidden/>
    <w:unhideWhenUsed/>
    <w:rsid w:val="00370F6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70F61"/>
    <w:rPr>
      <w:color w:val="0000FF"/>
      <w:u w:val="single"/>
    </w:rPr>
  </w:style>
  <w:style w:type="paragraph" w:styleId="ListParagraph">
    <w:name w:val="List Paragraph"/>
    <w:basedOn w:val="Normal"/>
    <w:uiPriority w:val="34"/>
    <w:qFormat/>
    <w:rsid w:val="000928D4"/>
    <w:pPr>
      <w:ind w:left="720"/>
      <w:contextualSpacing/>
    </w:pPr>
  </w:style>
  <w:style w:type="character" w:customStyle="1" w:styleId="Heading2Char">
    <w:name w:val="Heading 2 Char"/>
    <w:basedOn w:val="DefaultParagraphFont"/>
    <w:link w:val="Heading2"/>
    <w:uiPriority w:val="9"/>
    <w:rsid w:val="004F0D23"/>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5E74BC"/>
    <w:rPr>
      <w:color w:val="605E5C"/>
      <w:shd w:val="clear" w:color="auto" w:fill="E1DFDD"/>
    </w:rPr>
  </w:style>
  <w:style w:type="character" w:customStyle="1" w:styleId="Heading3Char">
    <w:name w:val="Heading 3 Char"/>
    <w:basedOn w:val="DefaultParagraphFont"/>
    <w:link w:val="Heading3"/>
    <w:uiPriority w:val="9"/>
    <w:rsid w:val="0059361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FE03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378"/>
  </w:style>
  <w:style w:type="paragraph" w:styleId="Footer">
    <w:name w:val="footer"/>
    <w:basedOn w:val="Normal"/>
    <w:link w:val="FooterChar"/>
    <w:uiPriority w:val="99"/>
    <w:unhideWhenUsed/>
    <w:rsid w:val="00FE03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378"/>
  </w:style>
  <w:style w:type="character" w:customStyle="1" w:styleId="Heading4Char">
    <w:name w:val="Heading 4 Char"/>
    <w:basedOn w:val="DefaultParagraphFont"/>
    <w:link w:val="Heading4"/>
    <w:uiPriority w:val="9"/>
    <w:rsid w:val="001E6765"/>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2C794A"/>
    <w:pPr>
      <w:outlineLvl w:val="9"/>
    </w:pPr>
    <w:rPr>
      <w:kern w:val="0"/>
      <w:lang w:val="en-US"/>
      <w14:ligatures w14:val="none"/>
    </w:rPr>
  </w:style>
  <w:style w:type="paragraph" w:styleId="TOC1">
    <w:name w:val="toc 1"/>
    <w:basedOn w:val="Normal"/>
    <w:next w:val="Normal"/>
    <w:autoRedefine/>
    <w:uiPriority w:val="39"/>
    <w:unhideWhenUsed/>
    <w:rsid w:val="002C794A"/>
    <w:pPr>
      <w:spacing w:after="100"/>
    </w:pPr>
  </w:style>
  <w:style w:type="paragraph" w:styleId="TOC2">
    <w:name w:val="toc 2"/>
    <w:basedOn w:val="Normal"/>
    <w:next w:val="Normal"/>
    <w:autoRedefine/>
    <w:uiPriority w:val="39"/>
    <w:unhideWhenUsed/>
    <w:rsid w:val="002C794A"/>
    <w:pPr>
      <w:spacing w:after="100"/>
      <w:ind w:left="220"/>
    </w:pPr>
  </w:style>
  <w:style w:type="paragraph" w:styleId="TOC3">
    <w:name w:val="toc 3"/>
    <w:basedOn w:val="Normal"/>
    <w:next w:val="Normal"/>
    <w:autoRedefine/>
    <w:uiPriority w:val="39"/>
    <w:unhideWhenUsed/>
    <w:rsid w:val="002C794A"/>
    <w:pPr>
      <w:spacing w:after="100"/>
      <w:ind w:left="440"/>
    </w:pPr>
  </w:style>
  <w:style w:type="paragraph" w:styleId="TableofFigures">
    <w:name w:val="table of figures"/>
    <w:basedOn w:val="Normal"/>
    <w:next w:val="Normal"/>
    <w:uiPriority w:val="99"/>
    <w:unhideWhenUsed/>
    <w:rsid w:val="00161E2D"/>
    <w:pPr>
      <w:spacing w:after="0"/>
    </w:pPr>
  </w:style>
  <w:style w:type="paragraph" w:styleId="NoSpacing">
    <w:name w:val="No Spacing"/>
    <w:link w:val="NoSpacingChar"/>
    <w:uiPriority w:val="1"/>
    <w:qFormat/>
    <w:rsid w:val="00E3492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34925"/>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03047">
      <w:bodyDiv w:val="1"/>
      <w:marLeft w:val="0"/>
      <w:marRight w:val="0"/>
      <w:marTop w:val="0"/>
      <w:marBottom w:val="0"/>
      <w:divBdr>
        <w:top w:val="none" w:sz="0" w:space="0" w:color="auto"/>
        <w:left w:val="none" w:sz="0" w:space="0" w:color="auto"/>
        <w:bottom w:val="none" w:sz="0" w:space="0" w:color="auto"/>
        <w:right w:val="none" w:sz="0" w:space="0" w:color="auto"/>
      </w:divBdr>
    </w:div>
    <w:div w:id="385296104">
      <w:bodyDiv w:val="1"/>
      <w:marLeft w:val="0"/>
      <w:marRight w:val="0"/>
      <w:marTop w:val="0"/>
      <w:marBottom w:val="0"/>
      <w:divBdr>
        <w:top w:val="none" w:sz="0" w:space="0" w:color="auto"/>
        <w:left w:val="none" w:sz="0" w:space="0" w:color="auto"/>
        <w:bottom w:val="none" w:sz="0" w:space="0" w:color="auto"/>
        <w:right w:val="none" w:sz="0" w:space="0" w:color="auto"/>
      </w:divBdr>
    </w:div>
    <w:div w:id="902448376">
      <w:bodyDiv w:val="1"/>
      <w:marLeft w:val="0"/>
      <w:marRight w:val="0"/>
      <w:marTop w:val="0"/>
      <w:marBottom w:val="0"/>
      <w:divBdr>
        <w:top w:val="none" w:sz="0" w:space="0" w:color="auto"/>
        <w:left w:val="none" w:sz="0" w:space="0" w:color="auto"/>
        <w:bottom w:val="none" w:sz="0" w:space="0" w:color="auto"/>
        <w:right w:val="none" w:sz="0" w:space="0" w:color="auto"/>
      </w:divBdr>
      <w:divsChild>
        <w:div w:id="511795214">
          <w:marLeft w:val="0"/>
          <w:marRight w:val="0"/>
          <w:marTop w:val="0"/>
          <w:marBottom w:val="0"/>
          <w:divBdr>
            <w:top w:val="single" w:sz="2" w:space="0" w:color="D9D9E3"/>
            <w:left w:val="single" w:sz="2" w:space="0" w:color="D9D9E3"/>
            <w:bottom w:val="single" w:sz="2" w:space="0" w:color="D9D9E3"/>
            <w:right w:val="single" w:sz="2" w:space="0" w:color="D9D9E3"/>
          </w:divBdr>
          <w:divsChild>
            <w:div w:id="1594246136">
              <w:marLeft w:val="0"/>
              <w:marRight w:val="0"/>
              <w:marTop w:val="0"/>
              <w:marBottom w:val="0"/>
              <w:divBdr>
                <w:top w:val="single" w:sz="2" w:space="0" w:color="D9D9E3"/>
                <w:left w:val="single" w:sz="2" w:space="0" w:color="D9D9E3"/>
                <w:bottom w:val="single" w:sz="2" w:space="0" w:color="D9D9E3"/>
                <w:right w:val="single" w:sz="2" w:space="0" w:color="D9D9E3"/>
              </w:divBdr>
              <w:divsChild>
                <w:div w:id="794644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117317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74086492">
          <w:marLeft w:val="0"/>
          <w:marRight w:val="0"/>
          <w:marTop w:val="0"/>
          <w:marBottom w:val="0"/>
          <w:divBdr>
            <w:top w:val="single" w:sz="2" w:space="0" w:color="D9D9E3"/>
            <w:left w:val="single" w:sz="2" w:space="0" w:color="D9D9E3"/>
            <w:bottom w:val="single" w:sz="2" w:space="0" w:color="D9D9E3"/>
            <w:right w:val="single" w:sz="2" w:space="0" w:color="D9D9E3"/>
          </w:divBdr>
          <w:divsChild>
            <w:div w:id="1061253418">
              <w:marLeft w:val="0"/>
              <w:marRight w:val="0"/>
              <w:marTop w:val="0"/>
              <w:marBottom w:val="0"/>
              <w:divBdr>
                <w:top w:val="single" w:sz="2" w:space="0" w:color="D9D9E3"/>
                <w:left w:val="single" w:sz="2" w:space="0" w:color="D9D9E3"/>
                <w:bottom w:val="single" w:sz="2" w:space="0" w:color="D9D9E3"/>
                <w:right w:val="single" w:sz="2" w:space="0" w:color="D9D9E3"/>
              </w:divBdr>
              <w:divsChild>
                <w:div w:id="1208684520">
                  <w:marLeft w:val="0"/>
                  <w:marRight w:val="0"/>
                  <w:marTop w:val="0"/>
                  <w:marBottom w:val="0"/>
                  <w:divBdr>
                    <w:top w:val="single" w:sz="2" w:space="0" w:color="D9D9E3"/>
                    <w:left w:val="single" w:sz="2" w:space="0" w:color="D9D9E3"/>
                    <w:bottom w:val="single" w:sz="2" w:space="0" w:color="D9D9E3"/>
                    <w:right w:val="single" w:sz="2" w:space="0" w:color="D9D9E3"/>
                  </w:divBdr>
                  <w:divsChild>
                    <w:div w:id="712268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01738561">
      <w:bodyDiv w:val="1"/>
      <w:marLeft w:val="0"/>
      <w:marRight w:val="0"/>
      <w:marTop w:val="0"/>
      <w:marBottom w:val="0"/>
      <w:divBdr>
        <w:top w:val="none" w:sz="0" w:space="0" w:color="auto"/>
        <w:left w:val="none" w:sz="0" w:space="0" w:color="auto"/>
        <w:bottom w:val="none" w:sz="0" w:space="0" w:color="auto"/>
        <w:right w:val="none" w:sz="0" w:space="0" w:color="auto"/>
      </w:divBdr>
      <w:divsChild>
        <w:div w:id="1451435359">
          <w:marLeft w:val="0"/>
          <w:marRight w:val="0"/>
          <w:marTop w:val="0"/>
          <w:marBottom w:val="0"/>
          <w:divBdr>
            <w:top w:val="none" w:sz="0" w:space="0" w:color="auto"/>
            <w:left w:val="none" w:sz="0" w:space="0" w:color="auto"/>
            <w:bottom w:val="none" w:sz="0" w:space="0" w:color="auto"/>
            <w:right w:val="none" w:sz="0" w:space="0" w:color="auto"/>
          </w:divBdr>
          <w:divsChild>
            <w:div w:id="549809338">
              <w:marLeft w:val="0"/>
              <w:marRight w:val="0"/>
              <w:marTop w:val="0"/>
              <w:marBottom w:val="0"/>
              <w:divBdr>
                <w:top w:val="none" w:sz="0" w:space="0" w:color="auto"/>
                <w:left w:val="none" w:sz="0" w:space="0" w:color="auto"/>
                <w:bottom w:val="none" w:sz="0" w:space="0" w:color="auto"/>
                <w:right w:val="none" w:sz="0" w:space="0" w:color="auto"/>
              </w:divBdr>
              <w:divsChild>
                <w:div w:id="52895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580493">
      <w:bodyDiv w:val="1"/>
      <w:marLeft w:val="0"/>
      <w:marRight w:val="0"/>
      <w:marTop w:val="0"/>
      <w:marBottom w:val="0"/>
      <w:divBdr>
        <w:top w:val="none" w:sz="0" w:space="0" w:color="auto"/>
        <w:left w:val="none" w:sz="0" w:space="0" w:color="auto"/>
        <w:bottom w:val="none" w:sz="0" w:space="0" w:color="auto"/>
        <w:right w:val="none" w:sz="0" w:space="0" w:color="auto"/>
      </w:divBdr>
      <w:divsChild>
        <w:div w:id="507718644">
          <w:marLeft w:val="0"/>
          <w:marRight w:val="0"/>
          <w:marTop w:val="0"/>
          <w:marBottom w:val="0"/>
          <w:divBdr>
            <w:top w:val="none" w:sz="0" w:space="0" w:color="auto"/>
            <w:left w:val="none" w:sz="0" w:space="0" w:color="auto"/>
            <w:bottom w:val="none" w:sz="0" w:space="0" w:color="auto"/>
            <w:right w:val="none" w:sz="0" w:space="0" w:color="auto"/>
          </w:divBdr>
        </w:div>
      </w:divsChild>
    </w:div>
    <w:div w:id="2014793237">
      <w:bodyDiv w:val="1"/>
      <w:marLeft w:val="0"/>
      <w:marRight w:val="0"/>
      <w:marTop w:val="0"/>
      <w:marBottom w:val="0"/>
      <w:divBdr>
        <w:top w:val="none" w:sz="0" w:space="0" w:color="auto"/>
        <w:left w:val="none" w:sz="0" w:space="0" w:color="auto"/>
        <w:bottom w:val="none" w:sz="0" w:space="0" w:color="auto"/>
        <w:right w:val="none" w:sz="0" w:space="0" w:color="auto"/>
      </w:divBdr>
      <w:divsChild>
        <w:div w:id="434204903">
          <w:marLeft w:val="0"/>
          <w:marRight w:val="0"/>
          <w:marTop w:val="0"/>
          <w:marBottom w:val="0"/>
          <w:divBdr>
            <w:top w:val="single" w:sz="2" w:space="0" w:color="auto"/>
            <w:left w:val="single" w:sz="2" w:space="0" w:color="auto"/>
            <w:bottom w:val="single" w:sz="6" w:space="0" w:color="auto"/>
            <w:right w:val="single" w:sz="2" w:space="0" w:color="auto"/>
          </w:divBdr>
          <w:divsChild>
            <w:div w:id="612983038">
              <w:marLeft w:val="0"/>
              <w:marRight w:val="0"/>
              <w:marTop w:val="100"/>
              <w:marBottom w:val="100"/>
              <w:divBdr>
                <w:top w:val="single" w:sz="2" w:space="0" w:color="D9D9E3"/>
                <w:left w:val="single" w:sz="2" w:space="0" w:color="D9D9E3"/>
                <w:bottom w:val="single" w:sz="2" w:space="0" w:color="D9D9E3"/>
                <w:right w:val="single" w:sz="2" w:space="0" w:color="D9D9E3"/>
              </w:divBdr>
              <w:divsChild>
                <w:div w:id="870993459">
                  <w:marLeft w:val="0"/>
                  <w:marRight w:val="0"/>
                  <w:marTop w:val="0"/>
                  <w:marBottom w:val="0"/>
                  <w:divBdr>
                    <w:top w:val="single" w:sz="2" w:space="0" w:color="D9D9E3"/>
                    <w:left w:val="single" w:sz="2" w:space="0" w:color="D9D9E3"/>
                    <w:bottom w:val="single" w:sz="2" w:space="0" w:color="D9D9E3"/>
                    <w:right w:val="single" w:sz="2" w:space="0" w:color="D9D9E3"/>
                  </w:divBdr>
                  <w:divsChild>
                    <w:div w:id="717120233">
                      <w:marLeft w:val="0"/>
                      <w:marRight w:val="0"/>
                      <w:marTop w:val="0"/>
                      <w:marBottom w:val="0"/>
                      <w:divBdr>
                        <w:top w:val="single" w:sz="2" w:space="0" w:color="D9D9E3"/>
                        <w:left w:val="single" w:sz="2" w:space="0" w:color="D9D9E3"/>
                        <w:bottom w:val="single" w:sz="2" w:space="0" w:color="D9D9E3"/>
                        <w:right w:val="single" w:sz="2" w:space="0" w:color="D9D9E3"/>
                      </w:divBdr>
                      <w:divsChild>
                        <w:div w:id="163866652">
                          <w:marLeft w:val="0"/>
                          <w:marRight w:val="0"/>
                          <w:marTop w:val="0"/>
                          <w:marBottom w:val="0"/>
                          <w:divBdr>
                            <w:top w:val="single" w:sz="2" w:space="0" w:color="D9D9E3"/>
                            <w:left w:val="single" w:sz="2" w:space="0" w:color="D9D9E3"/>
                            <w:bottom w:val="single" w:sz="2" w:space="0" w:color="D9D9E3"/>
                            <w:right w:val="single" w:sz="2" w:space="0" w:color="D9D9E3"/>
                          </w:divBdr>
                          <w:divsChild>
                            <w:div w:id="4482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1614</TotalTime>
  <Pages>30</Pages>
  <Words>9764</Words>
  <Characters>55657</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2010067</Company>
  <LinksUpToDate>false</LinksUpToDate>
  <CharactersWithSpaces>65291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Change Agent for UK Post Office</dc:title>
  <dc:subject>Leading and Implementing Workplace Change</dc:subject>
  <dc:creator>tian currie</dc:creator>
  <cp:keywords/>
  <dc:description/>
  <cp:lastModifiedBy>tian currie</cp:lastModifiedBy>
  <cp:revision>160</cp:revision>
  <dcterms:created xsi:type="dcterms:W3CDTF">2023-08-10T12:59:00Z</dcterms:created>
  <dcterms:modified xsi:type="dcterms:W3CDTF">2023-08-11T16:10:00Z</dcterms:modified>
</cp:coreProperties>
</file>