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1970.799560546875" w:firstLine="0"/>
        <w:jc w:val="right"/>
        <w:rPr>
          <w:rFonts w:ascii="Arial" w:cs="Arial" w:eastAsia="Arial" w:hAnsi="Arial"/>
          <w:b w:val="0"/>
          <w:bCs w:val="0"/>
          <w:i w:val="0"/>
          <w:iCs w:val="0"/>
          <w:smallCaps w:val="0"/>
          <w:strike w:val="0"/>
          <w:color w:val="000000"/>
          <w:sz w:val="96"/>
          <w:szCs w:val="9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96"/>
          <w:szCs w:val="96"/>
          <w:u w:val="none"/>
          <w:shd w:fill="auto" w:val="clear"/>
          <w:vertAlign w:val="baseline"/>
          <w:rtl w:val="0"/>
        </w:rPr>
        <w:t xml:space="preserve">PORTFOLIO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3.2806396484375" w:line="240" w:lineRule="auto"/>
        <w:ind w:left="0" w:right="2683.9959716796875" w:firstLine="0"/>
        <w:jc w:val="right"/>
        <w:rPr>
          <w:rFonts w:ascii="Arial" w:cs="Arial" w:eastAsia="Arial" w:hAnsi="Arial"/>
          <w:b w:val="0"/>
          <w:bCs w:val="0"/>
          <w:i w:val="0"/>
          <w:iCs w:val="0"/>
          <w:smallCaps w:val="0"/>
          <w:strike w:val="0"/>
          <w:color w:val="000000"/>
          <w:sz w:val="55.91999816894531"/>
          <w:szCs w:val="55.9199981689453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5.91999816894531"/>
          <w:szCs w:val="55.91999816894531"/>
          <w:u w:val="none"/>
          <w:shd w:fill="auto" w:val="clear"/>
          <w:vertAlign w:val="baseline"/>
          <w:rtl w:val="0"/>
        </w:rPr>
        <w:t xml:space="preserve">Student name: </w:t>
      </w:r>
      <w:r w:rsidDel="00000000" w:rsidR="00000000" w:rsidRPr="00000000">
        <w:rPr>
          <w:sz w:val="55.91999816894531"/>
          <w:szCs w:val="55.91999816894531"/>
          <w:rtl w:val="0"/>
        </w:rPr>
        <w:t xml:space="preserve">Tsion abiyo</w:t>
      </w:r>
      <w:r w:rsidDel="00000000" w:rsidR="00000000" w:rsidRPr="00000000">
        <w:rPr>
          <w:rFonts w:ascii="Arial" w:cs="Arial" w:eastAsia="Arial" w:hAnsi="Arial"/>
          <w:b w:val="0"/>
          <w:bCs w:val="0"/>
          <w:i w:val="0"/>
          <w:iCs w:val="0"/>
          <w:smallCaps w:val="0"/>
          <w:strike w:val="0"/>
          <w:color w:val="000000"/>
          <w:sz w:val="55.91999816894531"/>
          <w:szCs w:val="55.91999816894531"/>
          <w:u w:val="none"/>
          <w:shd w:fill="auto" w:val="clear"/>
          <w:vertAlign w:val="baseline"/>
          <w:rtl w:val="0"/>
        </w:rPr>
        <w:t xml:space="preserve">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2.2137451171875" w:line="240" w:lineRule="auto"/>
        <w:ind w:left="0" w:right="2435.389404296875" w:firstLine="0"/>
        <w:jc w:val="right"/>
        <w:rPr>
          <w:rFonts w:ascii="Arial" w:cs="Arial" w:eastAsia="Arial" w:hAnsi="Arial"/>
          <w:b w:val="0"/>
          <w:bCs w:val="0"/>
          <w:i w:val="0"/>
          <w:iCs w:val="0"/>
          <w:smallCaps w:val="0"/>
          <w:strike w:val="0"/>
          <w:color w:val="000000"/>
          <w:sz w:val="55.91999816894531"/>
          <w:szCs w:val="55.9199981689453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5.91999816894531"/>
          <w:szCs w:val="55.91999816894531"/>
          <w:u w:val="none"/>
          <w:shd w:fill="auto" w:val="clear"/>
          <w:vertAlign w:val="baseline"/>
          <w:rtl w:val="0"/>
        </w:rPr>
        <w:t xml:space="preserve">Student number:</w:t>
      </w:r>
      <w:r w:rsidDel="00000000" w:rsidR="00000000" w:rsidRPr="00000000">
        <w:rPr>
          <w:sz w:val="55.91999816894531"/>
          <w:szCs w:val="55.91999816894531"/>
          <w:rtl w:val="0"/>
        </w:rPr>
        <w:t xml:space="preserve"> 2328768</w:t>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Fonts w:ascii="Arial" w:cs="Arial" w:eastAsia="Arial" w:hAnsi="Arial"/>
          <w:b w:val="0"/>
          <w:bCs w:val="0"/>
          <w:i w:val="0"/>
          <w:iCs w:val="0"/>
          <w:smallCaps w:val="0"/>
          <w:strike w:val="0"/>
          <w:color w:val="000000"/>
          <w:sz w:val="55.91999816894531"/>
          <w:szCs w:val="55.91999816894531"/>
          <w:u w:val="none"/>
          <w:shd w:fill="auto" w:val="clear"/>
          <w:vertAlign w:val="baseline"/>
          <w:rtl w:val="0"/>
        </w:rPr>
        <w:t xml:space="preserve">Module code: BMHP5015 BYPB </w:t>
      </w: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4.6142578125" w:line="344.9263858795166" w:lineRule="auto"/>
        <w:ind w:left="1709.86083984375" w:right="287.40478515625" w:firstLine="0"/>
        <w:jc w:val="center"/>
        <w:rPr>
          <w:sz w:val="55.91999816894531"/>
          <w:szCs w:val="55.91999816894531"/>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2540.029296875" w:firstLine="0"/>
        <w:jc w:val="right"/>
        <w:rPr>
          <w:rFonts w:ascii="Arial" w:cs="Arial" w:eastAsia="Arial" w:hAnsi="Arial"/>
          <w:b w:val="0"/>
          <w:bCs w:val="0"/>
          <w:i w:val="0"/>
          <w:iCs w:val="0"/>
          <w:smallCaps w:val="0"/>
          <w:strike w:val="0"/>
          <w:color w:val="000000"/>
          <w:sz w:val="52.08000183105469"/>
          <w:szCs w:val="52.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2.08000183105469"/>
          <w:szCs w:val="52.08000183105469"/>
          <w:u w:val="none"/>
          <w:shd w:fill="auto" w:val="clear"/>
          <w:vertAlign w:val="baseline"/>
          <w:rtl w:val="0"/>
        </w:rPr>
        <w:t xml:space="preserve">Table of Contents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1.826171875" w:line="456.03967666625977" w:lineRule="auto"/>
        <w:ind w:left="1445.1600646972656" w:right="410.159912109375" w:firstLine="31.67999267578125"/>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 </w:t>
      </w:r>
      <w:r w:rsidDel="00000000" w:rsidR="00000000" w:rsidRPr="00000000">
        <w:rPr>
          <w:rFonts w:ascii="Arial" w:cs="Arial" w:eastAsia="Arial" w:hAnsi="Arial"/>
          <w:b w:val="0"/>
          <w:bCs w:val="0"/>
          <w:i w:val="0"/>
          <w:iCs w:val="0"/>
          <w:smallCaps w:val="0"/>
          <w:strike w:val="0"/>
          <w:color w:val="000000"/>
          <w:sz w:val="36"/>
          <w:szCs w:val="36"/>
          <w:highlight w:val="white"/>
          <w:u w:val="none"/>
          <w:vertAlign w:val="baseline"/>
          <w:rtl w:val="0"/>
        </w:rPr>
        <w:t xml:space="preserve">Personal Brand.</w:t>
      </w: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………………….…………..…..…….1 2. Network Map and Rationale…………………………...1 3. Blog..……………………..…………………….………..3 4. NHS EDI Quiz………………….…………………….…4 5. Letter to Yourself ………………..…………………..…6 6. Gantt Chart and Written Explanation </w:t>
      </w:r>
      <w:r w:rsidDel="00000000" w:rsidR="00000000" w:rsidRPr="00000000">
        <w:rPr>
          <w:rFonts w:ascii="Arial" w:cs="Arial" w:eastAsia="Arial" w:hAnsi="Arial"/>
          <w:b w:val="0"/>
          <w:bCs w:val="0"/>
          <w:i w:val="0"/>
          <w:iCs w:val="0"/>
          <w:smallCaps w:val="0"/>
          <w:strike w:val="0"/>
          <w:color w:val="000000"/>
          <w:sz w:val="36"/>
          <w:szCs w:val="36"/>
          <w:highlight w:val="white"/>
          <w:u w:val="none"/>
          <w:vertAlign w:val="baseline"/>
          <w:rtl w:val="0"/>
        </w:rPr>
        <w:t xml:space="preserve">…………</w:t>
      </w: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………6 7. Making Changes Report…………………………..…...8 8.Reference…………………………………………………9</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sz w:val="31.920000076293945"/>
          <w:szCs w:val="31.920000076293945"/>
          <w:highlight w:val="white"/>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72.7192687988281"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highlight w:val="white"/>
          <w:u w:val="none"/>
          <w:vertAlign w:val="baseline"/>
          <w:rtl w:val="0"/>
        </w:rPr>
        <w:t xml:space="preserve">1. Personal Brand</w:t>
      </w: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8.294677734375" w:line="343.61297607421875" w:lineRule="auto"/>
        <w:ind w:left="1443.5711669921875" w:right="46.9091796875" w:firstLine="13.02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My professional identity is built around being a calm, observant presence in situations where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people often feel overwhelmed. I'm particularly interested in the spaces between services like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handovers, the discharge planning, the moments where communication either holds or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breaks. My core strength is translating complex information into language that actually makes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sense to patients and families, and I've learned that this matter because confusion causes more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harm than we admit. Goffman (1959) offers a useful lens here: he frames professional identity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as a performance shaped by the expectations of those around us. I simply sat with them,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mapped out what each person had said, and helped them formulate questions for their next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appointment. That small act of coordination restored their confidence in the care process, and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my supervisor noted it as evidence of emotional intelligence that cannot be taught through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policy documents alone.</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40283203125" w:line="343.6223030090332" w:lineRule="auto"/>
        <w:ind w:left="1443.5711669921875" w:right="79.94384765625" w:firstLine="0"/>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employment goal I'm pursuing is a care coordinator position within a multidisciplinary team.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Rolfe, Freshwater and Jasper (2001) argue that genuine professional growth happens not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through passive experience. This idea shapes my approach to brand development directly.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Right now, I sometimes default to being quietly competent rather than visibly reliable and that is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 gap I am addressing by seeking out opportunities to present patient cases at team meetings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and contribute to service improvement discussions. I'm also building my LinkedIn presence to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connect with practitioners already working in coordination roles, learning from how they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articulate their value. When hiring managers review applications, they are not just looking for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qualifications; they are looking for evidence of impact and a well-developed personal brand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turns quiet competence into recognized capability.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99.5932006835938" w:line="240" w:lineRule="auto"/>
        <w:ind w:left="1448.77929687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2. Network Map and Rationale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0937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Network Diagram</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09.8135375976562"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1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Professional Organizations (HCPC, BASW)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1.12670898437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3.126220703125" w:line="523.7041854858398" w:lineRule="auto"/>
        <w:ind w:left="1440.4800415039062" w:right="1760.53955078125" w:firstLine="9.715270996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Community Group Healthcare Professionals  └────────┬────────┘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2.12036132812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Placement Mentors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72631835937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3.726806640625" w:line="523.7041854858398" w:lineRule="auto"/>
        <w:ind w:left="1440.4800415039062" w:right="2036.0375976562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Lecturers Me Class Mates  ┌────────┴────────┐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2.11914062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Family Friends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72631835937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7257080078125" w:line="343.7687587738037" w:lineRule="auto"/>
        <w:ind w:left="1443.5711669921875" w:right="24.19189453125" w:firstLine="13.02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My network focuses on connections between academic study and practical application at the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center of my network are my placement mentors and lecturers, who provide different but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complementary types of guidance: academics relate my experiences to broader theoretical</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frameworks, while mentors offer real-time clinical comments based on service realities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(Granovetter, 1973). Beyond these close bonds, my classmates serve as an unofficial peer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support network where we discuss challenging placement experiences and exchange resources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without the hierarchical structure of mentorship. Further out, I am building connections with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healthcare professionals I encounter during placements including nurses and occupational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therapists, whose perspectives deepen my understanding of multidisciplinary working.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Granovetter (1973) famously argued that weak ties acquaintances rather than close contacts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are often more valuable for career advancement because they bridge otherwise disconnected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social circles. My network reflects this principle in action.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85906982421875" w:line="343.3265018463135" w:lineRule="auto"/>
        <w:ind w:left="1443.5711669921875" w:right="0.09765625" w:firstLine="15.8976745605468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Professional organizations like the HCPC and BASW keep me informed about regulatory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standards, I would otherwise miss, while community groups connected to my placement settings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give me insight into local health needs that strengthen my applications. My lecturers act as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critical bridges too, frequently signposting students toward roles and employers that match our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emerging strengths, a form of sponsorship that directly enhances employability (Bourdieu, 1986). A clear strength of my network is its diversity across academic and community settings.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0.46600341796875"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2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0338439941406" w:lineRule="auto"/>
        <w:ind w:left="1457.481689453125" w:right="2.9711914062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However, I lack connections with practitioners working specifically in care coordination my target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role.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0.52001953125" w:line="240" w:lineRule="auto"/>
        <w:ind w:left="1451.3328552246094"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3. Blog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8935546875" w:line="343.34086418151855" w:lineRule="auto"/>
        <w:ind w:left="1459.4688415527344" w:right="648.2440185546875" w:hanging="13.91036987304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Title: "You're Not Just Tired “Why Student Mental Health Is a Sector-Wide Problem, Not a  Personal Failing.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0.85327148437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Introduction</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1.707763671875" w:line="343.34092140197754" w:lineRule="auto"/>
        <w:ind w:left="1442.9087829589844" w:right="237.236328125" w:firstLine="17.6640319824218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If you're a university student in the UK right now, chances are you've described yourself as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"burnt out" at least once this semester. You might have blamed your time management or told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yourself everyone else is coping fine. This blog is for you the student who's quietly struggling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while keeping up appearances. It's also for lecturers and university leaders who need to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understand that what we're dealing with goes far beyond exam stress.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0.852661132812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The Reality Behind the Statistics</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1.10595703125" w:line="343.46131324768066" w:lineRule="auto"/>
        <w:ind w:left="1448.4288024902344" w:right="399.4091796875" w:firstLine="8.8320922851562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Let's start with the numbers, because they matter. A 2023 report from the Office for National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Statistics found that university students in England and Wales are significantly more likely to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experience depression than the general population of the same age group. We're not talking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about a small gap this is a growing problem that tells us something structural is going on.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3.141479492187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So, what's actually causing this?</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58.7060546875" w:line="343.34095001220703" w:lineRule="auto"/>
        <w:ind w:left="1447.5456237792969" w:right="415.93994140625" w:firstLine="2.649688720703125"/>
        <w:jc w:val="both"/>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Cost of living pressures sit at the top of the list. Maintenance loans in England have not kept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pace with inflation, and many students are working 20-plus hours a week alongside full-time</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study just to afford rent and food. That is not a study-life balance; it is survival mode.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8.6529541015625" w:line="343.341007232666" w:lineRule="auto"/>
        <w:ind w:left="1448.2080078125" w:right="160.992431640625" w:hanging="4.636840820312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Then there is the quieter factor nobody discusses enough: the collapse of the boundary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between academic and personal life. Pre-pandemic, going to lectures meant l having moments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of separation. Now with hybrid learning still widespread and everything from lectures to social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plans happening through screens, many students feel they are never truly "off."</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65.5726623535156"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3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43204498291016" w:lineRule="auto"/>
        <w:ind w:left="1443.5711669921875" w:right="19.5288085937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impact cascades in ways that statistics struggle to capture. Students withdraw from courses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they once loved. Placements the very thing many of us were most excited about become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sources of dread rather than growth. Relationships with course mates fray because nobody has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emotional capacity to support anyone else and perhaps most damagingly, students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internalize all of this as personal inadequacy rather than recognizing it as a systemic failure.</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6.3696289062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What Needs to Happen Next</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8.707275390625" w:line="343.8840579986572" w:lineRule="auto"/>
        <w:ind w:left="1447.5456237792969" w:right="0" w:firstLine="10.3776550292968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Universities need to stop treating mental health as a student services issue and start seeing it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as a whole-institution responsibility.That means mandatory mental health training for all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personal tutors and crucially an honest conversation about whether current maintenance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support allows students to focus on their education. If you're a student reading this, your next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step is not to "try harder" at self-care. It is to ask your course leaders and your MP what they are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doing to address the structural conditions making students unwell.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69.15283203125" w:line="240" w:lineRule="auto"/>
        <w:ind w:left="1448.460083007812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4. NHS EDI Quiz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69384765625" w:line="343.3407211303711" w:lineRule="auto"/>
        <w:ind w:left="1453.2864379882812" w:right="77.379150390625" w:firstLine="9.49447631835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1. The primary goal is to create a workforce where every staff member feels a genuine sense of  belonging and can progress based on merit rather than background, which in turn drives better  patient outcomes across all communities.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6.45263671875" w:line="343.34095001220703" w:lineRule="auto"/>
        <w:ind w:left="1443.5711669921875" w:right="42.950439453125" w:firstLine="2.6496887207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2. The plan requires all NHS trusts to publish action plans addressing their specific gender pay  gaps, with clear targets for improving female representation in senior Agenda for Change bands  where women remain underrepresented.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7.0526123046875" w:line="343.341064453125" w:lineRule="auto"/>
        <w:ind w:left="1447.5456237792969" w:right="780.845947265625" w:firstLine="0.44158935546875"/>
        <w:jc w:val="both"/>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3. Intersectionality refers to the way different aspects of a person's identity like race and  socioeconomic background—overlap and create distinct experiences of disadvantage or  discrimination that cannot be understood by looking at each characteristic in isolation.</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76.7726135253906"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4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5226535797119" w:lineRule="auto"/>
        <w:ind w:left="1446.0000610351562" w:right="468.194580078125" w:hanging="2.20794677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4. Without psychological safety, staff do not feel able to speak up about errors or challenge  discriminatory behavior all of which directly undermine both patient safety and workforce  retention.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6.285400390625" w:line="343.34195137023926" w:lineRule="auto"/>
        <w:ind w:left="1443.5711669921875" w:right="329.754638671875" w:firstLine="3.974456787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5. The plan advocates for structured induction programs that go beyond clinical orientation to  include cultural integration support and clear pathways for addressing workplace concerns  without fear of repercussions.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7.052001953125" w:line="343.3406352996826" w:lineRule="auto"/>
        <w:ind w:left="1443.5711669921875" w:right="217.554931640625" w:firstLine="5.29922485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6. Leaders are expected to model inclusive behavior visibly and hold themselves accountable  through performance objectives tied to EDI metrics, so that accountability flows from the  boardroom to every level of the organization.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6.4532470703125" w:line="344.4269371032715" w:lineRule="auto"/>
        <w:ind w:left="1443.5711669921875" w:right="175.8544921875" w:firstLine="5.07843017578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7. The plan promotes targeted health and wellbeing support for staff groups who experience  worse health outcomes like those from minority ethnic backgrounds recognizing that workforce  health inequalities mirror wider societal patterns.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3.453369140625" w:line="344.4269371032715" w:lineRule="auto"/>
        <w:ind w:left="1443.5711669921875" w:right="52.208251953125" w:firstLine="5.29922485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8. Without robust data broken down by protected characteristics that cannot identify where  disparities exist in recruitment or disciplinary processes, meaning problems remain invisible and  therefore unaddressed.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5.4541015625" w:line="343.6128330230713" w:lineRule="auto"/>
        <w:ind w:left="1443.5711669921875" w:right="21.580810546875" w:firstLine="6.18240356445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9. Flexible working enables staff with caring responsibilities, disabilities, or health conditions to  remain in and progress through the workforce rather than being forced out by full-time only roles  that disproportionately exclude certain groups.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6.2026977539062" w:line="343.30467224121094" w:lineRule="auto"/>
        <w:ind w:left="1447.5456237792969" w:right="378.62548828125" w:firstLine="15.23529052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10. The plan calls for all trusts to implement a zero-tolerance approach backed by clear  reporting mechanisms and trained Freedom to Speak Up Guardians who provide staff with a  safe, confidential route to raise concerns.</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8.0860900878906"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5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0.6944274902344"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5. Letter to Yourself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8935546875" w:line="240" w:lineRule="auto"/>
        <w:ind w:left="1458.3648681640625" w:right="0" w:firstLine="0"/>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Dear Me,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3.126220703125" w:line="343.3413791656494" w:lineRule="auto"/>
        <w:ind w:left="1449.3119812011719" w:right="51.763916015625" w:firstLine="11.2608337402343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I'm writing this to you during your first month of placement, because I know right now you're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convinced you don't belong here. You've cried in the car twice this week and you're spending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evenings replaying every interaction searching for the moment you exposed yourself as a fraud.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 need you to hear something: that feeling isn't evidence of your inadequacy. It has a name and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understanding it will change everything for you.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6.253662109375" w:line="343.62250328063965" w:lineRule="auto"/>
        <w:ind w:left="1442.9087829589844" w:right="21.94580078125" w:firstLine="1.104125976562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What actually happened during those first weeks wasn't that you were incompetent. It was that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you walked onto a ward where staff were stretched beyond capacity, where patients were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frustrated and where nobody had the bandwidth to ease you in gently. A patient shouted at you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because his discharge had been delayed again. Your mentor corrected you in front of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colleagues and you felt heat rise up your neck. You interpreted all of this as personal failure.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Goleman (1995) describes emotional intelligence as the capacity to recognize that our feelings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are data rather than truth and that distinction is what you were missing. If you had understood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emotional intelligence then, you would have identified your shame as a reaction to a challenging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environment rather than proof that you were unfit to practice. You would have named the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emotion, separated it from the facts.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39306640625" w:line="343.88394355773926" w:lineRule="auto"/>
        <w:ind w:left="1443.5711669921875" w:right="13.34716796875" w:firstLine="16.33926391601562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Resilience would have helped you differently. Masten (2001) frames resilience not as toughness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or stoicism but as the ability to adapt positively despite adversity, drawing on ordinary protective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systems like peer support and mentorship. You had those systems available there was a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student group chat you were ignoring, and a personal tutor who would have listened but you</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were too caught up in hiding your struggle to actually access any of it.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79.35302734375" w:line="240" w:lineRule="auto"/>
        <w:ind w:left="1452.6097106933594"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6. Gantt Chart and Written Explanation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89385986328125" w:line="240" w:lineRule="auto"/>
        <w:ind w:left="1440.4800415039062"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  </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0.726318359375" w:line="240" w:lineRule="auto"/>
        <w:ind w:left="1440.4800415039062"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Career Action Plan Gantt Chart</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463623046875"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6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tbl>
      <w:tblPr>
        <w:tblStyle w:val="Table1"/>
        <w:tblW w:w="9351.919555664062" w:type="dxa"/>
        <w:jc w:val="left"/>
        <w:tblInd w:w="1327.680053710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786.1199951171875"/>
        <w:gridCol w:w="1694.7998046875"/>
        <w:gridCol w:w="1695"/>
        <w:gridCol w:w="1175.999755859375"/>
        <w:tblGridChange w:id="0">
          <w:tblGrid>
            <w:gridCol w:w="4786.1199951171875"/>
            <w:gridCol w:w="1694.7998046875"/>
            <w:gridCol w:w="1695"/>
            <w:gridCol w:w="1175.999755859375"/>
          </w:tblGrid>
        </w:tblGridChange>
      </w:tblGrid>
      <w:tr>
        <w:trPr>
          <w:cantSplit w:val="0"/>
          <w:trHeight w:val="1169.199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51525878906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Goal </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3.526611328125" w:line="240" w:lineRule="auto"/>
              <w:ind w:left="120.52795410156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(2028)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119.11376953125" w:firstLine="0"/>
              <w:jc w:val="righ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Year 1 (2026)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Year 2 (2027)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3.3117675781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Year 3 </w:t>
            </w:r>
          </w:p>
        </w:tc>
      </w:tr>
      <w:tr>
        <w:trPr>
          <w:cantSplit w:val="0"/>
          <w:trHeight w:val="969.6008300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5149269104004" w:lineRule="auto"/>
              <w:ind w:left="120.30715942382812" w:right="674.852294921875" w:firstLine="2.208099365234375"/>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Complete BSc Health and Social Care  degree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7996826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r>
        <w:trPr>
          <w:cantSplit w:val="0"/>
          <w:trHeight w:val="969.599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41113281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Secure a substantive NHS clinical  </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240" w:lineRule="auto"/>
              <w:ind w:left="126.489562988281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placement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7996826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r>
      <w:tr>
        <w:trPr>
          <w:cantSplit w:val="0"/>
          <w:trHeight w:val="648.000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58084106445312"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Develop data literacy and analytical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7996826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5.3570556640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r>
        <w:trPr>
          <w:cantSplit w:val="0"/>
          <w:trHeight w:val="970.198974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88574600219727" w:lineRule="auto"/>
              <w:ind w:left="120.30715942382812" w:right="1018.1967163085938" w:firstLine="9.273681640625"/>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Build professional network in care  coordination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2.799682617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r>
        <w:trPr>
          <w:cantSplit w:val="0"/>
          <w:trHeight w:val="969.6008300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20.30715942382812" w:right="309.649658203125" w:firstLine="2.208099365234375"/>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Complete care coordination short course  or CPD module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5.3570556640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r>
      <w:tr>
        <w:trPr>
          <w:cantSplit w:val="0"/>
          <w:trHeight w:val="647.999267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5152587890625"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Gain paid NHS experience (Band 3/4)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r>
        <w:trPr>
          <w:cantSplit w:val="0"/>
          <w:trHeight w:val="647.9998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7.21603393554688"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Apply for Band 5 care coordinator roles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r>
        <w:trPr>
          <w:cantSplit w:val="0"/>
          <w:trHeight w:val="97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87538719177246" w:lineRule="auto"/>
              <w:ind w:left="126.93115234375" w:right="1042.7056884765625" w:firstLine="1.103973388671875"/>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Maintain reflective practice log for  revalidation prep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079999923706055"/>
                <w:szCs w:val="22.079999923706055"/>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5.35705566406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957153320312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079999923706055"/>
                <w:szCs w:val="22.079999923706055"/>
                <w:u w:val="none"/>
                <w:shd w:fill="auto" w:val="clear"/>
                <w:vertAlign w:val="baseline"/>
                <w:rtl w:val="0"/>
              </w:rPr>
              <w:t xml:space="preserve">✓</w:t>
            </w:r>
          </w:p>
        </w:tc>
      </w:tr>
    </w:tbl>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34046363830566" w:lineRule="auto"/>
        <w:ind w:left="1448.2080078125" w:right="50.7861328125" w:firstLine="12.3648071289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 chose these goals because they build on each other deliberately rather than sitting in isolation.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Completing my degree is the obvious foundation, but I know from speaking to practitioners that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qualifications alone rarely secure the role I want.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8.052978515625" w:line="343.4186553955078" w:lineRule="auto"/>
        <w:ind w:left="1448.2080078125" w:right="86.50634765625" w:firstLine="2.870483398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Goleman (1995) argues that technical skill gets you noticed, but emotional intelligence gets you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hired and that principle has shaped this timeline.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The care coordination CPD module in Year 2  directly targets a skill gap identified when researching is my target role. Because it divides  ambition over manageable steps, this timeline is practical. So, I go into that process with  relevant professional credibility rather than relying solely on academic references are kept  deliberate thanks to the reflective practice diary that spans all years. Because each step  depends on the success of the one before it, momentum develops organically rather than  requiring everything to happen at once.</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61.5011596679688"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7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2.2904968261719"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7. Making Changes Report </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1.09252929687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Introduction</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1.107177734375" w:line="343.34195137023926" w:lineRule="auto"/>
        <w:ind w:left="1454.8320007324219" w:right="95.23193359375" w:hanging="11.2608337402343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This report proposes the introduction of a digital medication management system within a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residential care home setting and about the change that would replace the current paper-based</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medication administration records with an electronic system to reduce errors. </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0.8520507812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Reason for Change</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9.306640625" w:line="343.8840579986572" w:lineRule="auto"/>
        <w:ind w:left="1447.5456237792969" w:right="441.475830078125" w:hanging="3.9744567871093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WHO (2017) identifies medication-related harm as a global patient safety priority,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estimating that unsafe medication practices contribute to significant avoidable hospital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admissions among older adults. A digital system introduces barcode scanning and real-time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stock monitoring and as for residents with complex polypharmacy needs, this is not a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convenience upgrade but a safety necessity. </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0.35278320312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Implementation</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9.1058349609375" w:line="343.7027835845947" w:lineRule="auto"/>
        <w:ind w:left="1443.5711669921875" w:right="108.81103515625" w:firstLine="7.72811889648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Successful implementation depends on three interconnected elements: staff training and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appropriate resourcing. Training must begin before the system goes live and continue through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transition period, with particular attention given to staff who lack digital confidence an issue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Kotter (1996) addresses by stressing that lasting change requires building a guiding coalition of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early adopters who can support hesitant colleagues. Monitoring should be embedded from day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one, tracking both error rates and staff confidence levels so that problems surface early and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adjustments can be made before patterns of resistance solidify.</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2.919921875"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Barriers</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9.306640625" w:line="343.32286834716797" w:lineRule="auto"/>
        <w:ind w:left="1443.5711669921875" w:right="161.0595703125" w:firstLine="0"/>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The most significant barrier is not financial but cultural. Staff who have used paper MAR charts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for years may perceive the digital system as surveillance rather than support, breeding quiet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resistance. Cost is a genuine concern for independently run care homes operating on tight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margins and additionally, a lack of digital literacy among some staff members could widen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existing confidence gaps unless training is genuinely inclusive and paced appropriately.</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4.869384765625"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8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40.4800415039062" w:right="0" w:firstLine="0"/>
        <w:jc w:val="left"/>
        <w:rPr>
          <w:rFonts w:ascii="Arial" w:cs="Arial" w:eastAsia="Arial" w:hAnsi="Arial"/>
          <w:b w:val="0"/>
          <w:bCs w:val="0"/>
          <w:i w:val="0"/>
          <w:iCs w:val="0"/>
          <w:smallCaps w:val="0"/>
          <w:strike w:val="0"/>
          <w:color w:val="000000"/>
          <w:sz w:val="28.079999923706055"/>
          <w:szCs w:val="28.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808080"/>
          <w:sz w:val="22.079999923706055"/>
          <w:szCs w:val="22.079999923706055"/>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28.079999923706055"/>
          <w:szCs w:val="28.079999923706055"/>
          <w:highlight w:val="white"/>
          <w:u w:val="none"/>
          <w:vertAlign w:val="baseline"/>
          <w:rtl w:val="0"/>
        </w:rPr>
        <w:t xml:space="preserve">Change Model</w:t>
      </w:r>
      <w:r w:rsidDel="00000000" w:rsidR="00000000" w:rsidRPr="00000000">
        <w:rPr>
          <w:rFonts w:ascii="Arial" w:cs="Arial" w:eastAsia="Arial" w:hAnsi="Arial"/>
          <w:b w:val="0"/>
          <w:bCs w:val="0"/>
          <w:i w:val="0"/>
          <w:iCs w:val="0"/>
          <w:smallCaps w:val="0"/>
          <w:strike w:val="0"/>
          <w:color w:val="000000"/>
          <w:sz w:val="28.079999923706055"/>
          <w:szCs w:val="28.079999923706055"/>
          <w:u w:val="none"/>
          <w:shd w:fill="auto" w:val="clear"/>
          <w:vertAlign w:val="baseline"/>
          <w:rtl w:val="0"/>
        </w:rPr>
        <w:t xml:space="preserve"> </w:t>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8.707275390625" w:line="343.884916305542" w:lineRule="auto"/>
        <w:ind w:left="1447.5456237792969" w:right="27.0361328125" w:firstLine="9.71527099609375"/>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Lewin's Change Model offers a practical framework here. The unfreezing stage involves helping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staff recognize the risks inherent in the current paper system. The change stage implements the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new digital process with support structures in place. The refreezing stage embeds the system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into everyday practice so that electronic medication administration becomes simply how things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are done (Burnes, 2004).</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414.6728515625"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9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4.1600036621094" w:right="0" w:firstLine="0"/>
        <w:jc w:val="left"/>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8. Reference </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2.2802734375" w:line="348.41219902038574" w:lineRule="auto"/>
        <w:ind w:left="1811.961669921875" w:right="71.66381835937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Bourdieu, P. (1986) ‘The forms of capital’, in Richardson, J.G. (ed.) Handbook of Theory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and Research for the Sociology of Education. New York: Greenwood Press.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Burnes, B. (2004) ‘Kurt Lewin and the planned approach to change: a re-appraisal’,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Journal of Management Studies.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187744140625" w:line="349.86084938049316" w:lineRule="auto"/>
        <w:ind w:left="1811.961669921875" w:right="41.054687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Goffman, E. (1959) The Presentation of Self in Everyday Life. New York: Anchor Books.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Goleman, D. (1995) Emotional Intelligence: Why It Can Matter More Than IQ. New York: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Bantam Books.</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85400390625" w:line="349.86056327819824" w:lineRule="auto"/>
        <w:ind w:left="1811.961669921875" w:right="308.6645507812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Granovetter, M.S. (1973) ‘The strength of weak ties’, American Journal of Sociology. </w:t>
      </w: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Masten, A.S. (2001) ‘Ordinary magic: resilience processes in development’, American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Psychologist.</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8553466796875" w:line="345.5134105682373" w:lineRule="auto"/>
        <w:ind w:left="2177.401580810547" w:right="285.921630859375" w:hanging="365.4399108886719"/>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Rolfe, G., Freshwater, D. and Jasper, M. (2001) Critical Reflection for Nursing and the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Helping Professions: A User's Guide. Basingstoke: Palgrave. </w:t>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53759765625" w:line="343.341007232666" w:lineRule="auto"/>
        <w:ind w:left="2170.115203857422" w:right="642.294921875" w:hanging="358.1535339355469"/>
        <w:jc w:val="left"/>
        <w:rPr>
          <w:rFonts w:ascii="Arial" w:cs="Arial" w:eastAsia="Arial" w:hAnsi="Arial"/>
          <w:b w:val="0"/>
          <w:bCs w:val="0"/>
          <w:i w:val="0"/>
          <w:iCs w:val="0"/>
          <w:smallCaps w:val="0"/>
          <w:strike w:val="0"/>
          <w:color w:val="000000"/>
          <w:sz w:val="22.079999923706055"/>
          <w:szCs w:val="22.079999923706055"/>
          <w:highlight w:val="white"/>
          <w:u w:val="none"/>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World Health Organization (2017) Medication Without Harm: Global Patient Safety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highlight w:val="white"/>
          <w:u w:val="none"/>
          <w:vertAlign w:val="baseline"/>
          <w:rtl w:val="0"/>
        </w:rPr>
        <w:t xml:space="preserve">Challenge on Medication Safety. Geneva: World Health Organization.</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922.572021484375" w:line="240" w:lineRule="auto"/>
        <w:ind w:left="0" w:right="114.75830078125" w:firstLine="0"/>
        <w:jc w:val="right"/>
        <w:rPr>
          <w:rFonts w:ascii="Calibri" w:cs="Calibri" w:eastAsia="Calibri" w:hAnsi="Calibri"/>
          <w:b w:val="0"/>
          <w:bCs w:val="0"/>
          <w:i w:val="0"/>
          <w:iCs w:val="0"/>
          <w:smallCaps w:val="0"/>
          <w:strike w:val="0"/>
          <w:color w:val="80808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10 | </w:t>
      </w:r>
      <w:r w:rsidDel="00000000" w:rsidR="00000000" w:rsidRPr="00000000">
        <w:rPr>
          <w:rFonts w:ascii="Calibri" w:cs="Calibri" w:eastAsia="Calibri" w:hAnsi="Calibri"/>
          <w:b w:val="0"/>
          <w:bCs w:val="0"/>
          <w:i w:val="0"/>
          <w:iCs w:val="0"/>
          <w:smallCaps w:val="0"/>
          <w:strike w:val="0"/>
          <w:color w:val="808080"/>
          <w:sz w:val="22.079999923706055"/>
          <w:szCs w:val="22.079999923706055"/>
          <w:u w:val="none"/>
          <w:shd w:fill="auto" w:val="clear"/>
          <w:vertAlign w:val="baseline"/>
          <w:rtl w:val="0"/>
        </w:rPr>
        <w:t xml:space="preserve">P a g e </w:t>
      </w:r>
    </w:p>
    <w:sectPr>
      <w:pgSz w:h="15840" w:w="12240" w:orient="portrait"/>
      <w:pgMar w:bottom="0" w:top="1005.6005859375" w:left="0" w:right="1382.08007812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Arial Unicode MS"/>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