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575A4" w14:textId="4D8E9A57" w:rsidR="00C52F10" w:rsidRDefault="00C52F10">
      <w:r w:rsidRPr="00C52F10">
        <w:t>What insights does your chosen source offer regarding the history of slavery and abolition? Also comment on the gender of the chosen author.</w:t>
      </w:r>
    </w:p>
    <w:p w14:paraId="14398959" w14:textId="77777777" w:rsidR="00D704AD" w:rsidRDefault="00D704AD" w:rsidP="00D704AD">
      <w:r w:rsidRPr="00C52F10">
        <w:t xml:space="preserve">William Wells Brown, ‘Toussaint </w:t>
      </w:r>
      <w:proofErr w:type="spellStart"/>
      <w:r w:rsidRPr="00C52F10">
        <w:t>L'ouverture</w:t>
      </w:r>
      <w:proofErr w:type="spellEnd"/>
      <w:r w:rsidRPr="00C52F10">
        <w:t>,’ from The Black Man, His Antecedents, His Genius, and His Achievements (1863)</w:t>
      </w:r>
    </w:p>
    <w:p w14:paraId="58FC1BDB" w14:textId="1B273DA6" w:rsidR="00D704AD" w:rsidRDefault="00D704AD">
      <w:r>
        <w:t>The Haitian revolution is the first and only slave revolution that resulted in the forming of a new state that did not practice slavery nor governed by white people</w:t>
      </w:r>
      <w:r w:rsidR="00AC4819">
        <w:t xml:space="preserve">. The revolt was led by Toussaint L’Ouverture in 1791 as he found himself in the midst of a melting pot of countries including the French and British all fighting one another ruthlessly for 12 years. Ethnic origin did not necessarily dictate which side of the conflict one fought upon as white planters fought the white commissioners and both sides fought against Frenchmen of </w:t>
      </w:r>
      <w:r w:rsidR="002B55F2">
        <w:t>varying ideology and banner. Black people of both genders fought against their planters and the people of mixed race that were granted independence in what would become a defining struggle for equality that sparked the fuse in abolition acts worldwide.</w:t>
      </w:r>
    </w:p>
    <w:p w14:paraId="54633417" w14:textId="01E4D681" w:rsidR="00DF5370" w:rsidRDefault="00B907B9">
      <w:r>
        <w:t xml:space="preserve">The fight for freedom for the black race was not one that was easy and one that had significant political and economic repercussions worldwide among some of the biggest contemporary Empires: the British, the French and the Spanish all fought on the </w:t>
      </w:r>
      <w:r w:rsidR="00DD6EE0">
        <w:t>i</w:t>
      </w:r>
      <w:r>
        <w:t xml:space="preserve">sland of </w:t>
      </w:r>
      <w:r w:rsidR="00DD6EE0" w:rsidRPr="00DD6EE0">
        <w:t>Hispaniola</w:t>
      </w:r>
      <w:r w:rsidR="00DD6EE0">
        <w:t xml:space="preserve"> both for and against the ex-slaves. In an age of revolution across Europe and the Atlantic, Toussaint L’Ouverture </w:t>
      </w:r>
      <w:r w:rsidR="009774C9">
        <w:t>took particular inspiration from the French Revolution</w:t>
      </w:r>
      <w:r w:rsidR="009774C9">
        <w:rPr>
          <w:rStyle w:val="FootnoteReference"/>
        </w:rPr>
        <w:footnoteReference w:id="1"/>
      </w:r>
      <w:r w:rsidR="00001BF2">
        <w:t xml:space="preserve"> and took it upon himself to </w:t>
      </w:r>
      <w:r w:rsidR="002B4647">
        <w:t>lead his people to freedom against the slavers.</w:t>
      </w:r>
      <w:r w:rsidR="00B34315">
        <w:t xml:space="preserve"> While the initial insurrection was ultimately quite swift, the battle had just begun and </w:t>
      </w:r>
      <w:r w:rsidR="00DF5370">
        <w:t>the ex-slaves would not be granted their freedom for 12 years after the beginning of the revolution, they had to fight tooth and nail against all opposition to earn their freedom</w:t>
      </w:r>
      <w:r w:rsidR="00BD1272">
        <w:t>: with the British</w:t>
      </w:r>
      <w:r w:rsidR="00BD1272">
        <w:rPr>
          <w:rStyle w:val="FootnoteReference"/>
        </w:rPr>
        <w:footnoteReference w:id="2"/>
      </w:r>
      <w:r w:rsidR="00BD1272">
        <w:t xml:space="preserve"> and French</w:t>
      </w:r>
      <w:r w:rsidR="00BD1272">
        <w:rPr>
          <w:rStyle w:val="FootnoteReference"/>
        </w:rPr>
        <w:footnoteReference w:id="3"/>
      </w:r>
      <w:r w:rsidR="00BD1272">
        <w:t xml:space="preserve"> launching some of the biggest naval fleets they’d ever launched to fight against Toussaint.</w:t>
      </w:r>
      <w:r w:rsidR="00DF5370">
        <w:t xml:space="preserve"> </w:t>
      </w:r>
      <w:r w:rsidR="007855FF">
        <w:t>Both Empires had significant financial assets in the West Indies and were scared of the idea of their colonies rising up against them</w:t>
      </w:r>
      <w:r w:rsidR="00F72B97">
        <w:t>, and as such used as much brute force as they could muster to overcome the insurrection so as it did not spread across the rest of the region.</w:t>
      </w:r>
    </w:p>
    <w:p w14:paraId="38A41954" w14:textId="77309DCA" w:rsidR="002B55F2" w:rsidRDefault="002B4647">
      <w:r>
        <w:t xml:space="preserve">While the revolution had support from many foreign parties, much of their support was given with ulterior motives: </w:t>
      </w:r>
      <w:r w:rsidR="005E3B38">
        <w:t xml:space="preserve">the Colonial Kingpins of the era used Haiti as a pawn in their game of world power. Spain joined the conflict on the side of the slaves in a bid to fight against the French but </w:t>
      </w:r>
      <w:r w:rsidR="00100C5D">
        <w:t>when the majority of the French joined the side of the slaves after the emancipation of slaves by French commissioners</w:t>
      </w:r>
      <w:r w:rsidR="00D83573">
        <w:rPr>
          <w:rStyle w:val="FootnoteReference"/>
        </w:rPr>
        <w:footnoteReference w:id="4"/>
      </w:r>
      <w:r w:rsidR="00D83573">
        <w:t xml:space="preserve"> the Spanish continued to fight against the French and therefore the ex-slaves as well. </w:t>
      </w:r>
      <w:r w:rsidR="001F0A8F">
        <w:t>The French</w:t>
      </w:r>
      <w:r w:rsidR="008B6AB4">
        <w:t>,</w:t>
      </w:r>
      <w:r w:rsidR="001F0A8F">
        <w:t xml:space="preserve"> </w:t>
      </w:r>
      <w:r w:rsidR="008B6AB4">
        <w:t>despite fighting</w:t>
      </w:r>
      <w:r w:rsidR="00630E5F">
        <w:t xml:space="preserve"> against the anti-slavery revolt of Toussaint L’Ouverture</w:t>
      </w:r>
      <w:r w:rsidR="008B6AB4">
        <w:t xml:space="preserve"> </w:t>
      </w:r>
      <w:r w:rsidR="001F0A8F">
        <w:t xml:space="preserve">abolished slavery in all French territories in 1794 in </w:t>
      </w:r>
      <w:r w:rsidR="008B6AB4">
        <w:t xml:space="preserve">a political manoeuvre that was designed to gain moral high ground against </w:t>
      </w:r>
      <w:r w:rsidR="00630E5F">
        <w:t xml:space="preserve">the </w:t>
      </w:r>
      <w:r w:rsidR="008B6AB4">
        <w:t>English</w:t>
      </w:r>
      <w:r w:rsidR="00630E5F">
        <w:t xml:space="preserve"> only to have slavery reinstated by Napoleon Bonaparte 10 years later. </w:t>
      </w:r>
      <w:r w:rsidR="006D1756">
        <w:t>T</w:t>
      </w:r>
      <w:r w:rsidR="00500DD8">
        <w:t>his uprising</w:t>
      </w:r>
      <w:r w:rsidR="00F61962">
        <w:t xml:space="preserve"> is monumental in the history of slavery and abolition as it shook the New World to its core and ended </w:t>
      </w:r>
      <w:r w:rsidR="006A2225">
        <w:t xml:space="preserve">for many the illusion brought upon by Enlightenment thinkers that Black people were of lower intellect and could not live in </w:t>
      </w:r>
      <w:r w:rsidR="006D1756">
        <w:t xml:space="preserve">a </w:t>
      </w:r>
      <w:r w:rsidR="006A2225">
        <w:t>society without white “enlightened leaders”</w:t>
      </w:r>
      <w:r w:rsidR="006D1756">
        <w:rPr>
          <w:rStyle w:val="FootnoteReference"/>
        </w:rPr>
        <w:footnoteReference w:id="5"/>
      </w:r>
      <w:r w:rsidR="006A2225">
        <w:t>.</w:t>
      </w:r>
      <w:r w:rsidR="006D1756">
        <w:t xml:space="preserve"> </w:t>
      </w:r>
      <w:r w:rsidR="006D1756">
        <w:lastRenderedPageBreak/>
        <w:t>However, this was only the beginning of the fight for equal rights that is still being fought today – this is the case because the governments of the world powers such as France, America and the United Kingdom needed more incentive to end slavery than the fear of revolution from the slaves, they needed financial reassurance that this was possible.</w:t>
      </w:r>
      <w:r w:rsidR="00BB7295">
        <w:t xml:space="preserve"> Napoleon Bonaparte knew that the </w:t>
      </w:r>
      <w:r w:rsidR="00BB7295" w:rsidRPr="00BB7295">
        <w:t>Saint-Domingue</w:t>
      </w:r>
      <w:r w:rsidR="00BB7295">
        <w:t xml:space="preserve"> sugar trade was one of the largest financial producers of the French Empire and was not willing to let it go for something as trivial as “equal rights”</w:t>
      </w:r>
      <w:r w:rsidR="00351E4D">
        <w:t xml:space="preserve"> and while slavery was formally abolished in France in 1818 it was not banned in its’ colonies until 30 years later. The financial incentive for the French came in 1825 when it demanded with threat of force that Haiti pay reparations for the lost colony</w:t>
      </w:r>
      <w:r w:rsidR="000C38DA">
        <w:rPr>
          <w:rStyle w:val="FootnoteReference"/>
        </w:rPr>
        <w:footnoteReference w:id="6"/>
      </w:r>
      <w:r w:rsidR="000C38DA">
        <w:t xml:space="preserve">. Britain and the United States had similar financial incentive when they both introduced fines as punishment for the selling and ownership of slaves but these were implemented across a wide time scale gradually becoming more intense. </w:t>
      </w:r>
      <w:r w:rsidR="003862D5">
        <w:t xml:space="preserve">Other countries that were not global superpowers were much quicker to ban slavery, across South America and Europe countries like the United Provinces [Of South America] and the declining Spanish Empire were pioneering emancipation thanks to the example set but Toussaint L’Ouverture in Haiti. </w:t>
      </w:r>
    </w:p>
    <w:p w14:paraId="1F22569B" w14:textId="4D3E0FCE" w:rsidR="00DC0F3B" w:rsidRDefault="00DC0F3B">
      <w:r>
        <w:t xml:space="preserve">The author of this work, William Wells Brown was born into slavery and did not officially become a free man until he was 50 years old, Brown was an avid abolitionist and equal rights activist – speaking and writing for suffrage of all. </w:t>
      </w:r>
      <w:r w:rsidR="007855FF">
        <w:t xml:space="preserve">Brown himself was of mixed race and knew first-hand the discrimination that black people were suffering </w:t>
      </w:r>
      <w:r w:rsidR="00F72B97">
        <w:t>worldwide</w:t>
      </w:r>
      <w:r w:rsidR="007855FF">
        <w:t xml:space="preserve"> but used the status he had in Europe as a free man of colour to educate himself and others as best he could about the anti-slave movement.</w:t>
      </w:r>
    </w:p>
    <w:p w14:paraId="66868F42" w14:textId="60F13437" w:rsidR="00F72B97" w:rsidRDefault="00F72B97">
      <w:r>
        <w:br w:type="page"/>
      </w:r>
    </w:p>
    <w:p w14:paraId="206D0EC7" w14:textId="5BC41D54" w:rsidR="003862D5" w:rsidRDefault="00F72B97">
      <w:pPr>
        <w:rPr>
          <w:u w:val="single"/>
        </w:rPr>
      </w:pPr>
      <w:r w:rsidRPr="00F72B97">
        <w:rPr>
          <w:u w:val="single"/>
        </w:rPr>
        <w:lastRenderedPageBreak/>
        <w:t>Bibliography</w:t>
      </w:r>
    </w:p>
    <w:p w14:paraId="342ED6BF" w14:textId="679436A5" w:rsidR="00F72B97" w:rsidRDefault="00F72B97">
      <w:pPr>
        <w:rPr>
          <w:u w:val="single"/>
        </w:rPr>
      </w:pPr>
      <w:r>
        <w:rPr>
          <w:u w:val="single"/>
        </w:rPr>
        <w:t>Books</w:t>
      </w:r>
    </w:p>
    <w:p w14:paraId="400BD568" w14:textId="2106C8AE" w:rsidR="00F72B97" w:rsidRDefault="00F72B97">
      <w:r w:rsidRPr="00F72B97">
        <w:t xml:space="preserve">James Perry, </w:t>
      </w:r>
      <w:r w:rsidRPr="00F72B97">
        <w:rPr>
          <w:i/>
          <w:iCs/>
        </w:rPr>
        <w:t>Arrogant Armies: Great Military Disasters and the Generals Behind Them</w:t>
      </w:r>
      <w:r w:rsidRPr="00F72B97">
        <w:t xml:space="preserve">. (Edison: </w:t>
      </w:r>
      <w:proofErr w:type="spellStart"/>
      <w:r w:rsidRPr="00F72B97">
        <w:t>CastleBooks</w:t>
      </w:r>
      <w:proofErr w:type="spellEnd"/>
      <w:r w:rsidRPr="00F72B97">
        <w:t xml:space="preserve">, 2005) </w:t>
      </w:r>
    </w:p>
    <w:p w14:paraId="1C4D8325" w14:textId="5BE2C199" w:rsidR="00F72B97" w:rsidRDefault="00F72B97">
      <w:r w:rsidRPr="00F72B97">
        <w:t xml:space="preserve">Lucien </w:t>
      </w:r>
      <w:proofErr w:type="spellStart"/>
      <w:r w:rsidRPr="00F72B97">
        <w:t>Goldmann</w:t>
      </w:r>
      <w:proofErr w:type="spellEnd"/>
      <w:r w:rsidRPr="00F72B97">
        <w:t xml:space="preserve">. </w:t>
      </w:r>
      <w:r w:rsidRPr="00F72B97">
        <w:rPr>
          <w:i/>
          <w:iCs/>
        </w:rPr>
        <w:t xml:space="preserve">The Philosophy of the Enlightenment: </w:t>
      </w:r>
      <w:proofErr w:type="gramStart"/>
      <w:r w:rsidRPr="00F72B97">
        <w:rPr>
          <w:i/>
          <w:iCs/>
        </w:rPr>
        <w:t>the</w:t>
      </w:r>
      <w:proofErr w:type="gramEnd"/>
      <w:r w:rsidRPr="00F72B97">
        <w:rPr>
          <w:i/>
          <w:iCs/>
        </w:rPr>
        <w:t xml:space="preserve"> Christian Burgess and the Enlightenment</w:t>
      </w:r>
      <w:r w:rsidRPr="00F72B97">
        <w:t>. (Cambridge, Massachusetts: MIT Press, 1973)</w:t>
      </w:r>
    </w:p>
    <w:p w14:paraId="0DA60845" w14:textId="6AF7D0A2" w:rsidR="00F72B97" w:rsidRDefault="00F72B97">
      <w:pPr>
        <w:rPr>
          <w:u w:val="single"/>
        </w:rPr>
      </w:pPr>
      <w:r>
        <w:rPr>
          <w:u w:val="single"/>
        </w:rPr>
        <w:t>Books Accessed Online</w:t>
      </w:r>
    </w:p>
    <w:p w14:paraId="33716A01" w14:textId="31606E46" w:rsidR="00F72B97" w:rsidRDefault="00F72B97" w:rsidP="00F72B97">
      <w:r w:rsidRPr="00F72B97">
        <w:t>Wells Brown,</w:t>
      </w:r>
      <w:r>
        <w:t xml:space="preserve"> William.</w:t>
      </w:r>
      <w:r w:rsidRPr="00F72B97">
        <w:t xml:space="preserve"> ‘Toussaint </w:t>
      </w:r>
      <w:proofErr w:type="spellStart"/>
      <w:r w:rsidRPr="00F72B97">
        <w:t>L'ouverture</w:t>
      </w:r>
      <w:proofErr w:type="spellEnd"/>
      <w:r w:rsidRPr="00F72B97">
        <w:t xml:space="preserve">,’ from </w:t>
      </w:r>
      <w:r w:rsidRPr="00F72B97">
        <w:rPr>
          <w:i/>
          <w:iCs/>
        </w:rPr>
        <w:t>The Black Man, His Antecedents, His Genius, and His Achievement</w:t>
      </w:r>
      <w:r w:rsidRPr="00F72B97">
        <w:t>s (1863) Accessed via &lt;</w:t>
      </w:r>
      <w:hyperlink r:id="rId7" w:history="1">
        <w:r w:rsidRPr="00F72B97">
          <w:rPr>
            <w:rStyle w:val="Hyperlink"/>
          </w:rPr>
          <w:t>https://archive.org/details/blackmanthe00browrich/page/96/mode/2up</w:t>
        </w:r>
      </w:hyperlink>
      <w:r w:rsidRPr="00F72B97">
        <w:t>&gt; Uploaded by scanner-</w:t>
      </w:r>
      <w:proofErr w:type="spellStart"/>
      <w:r w:rsidRPr="00F72B97">
        <w:t>ian</w:t>
      </w:r>
      <w:proofErr w:type="spellEnd"/>
      <w:r w:rsidRPr="00F72B97">
        <w:t>-white</w:t>
      </w:r>
    </w:p>
    <w:p w14:paraId="5B734686" w14:textId="75E96AA4" w:rsidR="00F72B97" w:rsidRDefault="00F72B97" w:rsidP="00F72B97">
      <w:r w:rsidRPr="00F72B97">
        <w:t>Leger,</w:t>
      </w:r>
      <w:r>
        <w:t xml:space="preserve"> </w:t>
      </w:r>
      <w:r w:rsidRPr="00F72B97">
        <w:t xml:space="preserve">J.N. </w:t>
      </w:r>
      <w:r w:rsidRPr="00F72B97">
        <w:rPr>
          <w:i/>
          <w:iCs/>
        </w:rPr>
        <w:t>Haiti: Her History and Her Detractors</w:t>
      </w:r>
      <w:r w:rsidRPr="00F72B97">
        <w:t>. [The Neale Publishing Co.: New York &amp; Washington. 1907] Accessed via &lt;https://archive.org/stream/haitiherhistoryh00lguoft/haitiherhistoryh00lguoft_djvu.txt&gt;</w:t>
      </w:r>
    </w:p>
    <w:p w14:paraId="1D9FDA68" w14:textId="77777777" w:rsidR="00F72B97" w:rsidRPr="00F72B97" w:rsidRDefault="00F72B97" w:rsidP="00F72B97"/>
    <w:sectPr w:rsidR="00F72B97" w:rsidRPr="00F72B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A54FB" w14:textId="77777777" w:rsidR="00833AE5" w:rsidRDefault="00833AE5" w:rsidP="009774C9">
      <w:pPr>
        <w:spacing w:after="0" w:line="240" w:lineRule="auto"/>
      </w:pPr>
      <w:r>
        <w:separator/>
      </w:r>
    </w:p>
  </w:endnote>
  <w:endnote w:type="continuationSeparator" w:id="0">
    <w:p w14:paraId="39C90813" w14:textId="77777777" w:rsidR="00833AE5" w:rsidRDefault="00833AE5" w:rsidP="00977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2395C" w14:textId="77777777" w:rsidR="00833AE5" w:rsidRDefault="00833AE5" w:rsidP="009774C9">
      <w:pPr>
        <w:spacing w:after="0" w:line="240" w:lineRule="auto"/>
      </w:pPr>
      <w:r>
        <w:separator/>
      </w:r>
    </w:p>
  </w:footnote>
  <w:footnote w:type="continuationSeparator" w:id="0">
    <w:p w14:paraId="4E66A346" w14:textId="77777777" w:rsidR="00833AE5" w:rsidRDefault="00833AE5" w:rsidP="009774C9">
      <w:pPr>
        <w:spacing w:after="0" w:line="240" w:lineRule="auto"/>
      </w:pPr>
      <w:r>
        <w:continuationSeparator/>
      </w:r>
    </w:p>
  </w:footnote>
  <w:footnote w:id="1">
    <w:p w14:paraId="67A99216" w14:textId="3DBBE6B1" w:rsidR="009774C9" w:rsidRDefault="009774C9" w:rsidP="00001BF2">
      <w:pPr>
        <w:pStyle w:val="FootnoteText"/>
      </w:pPr>
      <w:r>
        <w:rPr>
          <w:rStyle w:val="FootnoteReference"/>
        </w:rPr>
        <w:footnoteRef/>
      </w:r>
      <w:r>
        <w:t xml:space="preserve"> </w:t>
      </w:r>
      <w:r w:rsidRPr="009774C9">
        <w:t xml:space="preserve">William Wells Brown, ‘Toussaint </w:t>
      </w:r>
      <w:proofErr w:type="spellStart"/>
      <w:r w:rsidRPr="009774C9">
        <w:t>L'ouverture</w:t>
      </w:r>
      <w:proofErr w:type="spellEnd"/>
      <w:r w:rsidRPr="009774C9">
        <w:t xml:space="preserve">,’ from </w:t>
      </w:r>
      <w:r w:rsidRPr="00F72B97">
        <w:rPr>
          <w:i/>
          <w:iCs/>
        </w:rPr>
        <w:t>The Black Man, His Antecedents, His Genius, and His Achievements</w:t>
      </w:r>
      <w:r w:rsidRPr="009774C9">
        <w:t xml:space="preserve"> (1863)</w:t>
      </w:r>
      <w:r w:rsidR="00001BF2">
        <w:t xml:space="preserve"> pp. 93-95</w:t>
      </w:r>
      <w:r>
        <w:t xml:space="preserve"> Accessed via &lt;</w:t>
      </w:r>
      <w:hyperlink r:id="rId1" w:history="1">
        <w:r w:rsidRPr="003C3E95">
          <w:rPr>
            <w:rStyle w:val="Hyperlink"/>
          </w:rPr>
          <w:t>https://archive.org/details/blackmanthe00br</w:t>
        </w:r>
        <w:r w:rsidRPr="003C3E95">
          <w:rPr>
            <w:rStyle w:val="Hyperlink"/>
          </w:rPr>
          <w:t>o</w:t>
        </w:r>
        <w:r w:rsidRPr="003C3E95">
          <w:rPr>
            <w:rStyle w:val="Hyperlink"/>
          </w:rPr>
          <w:t>wrich/page/96/mode/2up</w:t>
        </w:r>
      </w:hyperlink>
      <w:r>
        <w:t xml:space="preserve">&gt; </w:t>
      </w:r>
      <w:r w:rsidR="00001BF2">
        <w:t>Uploaded by</w:t>
      </w:r>
      <w:r w:rsidR="00001BF2">
        <w:t xml:space="preserve"> </w:t>
      </w:r>
      <w:r w:rsidR="00001BF2">
        <w:t>scanner-</w:t>
      </w:r>
      <w:proofErr w:type="spellStart"/>
      <w:r w:rsidR="00001BF2">
        <w:t>ian</w:t>
      </w:r>
      <w:proofErr w:type="spellEnd"/>
      <w:r w:rsidR="00001BF2">
        <w:t>-white</w:t>
      </w:r>
      <w:r w:rsidR="00001BF2">
        <w:t xml:space="preserve"> </w:t>
      </w:r>
      <w:r w:rsidR="00001BF2">
        <w:t xml:space="preserve">on </w:t>
      </w:r>
      <w:r w:rsidR="00001BF2">
        <w:t>[</w:t>
      </w:r>
      <w:r w:rsidR="00001BF2">
        <w:t>November 17, 2006</w:t>
      </w:r>
      <w:r w:rsidR="00001BF2">
        <w:t xml:space="preserve">] </w:t>
      </w:r>
      <w:r w:rsidR="000C38DA">
        <w:t>[Accessed 05/12/21]</w:t>
      </w:r>
    </w:p>
  </w:footnote>
  <w:footnote w:id="2">
    <w:p w14:paraId="2F1A0F28" w14:textId="0ADBBA75" w:rsidR="00BD1272" w:rsidRDefault="00BD1272">
      <w:pPr>
        <w:pStyle w:val="FootnoteText"/>
      </w:pPr>
      <w:r>
        <w:rPr>
          <w:rStyle w:val="FootnoteReference"/>
        </w:rPr>
        <w:footnoteRef/>
      </w:r>
      <w:r w:rsidRPr="00BD1272">
        <w:t>James Perry</w:t>
      </w:r>
      <w:r>
        <w:t>,</w:t>
      </w:r>
      <w:r w:rsidRPr="00BD1272">
        <w:t xml:space="preserve"> </w:t>
      </w:r>
      <w:r w:rsidRPr="00BD1272">
        <w:rPr>
          <w:i/>
          <w:iCs/>
        </w:rPr>
        <w:t>Arrogant Armies: Great Military Disasters and the Generals Behind Them</w:t>
      </w:r>
      <w:r w:rsidRPr="00BD1272">
        <w:t xml:space="preserve">. </w:t>
      </w:r>
      <w:r>
        <w:t>(</w:t>
      </w:r>
      <w:r w:rsidRPr="00BD1272">
        <w:t xml:space="preserve">Edison: </w:t>
      </w:r>
      <w:proofErr w:type="spellStart"/>
      <w:r w:rsidRPr="00BD1272">
        <w:t>CastleBooks</w:t>
      </w:r>
      <w:proofErr w:type="spellEnd"/>
      <w:r>
        <w:t>, 2005) p. 68</w:t>
      </w:r>
    </w:p>
  </w:footnote>
  <w:footnote w:id="3">
    <w:p w14:paraId="75C9F33C" w14:textId="2C4A9335" w:rsidR="00BD1272" w:rsidRDefault="00BD1272">
      <w:pPr>
        <w:pStyle w:val="FootnoteText"/>
      </w:pPr>
      <w:r>
        <w:rPr>
          <w:rStyle w:val="FootnoteReference"/>
        </w:rPr>
        <w:footnoteRef/>
      </w:r>
      <w:r>
        <w:t xml:space="preserve"> Wells Brown, ‘Toussaint L’Ouverture’ p.99-100</w:t>
      </w:r>
    </w:p>
  </w:footnote>
  <w:footnote w:id="4">
    <w:p w14:paraId="2B55BB87" w14:textId="43FE2894" w:rsidR="00D83573" w:rsidRDefault="00D83573">
      <w:pPr>
        <w:pStyle w:val="FootnoteText"/>
      </w:pPr>
      <w:r>
        <w:rPr>
          <w:rStyle w:val="FootnoteReference"/>
        </w:rPr>
        <w:footnoteRef/>
      </w:r>
      <w:r>
        <w:t xml:space="preserve"> Wells Brown</w:t>
      </w:r>
      <w:r w:rsidR="00BD1272">
        <w:t>,</w:t>
      </w:r>
      <w:r>
        <w:t xml:space="preserve"> ‘Toussaint L’Ouverture’ p.98</w:t>
      </w:r>
    </w:p>
  </w:footnote>
  <w:footnote w:id="5">
    <w:p w14:paraId="7CB5DFEA" w14:textId="5224B9F7" w:rsidR="006D1756" w:rsidRDefault="006D1756">
      <w:pPr>
        <w:pStyle w:val="FootnoteText"/>
      </w:pPr>
      <w:r>
        <w:rPr>
          <w:rStyle w:val="FootnoteReference"/>
        </w:rPr>
        <w:footnoteRef/>
      </w:r>
      <w:r w:rsidRPr="006D1756">
        <w:t>Lucien</w:t>
      </w:r>
      <w:r w:rsidRPr="006D1756">
        <w:t xml:space="preserve"> </w:t>
      </w:r>
      <w:proofErr w:type="spellStart"/>
      <w:r w:rsidRPr="006D1756">
        <w:t>Goldmann</w:t>
      </w:r>
      <w:proofErr w:type="spellEnd"/>
      <w:r w:rsidRPr="006D1756">
        <w:t xml:space="preserve">. </w:t>
      </w:r>
      <w:r w:rsidRPr="006D1756">
        <w:rPr>
          <w:i/>
          <w:iCs/>
        </w:rPr>
        <w:t xml:space="preserve">The Philosophy of the Enlightenment: </w:t>
      </w:r>
      <w:proofErr w:type="gramStart"/>
      <w:r w:rsidRPr="006D1756">
        <w:rPr>
          <w:i/>
          <w:iCs/>
        </w:rPr>
        <w:t>the</w:t>
      </w:r>
      <w:proofErr w:type="gramEnd"/>
      <w:r w:rsidRPr="006D1756">
        <w:rPr>
          <w:i/>
          <w:iCs/>
        </w:rPr>
        <w:t xml:space="preserve"> Christian Burgess and the Enlightenment</w:t>
      </w:r>
      <w:r w:rsidRPr="006D1756">
        <w:t xml:space="preserve">. </w:t>
      </w:r>
      <w:r>
        <w:t>(</w:t>
      </w:r>
      <w:r w:rsidRPr="006D1756">
        <w:t>Cambridge, Massachusetts: MIT Press, 1973</w:t>
      </w:r>
      <w:r>
        <w:t>)</w:t>
      </w:r>
      <w:r w:rsidRPr="006D1756">
        <w:t>.</w:t>
      </w:r>
      <w:r>
        <w:t xml:space="preserve"> P.35</w:t>
      </w:r>
    </w:p>
  </w:footnote>
  <w:footnote w:id="6">
    <w:p w14:paraId="76048D33" w14:textId="661F418B" w:rsidR="000C38DA" w:rsidRDefault="000C38DA">
      <w:pPr>
        <w:pStyle w:val="FootnoteText"/>
      </w:pPr>
      <w:r>
        <w:rPr>
          <w:rStyle w:val="FootnoteReference"/>
        </w:rPr>
        <w:footnoteRef/>
      </w:r>
      <w:r w:rsidRPr="000C38DA">
        <w:t>J.N. Leger</w:t>
      </w:r>
      <w:r>
        <w:t>,</w:t>
      </w:r>
      <w:r w:rsidRPr="000C38DA">
        <w:t xml:space="preserve"> </w:t>
      </w:r>
      <w:r w:rsidRPr="000C38DA">
        <w:rPr>
          <w:i/>
          <w:iCs/>
        </w:rPr>
        <w:t>Haiti: Her History and Her Detractors</w:t>
      </w:r>
      <w:r w:rsidRPr="000C38DA">
        <w:t xml:space="preserve">. </w:t>
      </w:r>
      <w:r>
        <w:t>[</w:t>
      </w:r>
      <w:r w:rsidRPr="000C38DA">
        <w:t>The Neale Publishing Co.: New York &amp; Washington. 1907</w:t>
      </w:r>
      <w:r>
        <w:t>]</w:t>
      </w:r>
      <w:r w:rsidRPr="000C38DA">
        <w:t xml:space="preserve"> </w:t>
      </w:r>
      <w:r>
        <w:t xml:space="preserve">Section 182 </w:t>
      </w:r>
      <w:r w:rsidRPr="000C38DA">
        <w:t>Accessed</w:t>
      </w:r>
      <w:r>
        <w:t xml:space="preserve"> via &lt;</w:t>
      </w:r>
      <w:r w:rsidRPr="000C38DA">
        <w:t>https://archive.org/stream/haitiherhistoryh00lguoft/haitiherhistoryh00lguoft_djvu.txt</w:t>
      </w:r>
      <w:r>
        <w:t>&gt; [05/12/21]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F10"/>
    <w:rsid w:val="00001BF2"/>
    <w:rsid w:val="000C38DA"/>
    <w:rsid w:val="00100C5D"/>
    <w:rsid w:val="001F0A8F"/>
    <w:rsid w:val="002B4647"/>
    <w:rsid w:val="002B55F2"/>
    <w:rsid w:val="00351E4D"/>
    <w:rsid w:val="003862D5"/>
    <w:rsid w:val="00500DD8"/>
    <w:rsid w:val="005E3B38"/>
    <w:rsid w:val="00630E5F"/>
    <w:rsid w:val="006A2225"/>
    <w:rsid w:val="006D1756"/>
    <w:rsid w:val="0077516F"/>
    <w:rsid w:val="007855FF"/>
    <w:rsid w:val="00833AE5"/>
    <w:rsid w:val="008B6AB4"/>
    <w:rsid w:val="009774C9"/>
    <w:rsid w:val="00A83AFB"/>
    <w:rsid w:val="00AC4056"/>
    <w:rsid w:val="00AC4819"/>
    <w:rsid w:val="00B34315"/>
    <w:rsid w:val="00B907B9"/>
    <w:rsid w:val="00BB7295"/>
    <w:rsid w:val="00BD1272"/>
    <w:rsid w:val="00C31A8F"/>
    <w:rsid w:val="00C52F10"/>
    <w:rsid w:val="00D704AD"/>
    <w:rsid w:val="00D83573"/>
    <w:rsid w:val="00DC0F3B"/>
    <w:rsid w:val="00DD6EE0"/>
    <w:rsid w:val="00DF5370"/>
    <w:rsid w:val="00F61962"/>
    <w:rsid w:val="00F72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9D5B1"/>
  <w15:chartTrackingRefBased/>
  <w15:docId w15:val="{C8784B0C-4437-45A9-8EE3-A70A771D7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74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74C9"/>
    <w:rPr>
      <w:sz w:val="20"/>
      <w:szCs w:val="20"/>
    </w:rPr>
  </w:style>
  <w:style w:type="character" w:styleId="FootnoteReference">
    <w:name w:val="footnote reference"/>
    <w:basedOn w:val="DefaultParagraphFont"/>
    <w:uiPriority w:val="99"/>
    <w:semiHidden/>
    <w:unhideWhenUsed/>
    <w:rsid w:val="009774C9"/>
    <w:rPr>
      <w:vertAlign w:val="superscript"/>
    </w:rPr>
  </w:style>
  <w:style w:type="character" w:styleId="Hyperlink">
    <w:name w:val="Hyperlink"/>
    <w:basedOn w:val="DefaultParagraphFont"/>
    <w:uiPriority w:val="99"/>
    <w:unhideWhenUsed/>
    <w:rsid w:val="009774C9"/>
    <w:rPr>
      <w:color w:val="0563C1" w:themeColor="hyperlink"/>
      <w:u w:val="single"/>
    </w:rPr>
  </w:style>
  <w:style w:type="character" w:styleId="UnresolvedMention">
    <w:name w:val="Unresolved Mention"/>
    <w:basedOn w:val="DefaultParagraphFont"/>
    <w:uiPriority w:val="99"/>
    <w:semiHidden/>
    <w:unhideWhenUsed/>
    <w:rsid w:val="009774C9"/>
    <w:rPr>
      <w:color w:val="605E5C"/>
      <w:shd w:val="clear" w:color="auto" w:fill="E1DFDD"/>
    </w:rPr>
  </w:style>
  <w:style w:type="character" w:styleId="FollowedHyperlink">
    <w:name w:val="FollowedHyperlink"/>
    <w:basedOn w:val="DefaultParagraphFont"/>
    <w:uiPriority w:val="99"/>
    <w:semiHidden/>
    <w:unhideWhenUsed/>
    <w:rsid w:val="00F72B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rchive.org/details/blackmanthe00browrich/page/96/mode/2u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rchive.org/details/blackmanthe00browrich/page/96/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F4872-F343-4EFA-848C-E13A36B35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Pages>
  <Words>992</Words>
  <Characters>4985</Characters>
  <Application>Microsoft Office Word</Application>
  <DocSecurity>0</DocSecurity>
  <Lines>72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1</cp:revision>
  <dcterms:created xsi:type="dcterms:W3CDTF">2021-12-05T16:20:00Z</dcterms:created>
  <dcterms:modified xsi:type="dcterms:W3CDTF">2021-12-05T21:25:00Z</dcterms:modified>
</cp:coreProperties>
</file>