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DFDC021" w:rsidP="4C019C23" w:rsidRDefault="3DFDC021" w14:paraId="34C2655D" w14:textId="76B1CF44">
      <w:pPr>
        <w:rPr>
          <w:rFonts w:ascii="Aptos" w:hAnsi="Aptos" w:eastAsia="Aptos" w:cs="Aptos"/>
          <w:b w:val="0"/>
          <w:bCs w:val="0"/>
          <w:i w:val="0"/>
          <w:iCs w:val="0"/>
          <w:caps w:val="0"/>
          <w:smallCaps w:val="0"/>
          <w:noProof w:val="0"/>
          <w:color w:val="000000" w:themeColor="text1" w:themeTint="FF" w:themeShade="FF"/>
          <w:sz w:val="56"/>
          <w:szCs w:val="56"/>
          <w:lang w:val="en-GB"/>
        </w:rPr>
      </w:pPr>
      <w:r w:rsidRPr="4C019C23" w:rsidR="3DFDC021">
        <w:rPr>
          <w:rFonts w:ascii="Aptos" w:hAnsi="Aptos" w:eastAsia="Aptos" w:cs="Aptos"/>
          <w:b w:val="1"/>
          <w:bCs w:val="1"/>
          <w:i w:val="0"/>
          <w:iCs w:val="0"/>
          <w:caps w:val="0"/>
          <w:smallCaps w:val="0"/>
          <w:noProof w:val="0"/>
          <w:color w:val="000000" w:themeColor="text1" w:themeTint="FF" w:themeShade="FF"/>
          <w:sz w:val="56"/>
          <w:szCs w:val="56"/>
          <w:lang w:val="en-GB"/>
        </w:rPr>
        <w:t xml:space="preserve">Student name:    Anita Bano </w:t>
      </w:r>
    </w:p>
    <w:p w:rsidR="3DFDC021" w:rsidP="4C019C23" w:rsidRDefault="3DFDC021" w14:paraId="19CD477B" w14:textId="0EE8DA4B">
      <w:pPr>
        <w:rPr>
          <w:rFonts w:ascii="Aptos" w:hAnsi="Aptos" w:eastAsia="Aptos" w:cs="Aptos"/>
          <w:b w:val="0"/>
          <w:bCs w:val="0"/>
          <w:i w:val="0"/>
          <w:iCs w:val="0"/>
          <w:caps w:val="0"/>
          <w:smallCaps w:val="0"/>
          <w:noProof w:val="0"/>
          <w:color w:val="000000" w:themeColor="text1" w:themeTint="FF" w:themeShade="FF"/>
          <w:sz w:val="56"/>
          <w:szCs w:val="56"/>
          <w:lang w:val="en-GB"/>
        </w:rPr>
      </w:pPr>
      <w:r w:rsidRPr="4C019C23" w:rsidR="3DFDC021">
        <w:rPr>
          <w:rFonts w:ascii="Aptos" w:hAnsi="Aptos" w:eastAsia="Aptos" w:cs="Aptos"/>
          <w:b w:val="1"/>
          <w:bCs w:val="1"/>
          <w:i w:val="0"/>
          <w:iCs w:val="0"/>
          <w:caps w:val="0"/>
          <w:smallCaps w:val="0"/>
          <w:noProof w:val="0"/>
          <w:color w:val="000000" w:themeColor="text1" w:themeTint="FF" w:themeShade="FF"/>
          <w:sz w:val="56"/>
          <w:szCs w:val="56"/>
          <w:lang w:val="en-GB"/>
        </w:rPr>
        <w:t>Student ID:            2406936</w:t>
      </w:r>
    </w:p>
    <w:p w:rsidR="3DFDC021" w:rsidP="4C019C23" w:rsidRDefault="3DFDC021" w14:paraId="44A3A903" w14:textId="0EC61B93">
      <w:pPr>
        <w:rPr>
          <w:rFonts w:ascii="Arial" w:hAnsi="Arial" w:eastAsia="Arial" w:cs="Arial"/>
          <w:b w:val="0"/>
          <w:bCs w:val="0"/>
          <w:i w:val="0"/>
          <w:iCs w:val="0"/>
          <w:caps w:val="0"/>
          <w:smallCaps w:val="0"/>
          <w:noProof w:val="0"/>
          <w:color w:val="000000" w:themeColor="text1" w:themeTint="FF" w:themeShade="FF"/>
          <w:sz w:val="52"/>
          <w:szCs w:val="52"/>
          <w:lang w:val="en-GB"/>
        </w:rPr>
      </w:pPr>
      <w:r w:rsidRPr="4C019C23" w:rsidR="3DFDC021">
        <w:rPr>
          <w:rFonts w:ascii="Aptos" w:hAnsi="Aptos" w:eastAsia="Aptos" w:cs="Aptos"/>
          <w:b w:val="1"/>
          <w:bCs w:val="1"/>
          <w:i w:val="0"/>
          <w:iCs w:val="0"/>
          <w:caps w:val="0"/>
          <w:smallCaps w:val="0"/>
          <w:noProof w:val="0"/>
          <w:color w:val="000000" w:themeColor="text1" w:themeTint="FF" w:themeShade="FF"/>
          <w:sz w:val="56"/>
          <w:szCs w:val="56"/>
          <w:lang w:val="en-GB"/>
        </w:rPr>
        <w:t xml:space="preserve">Module:    </w:t>
      </w:r>
      <w:r w:rsidRPr="4C019C23" w:rsidR="3DFDC021">
        <w:rPr>
          <w:rFonts w:ascii="Aptos" w:hAnsi="Aptos" w:eastAsia="Aptos" w:cs="Aptos"/>
          <w:b w:val="1"/>
          <w:bCs w:val="1"/>
          <w:i w:val="0"/>
          <w:iCs w:val="0"/>
          <w:caps w:val="0"/>
          <w:smallCaps w:val="0"/>
          <w:noProof w:val="0"/>
          <w:color w:val="000000" w:themeColor="text1" w:themeTint="FF" w:themeShade="FF"/>
          <w:sz w:val="52"/>
          <w:szCs w:val="52"/>
          <w:lang w:val="en-GB"/>
        </w:rPr>
        <w:t xml:space="preserve">               </w:t>
      </w:r>
      <w:r w:rsidRPr="4C019C23" w:rsidR="3DFDC021">
        <w:rPr>
          <w:rFonts w:ascii="Arial" w:hAnsi="Arial" w:eastAsia="Arial" w:cs="Arial"/>
          <w:b w:val="1"/>
          <w:bCs w:val="1"/>
          <w:i w:val="0"/>
          <w:iCs w:val="0"/>
          <w:caps w:val="0"/>
          <w:smallCaps w:val="0"/>
          <w:noProof w:val="0"/>
          <w:color w:val="000000" w:themeColor="text1" w:themeTint="FF" w:themeShade="FF"/>
          <w:sz w:val="52"/>
          <w:szCs w:val="52"/>
          <w:lang w:val="en-GB"/>
        </w:rPr>
        <w:t>Principles of Health and Social Care Practice</w:t>
      </w:r>
    </w:p>
    <w:p w:rsidR="3DFDC021" w:rsidP="4C019C23" w:rsidRDefault="3DFDC021" w14:paraId="56F0A8DA" w14:textId="02AA9D3A">
      <w:pPr>
        <w:rPr>
          <w:rFonts w:ascii="Arial" w:hAnsi="Arial" w:eastAsia="Arial" w:cs="Arial"/>
          <w:b w:val="0"/>
          <w:bCs w:val="0"/>
          <w:i w:val="0"/>
          <w:iCs w:val="0"/>
          <w:caps w:val="0"/>
          <w:smallCaps w:val="0"/>
          <w:noProof w:val="0"/>
          <w:color w:val="000000" w:themeColor="text1" w:themeTint="FF" w:themeShade="FF"/>
          <w:sz w:val="52"/>
          <w:szCs w:val="52"/>
          <w:lang w:val="en-GB"/>
        </w:rPr>
      </w:pPr>
      <w:r w:rsidRPr="4C019C23" w:rsidR="3DFDC021">
        <w:rPr>
          <w:rFonts w:ascii="Aptos" w:hAnsi="Aptos" w:eastAsia="Aptos" w:cs="Aptos"/>
          <w:b w:val="1"/>
          <w:bCs w:val="1"/>
          <w:i w:val="0"/>
          <w:iCs w:val="0"/>
          <w:caps w:val="0"/>
          <w:smallCaps w:val="0"/>
          <w:noProof w:val="0"/>
          <w:color w:val="000000" w:themeColor="text1" w:themeTint="FF" w:themeShade="FF"/>
          <w:sz w:val="56"/>
          <w:szCs w:val="56"/>
          <w:lang w:val="en-GB"/>
        </w:rPr>
        <w:t xml:space="preserve">Module code:      </w:t>
      </w:r>
      <w:r w:rsidRPr="4C019C23" w:rsidR="3DFDC021">
        <w:rPr>
          <w:rFonts w:ascii="Arial" w:hAnsi="Arial" w:eastAsia="Arial" w:cs="Arial"/>
          <w:b w:val="1"/>
          <w:bCs w:val="1"/>
          <w:i w:val="0"/>
          <w:iCs w:val="0"/>
          <w:caps w:val="0"/>
          <w:smallCaps w:val="0"/>
          <w:noProof w:val="0"/>
          <w:color w:val="000000" w:themeColor="text1" w:themeTint="FF" w:themeShade="FF"/>
          <w:sz w:val="52"/>
          <w:szCs w:val="52"/>
          <w:lang w:val="en-GB"/>
        </w:rPr>
        <w:t>BMHP5016</w:t>
      </w:r>
    </w:p>
    <w:p w:rsidR="3DFDC021" w:rsidP="4C019C23" w:rsidRDefault="3DFDC021" w14:paraId="1CB501FF" w14:textId="2A48BE8A">
      <w:pPr>
        <w:pStyle w:val="Normal"/>
        <w:rPr>
          <w:rFonts w:ascii="Aptos" w:hAnsi="Aptos" w:eastAsia="Aptos" w:cs="Aptos"/>
          <w:b w:val="1"/>
          <w:bCs w:val="1"/>
          <w:i w:val="0"/>
          <w:iCs w:val="0"/>
          <w:caps w:val="0"/>
          <w:smallCaps w:val="0"/>
          <w:noProof w:val="0"/>
          <w:color w:val="000000" w:themeColor="text1" w:themeTint="FF" w:themeShade="FF"/>
          <w:sz w:val="52"/>
          <w:szCs w:val="52"/>
          <w:lang w:val="en-GB"/>
        </w:rPr>
      </w:pPr>
      <w:r w:rsidRPr="4C019C23" w:rsidR="3DFDC021">
        <w:rPr>
          <w:rFonts w:ascii="Aptos" w:hAnsi="Aptos" w:eastAsia="Aptos" w:cs="Aptos"/>
          <w:b w:val="1"/>
          <w:bCs w:val="1"/>
          <w:i w:val="0"/>
          <w:iCs w:val="0"/>
          <w:caps w:val="0"/>
          <w:smallCaps w:val="0"/>
          <w:noProof w:val="0"/>
          <w:color w:val="000000" w:themeColor="text1" w:themeTint="FF" w:themeShade="FF"/>
          <w:sz w:val="56"/>
          <w:szCs w:val="56"/>
          <w:lang w:val="en-GB"/>
        </w:rPr>
        <w:t>Assignment Title:</w:t>
      </w:r>
      <w:r w:rsidRPr="4C019C23" w:rsidR="35C943F8">
        <w:rPr>
          <w:rFonts w:ascii="Aptos" w:hAnsi="Aptos" w:eastAsia="Aptos" w:cs="Aptos"/>
          <w:b w:val="1"/>
          <w:bCs w:val="1"/>
          <w:i w:val="0"/>
          <w:iCs w:val="0"/>
          <w:caps w:val="0"/>
          <w:smallCaps w:val="0"/>
          <w:noProof w:val="0"/>
          <w:color w:val="000000" w:themeColor="text1" w:themeTint="FF" w:themeShade="FF"/>
          <w:sz w:val="56"/>
          <w:szCs w:val="56"/>
          <w:lang w:val="en-GB"/>
        </w:rPr>
        <w:t xml:space="preserve"> </w:t>
      </w:r>
      <w:bookmarkStart w:name="_Int_SRDi30gi" w:id="419842874"/>
      <w:r w:rsidRPr="4C019C23" w:rsidR="35C943F8">
        <w:rPr>
          <w:rFonts w:ascii="Aptos" w:hAnsi="Aptos" w:eastAsia="Aptos" w:cs="Aptos"/>
          <w:b w:val="1"/>
          <w:bCs w:val="1"/>
          <w:i w:val="0"/>
          <w:iCs w:val="0"/>
          <w:caps w:val="0"/>
          <w:smallCaps w:val="0"/>
          <w:noProof w:val="0"/>
          <w:color w:val="000000" w:themeColor="text1" w:themeTint="FF" w:themeShade="FF"/>
          <w:sz w:val="52"/>
          <w:szCs w:val="52"/>
          <w:lang w:val="en-GB"/>
        </w:rPr>
        <w:t>Component</w:t>
      </w:r>
      <w:bookmarkEnd w:id="419842874"/>
      <w:r w:rsidRPr="4C019C23" w:rsidR="35C943F8">
        <w:rPr>
          <w:rFonts w:ascii="Aptos" w:hAnsi="Aptos" w:eastAsia="Aptos" w:cs="Aptos"/>
          <w:b w:val="1"/>
          <w:bCs w:val="1"/>
          <w:i w:val="0"/>
          <w:iCs w:val="0"/>
          <w:caps w:val="0"/>
          <w:smallCaps w:val="0"/>
          <w:noProof w:val="0"/>
          <w:color w:val="000000" w:themeColor="text1" w:themeTint="FF" w:themeShade="FF"/>
          <w:sz w:val="52"/>
          <w:szCs w:val="52"/>
          <w:lang w:val="en-GB"/>
        </w:rPr>
        <w:t xml:space="preserve"> </w:t>
      </w:r>
      <w:r w:rsidRPr="4C019C23" w:rsidR="7E256501">
        <w:rPr>
          <w:rFonts w:ascii="Aptos" w:hAnsi="Aptos" w:eastAsia="Aptos" w:cs="Aptos"/>
          <w:b w:val="1"/>
          <w:bCs w:val="1"/>
          <w:i w:val="0"/>
          <w:iCs w:val="0"/>
          <w:caps w:val="0"/>
          <w:smallCaps w:val="0"/>
          <w:noProof w:val="0"/>
          <w:color w:val="000000" w:themeColor="text1" w:themeTint="FF" w:themeShade="FF"/>
          <w:sz w:val="52"/>
          <w:szCs w:val="52"/>
          <w:lang w:val="en-GB"/>
        </w:rPr>
        <w:t>2:</w:t>
      </w:r>
      <w:r w:rsidRPr="4C019C23" w:rsidR="35C943F8">
        <w:rPr>
          <w:rFonts w:ascii="Aptos" w:hAnsi="Aptos" w:eastAsia="Aptos" w:cs="Aptos"/>
          <w:b w:val="1"/>
          <w:bCs w:val="1"/>
          <w:i w:val="0"/>
          <w:iCs w:val="0"/>
          <w:caps w:val="0"/>
          <w:smallCaps w:val="0"/>
          <w:noProof w:val="0"/>
          <w:color w:val="000000" w:themeColor="text1" w:themeTint="FF" w:themeShade="FF"/>
          <w:sz w:val="52"/>
          <w:szCs w:val="52"/>
          <w:lang w:val="en-GB"/>
        </w:rPr>
        <w:t xml:space="preserve"> Written Assignment (R</w:t>
      </w:r>
      <w:r w:rsidRPr="4C019C23" w:rsidR="605BA9D8">
        <w:rPr>
          <w:rFonts w:ascii="Aptos" w:hAnsi="Aptos" w:eastAsia="Aptos" w:cs="Aptos"/>
          <w:b w:val="1"/>
          <w:bCs w:val="1"/>
          <w:i w:val="0"/>
          <w:iCs w:val="0"/>
          <w:caps w:val="0"/>
          <w:smallCaps w:val="0"/>
          <w:noProof w:val="0"/>
          <w:color w:val="000000" w:themeColor="text1" w:themeTint="FF" w:themeShade="FF"/>
          <w:sz w:val="52"/>
          <w:szCs w:val="52"/>
          <w:lang w:val="en-GB"/>
        </w:rPr>
        <w:t>eport)</w:t>
      </w:r>
    </w:p>
    <w:p w:rsidR="605BA9D8" w:rsidP="4C019C23" w:rsidRDefault="605BA9D8" w14:paraId="5E3885B1" w14:textId="6E6CE119">
      <w:pPr>
        <w:pStyle w:val="Normal"/>
        <w:rPr>
          <w:rFonts w:ascii="Aptos" w:hAnsi="Aptos" w:eastAsia="Aptos" w:cs="Aptos"/>
          <w:b w:val="1"/>
          <w:bCs w:val="1"/>
          <w:i w:val="0"/>
          <w:iCs w:val="0"/>
          <w:caps w:val="0"/>
          <w:smallCaps w:val="0"/>
          <w:noProof w:val="0"/>
          <w:color w:val="000000" w:themeColor="text1" w:themeTint="FF" w:themeShade="FF"/>
          <w:sz w:val="52"/>
          <w:szCs w:val="52"/>
          <w:lang w:val="en-GB"/>
        </w:rPr>
      </w:pPr>
      <w:r w:rsidRPr="4C019C23" w:rsidR="605BA9D8">
        <w:rPr>
          <w:rFonts w:ascii="Aptos" w:hAnsi="Aptos" w:eastAsia="Aptos" w:cs="Aptos"/>
          <w:b w:val="1"/>
          <w:bCs w:val="1"/>
          <w:i w:val="0"/>
          <w:iCs w:val="0"/>
          <w:caps w:val="0"/>
          <w:smallCaps w:val="0"/>
          <w:noProof w:val="0"/>
          <w:color w:val="000000" w:themeColor="text1" w:themeTint="FF" w:themeShade="FF"/>
          <w:sz w:val="52"/>
          <w:szCs w:val="52"/>
          <w:lang w:val="en-GB"/>
        </w:rPr>
        <w:t>Submission deadline: 17</w:t>
      </w:r>
      <w:r w:rsidRPr="4C019C23" w:rsidR="605BA9D8">
        <w:rPr>
          <w:rFonts w:ascii="Aptos" w:hAnsi="Aptos" w:eastAsia="Aptos" w:cs="Aptos"/>
          <w:b w:val="1"/>
          <w:bCs w:val="1"/>
          <w:i w:val="0"/>
          <w:iCs w:val="0"/>
          <w:caps w:val="0"/>
          <w:smallCaps w:val="0"/>
          <w:noProof w:val="0"/>
          <w:color w:val="000000" w:themeColor="text1" w:themeTint="FF" w:themeShade="FF"/>
          <w:sz w:val="52"/>
          <w:szCs w:val="52"/>
          <w:vertAlign w:val="superscript"/>
          <w:lang w:val="en-GB"/>
        </w:rPr>
        <w:t>th</w:t>
      </w:r>
      <w:r w:rsidRPr="4C019C23" w:rsidR="605BA9D8">
        <w:rPr>
          <w:rFonts w:ascii="Aptos" w:hAnsi="Aptos" w:eastAsia="Aptos" w:cs="Aptos"/>
          <w:b w:val="1"/>
          <w:bCs w:val="1"/>
          <w:i w:val="0"/>
          <w:iCs w:val="0"/>
          <w:caps w:val="0"/>
          <w:smallCaps w:val="0"/>
          <w:noProof w:val="0"/>
          <w:color w:val="000000" w:themeColor="text1" w:themeTint="FF" w:themeShade="FF"/>
          <w:sz w:val="52"/>
          <w:szCs w:val="52"/>
          <w:lang w:val="en-GB"/>
        </w:rPr>
        <w:t xml:space="preserve"> November 2025</w:t>
      </w:r>
    </w:p>
    <w:p w:rsidR="4C019C23" w:rsidP="4C019C23" w:rsidRDefault="4C019C23" w14:paraId="379331B0" w14:textId="4256575A">
      <w:pPr>
        <w:pStyle w:val="Normal"/>
        <w:rPr>
          <w:rFonts w:ascii="Aptos" w:hAnsi="Aptos" w:eastAsia="Aptos" w:cs="Aptos"/>
          <w:b w:val="1"/>
          <w:bCs w:val="1"/>
          <w:i w:val="0"/>
          <w:iCs w:val="0"/>
          <w:caps w:val="0"/>
          <w:smallCaps w:val="0"/>
          <w:noProof w:val="0"/>
          <w:color w:val="000000" w:themeColor="text1" w:themeTint="FF" w:themeShade="FF"/>
          <w:sz w:val="52"/>
          <w:szCs w:val="52"/>
          <w:lang w:val="en-GB"/>
        </w:rPr>
      </w:pPr>
    </w:p>
    <w:p w:rsidR="4C019C23" w:rsidP="4C019C23" w:rsidRDefault="4C019C23" w14:paraId="35A24DBF" w14:textId="5D9F90EE">
      <w:pPr>
        <w:rPr>
          <w:sz w:val="48"/>
          <w:szCs w:val="48"/>
        </w:rPr>
      </w:pPr>
    </w:p>
    <w:p w:rsidR="4C019C23" w:rsidP="4C019C23" w:rsidRDefault="4C019C23" w14:paraId="75151C50" w14:textId="0F73A34A">
      <w:pPr>
        <w:rPr>
          <w:sz w:val="48"/>
          <w:szCs w:val="48"/>
        </w:rPr>
      </w:pPr>
    </w:p>
    <w:p w:rsidRPr="00794077" w:rsidR="00794077" w:rsidP="4C019C23" w:rsidRDefault="00794077" w14:paraId="44AE7EDF" w14:textId="77777777">
      <w:pPr>
        <w:rPr>
          <w:b w:val="1"/>
          <w:bCs w:val="1"/>
          <w:sz w:val="52"/>
          <w:szCs w:val="52"/>
        </w:rPr>
      </w:pPr>
      <w:r w:rsidRPr="4C019C23" w:rsidR="49252B56">
        <w:rPr>
          <w:b w:val="1"/>
          <w:bCs w:val="1"/>
          <w:sz w:val="52"/>
          <w:szCs w:val="52"/>
        </w:rPr>
        <w:t>Person-Centred Care and Partnership Working in UK Health and Social Care: A Report</w:t>
      </w:r>
    </w:p>
    <w:p w:rsidRPr="00794077" w:rsidR="00794077" w:rsidP="00794077" w:rsidRDefault="00794077" w14:paraId="7546103E" w14:textId="77777777">
      <w:pPr>
        <w:rPr>
          <w:sz w:val="48"/>
          <w:szCs w:val="48"/>
        </w:rPr>
      </w:pPr>
    </w:p>
    <w:p w:rsidRPr="00794077" w:rsidR="00794077" w:rsidP="00794077" w:rsidRDefault="00794077" w14:paraId="7E49CC2A" w14:textId="77777777">
      <w:pPr>
        <w:rPr>
          <w:sz w:val="48"/>
          <w:szCs w:val="48"/>
        </w:rPr>
      </w:pPr>
    </w:p>
    <w:p w:rsidRPr="00794077" w:rsidR="00794077" w:rsidP="4C019C23" w:rsidRDefault="00794077" w14:paraId="702A5074" w14:textId="77777777">
      <w:pPr>
        <w:rPr>
          <w:b w:val="1"/>
          <w:bCs w:val="1"/>
          <w:sz w:val="52"/>
          <w:szCs w:val="52"/>
        </w:rPr>
      </w:pPr>
      <w:r w:rsidRPr="4C019C23" w:rsidR="49252B56">
        <w:rPr>
          <w:b w:val="1"/>
          <w:bCs w:val="1"/>
          <w:sz w:val="52"/>
          <w:szCs w:val="52"/>
        </w:rPr>
        <w:t>Introduction</w:t>
      </w:r>
    </w:p>
    <w:p w:rsidRPr="00794077" w:rsidR="00794077" w:rsidP="00794077" w:rsidRDefault="00794077" w14:paraId="225D733F" w14:textId="77777777">
      <w:pPr>
        <w:rPr>
          <w:sz w:val="48"/>
          <w:szCs w:val="48"/>
        </w:rPr>
      </w:pPr>
    </w:p>
    <w:p w:rsidRPr="00794077" w:rsidR="00794077" w:rsidP="00794077" w:rsidRDefault="00794077" w14:paraId="761AEA29" w14:textId="77777777">
      <w:pPr>
        <w:rPr>
          <w:sz w:val="48"/>
          <w:szCs w:val="48"/>
        </w:rPr>
      </w:pPr>
      <w:r w:rsidRPr="00794077">
        <w:rPr>
          <w:sz w:val="48"/>
          <w:szCs w:val="48"/>
        </w:rPr>
        <w:t>Person-centred care (PCC) and partnership working (PW) are central to modern health and social care practice, ensuring that individuals receive care that is personalised, holistic, and delivered collaboratively. These concepts have become increasingly important as services respond to rising demand, diverse patient needs, and the need for integrated care systems across the UK. PCC focuses on understanding people as individuals with unique values, preferences, and goals, while PW ensures that different professionals, agencies, and the service user work together to provide safe and effective support. This report critically examines PCC and PW within the context of a GP surgery, a key primary-care setting where multidisciplinary collaboration and personalised care are essential.</w:t>
      </w:r>
    </w:p>
    <w:p w:rsidRPr="00794077" w:rsidR="00794077" w:rsidP="00794077" w:rsidRDefault="00794077" w14:paraId="01962288" w14:textId="77777777">
      <w:pPr>
        <w:rPr>
          <w:sz w:val="48"/>
          <w:szCs w:val="48"/>
        </w:rPr>
      </w:pPr>
    </w:p>
    <w:p w:rsidRPr="00794077" w:rsidR="00794077" w:rsidP="00794077" w:rsidRDefault="00794077" w14:paraId="77B763A4" w14:textId="2225E5F9">
      <w:pPr>
        <w:rPr>
          <w:sz w:val="48"/>
          <w:szCs w:val="48"/>
        </w:rPr>
      </w:pPr>
      <w:r w:rsidRPr="4C019C23" w:rsidR="49252B56">
        <w:rPr>
          <w:sz w:val="48"/>
          <w:szCs w:val="48"/>
        </w:rPr>
        <w:t>The report explores the definition, benefits, and limitations of PCC, followed by an analysis of Maslow’s Hierarchy of Needs as a theoretical model underpinning personalised care. Ethical fundamentals</w:t>
      </w:r>
      <w:r w:rsidRPr="4C019C23" w:rsidR="1DDD0843">
        <w:rPr>
          <w:sz w:val="48"/>
          <w:szCs w:val="48"/>
        </w:rPr>
        <w:t xml:space="preserve"> </w:t>
      </w:r>
      <w:r w:rsidRPr="4C019C23" w:rsidR="49252B56">
        <w:rPr>
          <w:sz w:val="48"/>
          <w:szCs w:val="48"/>
        </w:rPr>
        <w:t>including autonomy, beneficence, non-maleficence, and justice</w:t>
      </w:r>
      <w:r w:rsidRPr="4C019C23" w:rsidR="5ECA6B94">
        <w:rPr>
          <w:sz w:val="48"/>
          <w:szCs w:val="48"/>
        </w:rPr>
        <w:t xml:space="preserve"> </w:t>
      </w:r>
      <w:r w:rsidRPr="4C019C23" w:rsidR="49252B56">
        <w:rPr>
          <w:sz w:val="48"/>
          <w:szCs w:val="48"/>
        </w:rPr>
        <w:t>are examined in relation to PCC and collaborative practice. The report then evaluates partnership working more broadly and applies it specifically to a GP surgery environment. Relevant legislation and policy, such as the Care Act 2014, Equality Act 2010, Health and Care Act 2022, and the NHS Long Term Plan (2019), are used to consider how PCC and PW are supported by national frameworks. The report concludes with recommendations for strengthening practice in primary care.</w:t>
      </w:r>
    </w:p>
    <w:p w:rsidRPr="00794077" w:rsidR="00794077" w:rsidP="00794077" w:rsidRDefault="00794077" w14:paraId="5176792C" w14:textId="77777777">
      <w:pPr>
        <w:rPr>
          <w:sz w:val="48"/>
          <w:szCs w:val="48"/>
        </w:rPr>
      </w:pPr>
    </w:p>
    <w:p w:rsidRPr="00794077" w:rsidR="00794077" w:rsidP="4C019C23" w:rsidRDefault="00794077" w14:paraId="0AACA3B0" w14:textId="77777777">
      <w:pPr>
        <w:rPr>
          <w:b w:val="1"/>
          <w:bCs w:val="1"/>
          <w:sz w:val="52"/>
          <w:szCs w:val="52"/>
        </w:rPr>
      </w:pPr>
    </w:p>
    <w:p w:rsidRPr="00794077" w:rsidR="00794077" w:rsidP="4C019C23" w:rsidRDefault="00794077" w14:paraId="1C104505" w14:textId="77777777">
      <w:pPr>
        <w:rPr>
          <w:b w:val="1"/>
          <w:bCs w:val="1"/>
          <w:sz w:val="52"/>
          <w:szCs w:val="52"/>
        </w:rPr>
      </w:pPr>
      <w:r w:rsidRPr="4C019C23" w:rsidR="49252B56">
        <w:rPr>
          <w:b w:val="1"/>
          <w:bCs w:val="1"/>
          <w:sz w:val="52"/>
          <w:szCs w:val="52"/>
        </w:rPr>
        <w:t>Person-Centred Care: Definition, Benefits and Limitations</w:t>
      </w:r>
    </w:p>
    <w:p w:rsidRPr="00794077" w:rsidR="00794077" w:rsidP="00794077" w:rsidRDefault="00794077" w14:paraId="37349F7E" w14:textId="77777777">
      <w:pPr>
        <w:rPr>
          <w:sz w:val="48"/>
          <w:szCs w:val="48"/>
        </w:rPr>
      </w:pPr>
    </w:p>
    <w:p w:rsidRPr="00794077" w:rsidR="00794077" w:rsidP="00794077" w:rsidRDefault="00794077" w14:paraId="78D773F8" w14:textId="0B11FBFD">
      <w:pPr>
        <w:rPr>
          <w:sz w:val="48"/>
          <w:szCs w:val="48"/>
        </w:rPr>
      </w:pPr>
      <w:r w:rsidRPr="4C019C23" w:rsidR="49252B56">
        <w:rPr>
          <w:sz w:val="48"/>
          <w:szCs w:val="48"/>
        </w:rPr>
        <w:t xml:space="preserve">PCC is an approach that places the person at the centre of all decisions about their care by recognising their values, preferences, life circumstances, and desired outcomes (Health Foundation, 2021). Instead of treating the condition alone, PCC considers the </w:t>
      </w:r>
      <w:r w:rsidRPr="4C019C23" w:rsidR="17C852AA">
        <w:rPr>
          <w:sz w:val="48"/>
          <w:szCs w:val="48"/>
        </w:rPr>
        <w:t>individual, including</w:t>
      </w:r>
      <w:r w:rsidRPr="4C019C23" w:rsidR="49252B56">
        <w:rPr>
          <w:sz w:val="48"/>
          <w:szCs w:val="48"/>
        </w:rPr>
        <w:t xml:space="preserve"> their physical, emotional, social, and cultural needs. Key features of PCC include shared decision-making, personalised assessments, collaborative care planning, empathy, dignity, respect, and accessible communication.</w:t>
      </w:r>
    </w:p>
    <w:p w:rsidRPr="00794077" w:rsidR="00794077" w:rsidP="00794077" w:rsidRDefault="00794077" w14:paraId="7C88F111" w14:textId="77777777">
      <w:pPr>
        <w:rPr>
          <w:sz w:val="48"/>
          <w:szCs w:val="48"/>
        </w:rPr>
      </w:pPr>
    </w:p>
    <w:p w:rsidRPr="00794077" w:rsidR="00794077" w:rsidP="00794077" w:rsidRDefault="00794077" w14:paraId="2C9522AC" w14:textId="77777777">
      <w:pPr>
        <w:rPr>
          <w:sz w:val="48"/>
          <w:szCs w:val="48"/>
        </w:rPr>
      </w:pPr>
      <w:r w:rsidRPr="00794077">
        <w:rPr>
          <w:sz w:val="48"/>
          <w:szCs w:val="48"/>
        </w:rPr>
        <w:t>PCC offers a range of benefits within primary care. One major benefit is improved patient satisfaction. When individuals feel listened to and respected, they develop trusting relationships with practitioners, which increases confidence and adherence to treatment (Coulter &amp; Oldham, 2016). PCC also supports better health outcomes. For example, patients with asthma receiving personalised advice on environmental triggers, medication routines, and lifestyle adjustments tend to have improved symptom control. PCC also enhances safety by reducing misunderstandings, supporting early intervention, and preventing avoidable hospital admissions.</w:t>
      </w:r>
    </w:p>
    <w:p w:rsidRPr="00794077" w:rsidR="00794077" w:rsidP="00794077" w:rsidRDefault="00794077" w14:paraId="705FDFF2" w14:textId="77777777">
      <w:pPr>
        <w:rPr>
          <w:sz w:val="48"/>
          <w:szCs w:val="48"/>
        </w:rPr>
      </w:pPr>
    </w:p>
    <w:p w:rsidRPr="00794077" w:rsidR="00794077" w:rsidP="00794077" w:rsidRDefault="00794077" w14:paraId="291F4159" w14:textId="7FA9A7EC">
      <w:pPr>
        <w:rPr>
          <w:sz w:val="48"/>
          <w:szCs w:val="48"/>
        </w:rPr>
      </w:pPr>
      <w:r w:rsidRPr="4C019C23" w:rsidR="49252B56">
        <w:rPr>
          <w:sz w:val="48"/>
          <w:szCs w:val="48"/>
        </w:rPr>
        <w:t xml:space="preserve">Additionally, PCC promotes dignity and equality. For individuals with disabilities, language barriers, or limited health literacy, PCC ensures communication is adapted so they can understand and </w:t>
      </w:r>
      <w:r w:rsidRPr="4C019C23" w:rsidR="27F8D18E">
        <w:rPr>
          <w:sz w:val="48"/>
          <w:szCs w:val="48"/>
        </w:rPr>
        <w:t>take part</w:t>
      </w:r>
      <w:r w:rsidRPr="4C019C23" w:rsidR="49252B56">
        <w:rPr>
          <w:sz w:val="48"/>
          <w:szCs w:val="48"/>
        </w:rPr>
        <w:t xml:space="preserve"> fully in their care. This aligns strongly with NHS values around fairness and inclusion.</w:t>
      </w:r>
    </w:p>
    <w:p w:rsidRPr="00794077" w:rsidR="00794077" w:rsidP="00794077" w:rsidRDefault="00794077" w14:paraId="2F1AC588" w14:textId="77777777">
      <w:pPr>
        <w:rPr>
          <w:sz w:val="48"/>
          <w:szCs w:val="48"/>
        </w:rPr>
      </w:pPr>
    </w:p>
    <w:p w:rsidRPr="00794077" w:rsidR="00794077" w:rsidP="00794077" w:rsidRDefault="00794077" w14:paraId="3118AFD9" w14:textId="30FB3656">
      <w:pPr>
        <w:rPr>
          <w:sz w:val="48"/>
          <w:szCs w:val="48"/>
        </w:rPr>
      </w:pPr>
      <w:r w:rsidRPr="4C019C23" w:rsidR="49252B56">
        <w:rPr>
          <w:sz w:val="48"/>
          <w:szCs w:val="48"/>
        </w:rPr>
        <w:t>However, PCC also has limitations. Time pressure is a major barrier in GP surgeries, where appointments are often limited to 10 minutes. This can make it difficult for staff to explore patients’ preferences in depth. Workforce shortages, administrative workload, and long waiting lists further limit PCC delivery. Some patients may also struggle with making decisions or prefer the clinician to take the lead, which can reduce the effectiveness of shared decision-making. Organisational barriers</w:t>
      </w:r>
      <w:r w:rsidRPr="4C019C23" w:rsidR="12980C13">
        <w:rPr>
          <w:sz w:val="48"/>
          <w:szCs w:val="48"/>
        </w:rPr>
        <w:t xml:space="preserve"> </w:t>
      </w:r>
      <w:r w:rsidRPr="4C019C23" w:rsidR="49252B56">
        <w:rPr>
          <w:sz w:val="48"/>
          <w:szCs w:val="48"/>
        </w:rPr>
        <w:t>such as limited training or fragmented IT systems</w:t>
      </w:r>
      <w:r w:rsidRPr="4C019C23" w:rsidR="6884EB6B">
        <w:rPr>
          <w:sz w:val="48"/>
          <w:szCs w:val="48"/>
        </w:rPr>
        <w:t xml:space="preserve"> </w:t>
      </w:r>
      <w:r w:rsidRPr="4C019C23" w:rsidR="49252B56">
        <w:rPr>
          <w:sz w:val="48"/>
          <w:szCs w:val="48"/>
        </w:rPr>
        <w:t>also make consistent PCC difficult. Therefore, although PCC is an essential approach, achieving it requires adequate resources, communication systems, and a supportive organisational culture.</w:t>
      </w:r>
    </w:p>
    <w:p w:rsidRPr="00794077" w:rsidR="00794077" w:rsidP="00794077" w:rsidRDefault="00794077" w14:paraId="1B1EEF93" w14:textId="77777777">
      <w:pPr>
        <w:rPr>
          <w:sz w:val="48"/>
          <w:szCs w:val="48"/>
        </w:rPr>
      </w:pPr>
    </w:p>
    <w:p w:rsidRPr="00794077" w:rsidR="00794077" w:rsidP="00794077" w:rsidRDefault="00794077" w14:paraId="0CD9A8C8" w14:textId="69F6DA78">
      <w:pPr>
        <w:rPr>
          <w:sz w:val="48"/>
          <w:szCs w:val="48"/>
        </w:rPr>
      </w:pPr>
    </w:p>
    <w:p w:rsidRPr="00794077" w:rsidR="00794077" w:rsidP="00794077" w:rsidRDefault="00794077" w14:paraId="152CB3FC" w14:textId="77777777">
      <w:pPr>
        <w:rPr>
          <w:sz w:val="48"/>
          <w:szCs w:val="48"/>
        </w:rPr>
      </w:pPr>
    </w:p>
    <w:p w:rsidRPr="00794077" w:rsidR="00794077" w:rsidP="4C019C23" w:rsidRDefault="00794077" w14:paraId="6F018E48" w14:textId="77777777">
      <w:pPr>
        <w:rPr>
          <w:b w:val="1"/>
          <w:bCs w:val="1"/>
          <w:sz w:val="52"/>
          <w:szCs w:val="52"/>
        </w:rPr>
      </w:pPr>
      <w:r w:rsidRPr="4C019C23" w:rsidR="49252B56">
        <w:rPr>
          <w:b w:val="1"/>
          <w:bCs w:val="1"/>
          <w:sz w:val="52"/>
          <w:szCs w:val="52"/>
        </w:rPr>
        <w:t>Maslow’s Hierarchy of Needs as a Foundation for PCC</w:t>
      </w:r>
    </w:p>
    <w:p w:rsidRPr="00794077" w:rsidR="00794077" w:rsidP="00794077" w:rsidRDefault="00794077" w14:paraId="29BC41CA" w14:textId="77777777">
      <w:pPr>
        <w:rPr>
          <w:sz w:val="48"/>
          <w:szCs w:val="48"/>
        </w:rPr>
      </w:pPr>
    </w:p>
    <w:p w:rsidRPr="00794077" w:rsidR="00794077" w:rsidP="00794077" w:rsidRDefault="00794077" w14:paraId="3634AFEF" w14:textId="77777777">
      <w:pPr>
        <w:rPr>
          <w:sz w:val="48"/>
          <w:szCs w:val="48"/>
        </w:rPr>
      </w:pPr>
      <w:r w:rsidRPr="00794077">
        <w:rPr>
          <w:sz w:val="48"/>
          <w:szCs w:val="48"/>
        </w:rPr>
        <w:t>Maslow’s Hierarchy of Needs (1943) is a human motivation theory that explains how individuals have a series of needs that influence their behaviour, wellbeing, and engagement. Maslow suggested that people move through five levels of needs: physiological, safety, love and belonging, esteem, and self-actualisation. These needs must be acknowledged for individuals to achieve wellbeing, resilience, and growth.</w:t>
      </w:r>
    </w:p>
    <w:p w:rsidRPr="00794077" w:rsidR="00794077" w:rsidP="00794077" w:rsidRDefault="00794077" w14:paraId="1E4E3D97" w14:textId="77777777">
      <w:pPr>
        <w:rPr>
          <w:sz w:val="48"/>
          <w:szCs w:val="48"/>
        </w:rPr>
      </w:pPr>
    </w:p>
    <w:p w:rsidRPr="00794077" w:rsidR="00794077" w:rsidP="00794077" w:rsidRDefault="00794077" w14:paraId="3A9D948F" w14:textId="77777777">
      <w:pPr>
        <w:rPr>
          <w:sz w:val="48"/>
          <w:szCs w:val="48"/>
        </w:rPr>
      </w:pPr>
      <w:r w:rsidRPr="00794077">
        <w:rPr>
          <w:sz w:val="48"/>
          <w:szCs w:val="48"/>
        </w:rPr>
        <w:t>Maslow’s theory strongly supports PCC because it emphasises the importance of understanding the whole person rather than focusing solely on clinical needs. In a GP surgery, physiological needs relate to managing symptoms, ensuring medication access, and providing practical treatment. Safety needs involve emotional security, safeguarding, clear explanations, and confidentiality. Love and belonging needs relate to relationships, communication, and support networks. Esteem needs link to independence, confidence, self-management, and feeling respected by professionals. Self-actualisation involves helping individuals reach their potential through health education, empowerment, and long-term wellbeing.</w:t>
      </w:r>
    </w:p>
    <w:p w:rsidRPr="00794077" w:rsidR="00794077" w:rsidP="00794077" w:rsidRDefault="00794077" w14:paraId="4A590F76" w14:textId="77777777">
      <w:pPr>
        <w:rPr>
          <w:sz w:val="48"/>
          <w:szCs w:val="48"/>
        </w:rPr>
      </w:pPr>
    </w:p>
    <w:p w:rsidRPr="00794077" w:rsidR="00794077" w:rsidP="00794077" w:rsidRDefault="00794077" w14:paraId="55B2EFB7" w14:textId="77777777">
      <w:pPr>
        <w:rPr>
          <w:sz w:val="48"/>
          <w:szCs w:val="48"/>
        </w:rPr>
      </w:pPr>
      <w:r w:rsidRPr="00794077">
        <w:rPr>
          <w:sz w:val="48"/>
          <w:szCs w:val="48"/>
        </w:rPr>
        <w:t>Using Maslow’s model encourages practitioners to look beyond clinical signs and explore how the person’s social environment, mental health, or sense of identity affects their health. For example, an asthma patient may struggle not because of their inhaler technique but due to stress, poor housing conditions, or lack of social support. Recognising these influences helps practitioners develop holistic care plans that address root causes rather than symptoms alone.</w:t>
      </w:r>
    </w:p>
    <w:p w:rsidRPr="00794077" w:rsidR="00794077" w:rsidP="00794077" w:rsidRDefault="00794077" w14:paraId="4CA3351E" w14:textId="77777777">
      <w:pPr>
        <w:rPr>
          <w:sz w:val="48"/>
          <w:szCs w:val="48"/>
        </w:rPr>
      </w:pPr>
    </w:p>
    <w:p w:rsidRPr="00794077" w:rsidR="00794077" w:rsidP="00794077" w:rsidRDefault="00794077" w14:paraId="2C39A07C" w14:textId="445316A2">
      <w:pPr>
        <w:rPr>
          <w:sz w:val="48"/>
          <w:szCs w:val="48"/>
        </w:rPr>
      </w:pPr>
      <w:r w:rsidRPr="4C019C23" w:rsidR="49252B56">
        <w:rPr>
          <w:sz w:val="48"/>
          <w:szCs w:val="48"/>
        </w:rPr>
        <w:t xml:space="preserve">However, the model has limitations. Critics argue that human needs are not always hierarchical and that individuals may prioritise emotional or esteem needs even when physical needs are unmet. Others claim that the framework oversimplifies complex behaviours. Despite these criticisms, Maslow’s theory </w:t>
      </w:r>
      <w:r w:rsidRPr="4C019C23" w:rsidR="16C13E80">
        <w:rPr>
          <w:sz w:val="48"/>
          <w:szCs w:val="48"/>
        </w:rPr>
        <w:t>is still</w:t>
      </w:r>
      <w:r w:rsidRPr="4C019C23" w:rsidR="49252B56">
        <w:rPr>
          <w:sz w:val="48"/>
          <w:szCs w:val="48"/>
        </w:rPr>
        <w:t xml:space="preserve"> highly relevant in PCC because it supports holistic assessment, empathy, and personalised care planning, particularly in primary care environments where patients present with diverse needs.</w:t>
      </w:r>
    </w:p>
    <w:p w:rsidRPr="00794077" w:rsidR="00794077" w:rsidP="00794077" w:rsidRDefault="00794077" w14:paraId="39CE6DB2" w14:textId="77777777">
      <w:pPr>
        <w:rPr>
          <w:sz w:val="48"/>
          <w:szCs w:val="48"/>
        </w:rPr>
      </w:pPr>
    </w:p>
    <w:p w:rsidRPr="00794077" w:rsidR="00794077" w:rsidP="00794077" w:rsidRDefault="00794077" w14:paraId="3F53056E" w14:textId="5C2F1BE7">
      <w:pPr>
        <w:rPr>
          <w:sz w:val="48"/>
          <w:szCs w:val="48"/>
        </w:rPr>
      </w:pPr>
    </w:p>
    <w:p w:rsidRPr="00794077" w:rsidR="00794077" w:rsidP="00794077" w:rsidRDefault="00794077" w14:paraId="6F04168A" w14:textId="77777777">
      <w:pPr>
        <w:rPr>
          <w:sz w:val="48"/>
          <w:szCs w:val="48"/>
        </w:rPr>
      </w:pPr>
    </w:p>
    <w:p w:rsidRPr="00794077" w:rsidR="00794077" w:rsidP="4C019C23" w:rsidRDefault="00794077" w14:paraId="0AE19436" w14:textId="77777777">
      <w:pPr>
        <w:rPr>
          <w:b w:val="1"/>
          <w:bCs w:val="1"/>
          <w:sz w:val="52"/>
          <w:szCs w:val="52"/>
        </w:rPr>
      </w:pPr>
      <w:r w:rsidRPr="4C019C23" w:rsidR="49252B56">
        <w:rPr>
          <w:b w:val="1"/>
          <w:bCs w:val="1"/>
          <w:sz w:val="52"/>
          <w:szCs w:val="52"/>
        </w:rPr>
        <w:t>Ethical Fundamentals Supporting PCC and Partnership Working</w:t>
      </w:r>
    </w:p>
    <w:p w:rsidRPr="00794077" w:rsidR="00794077" w:rsidP="00794077" w:rsidRDefault="00794077" w14:paraId="0AFF9AA3" w14:textId="77777777">
      <w:pPr>
        <w:rPr>
          <w:sz w:val="48"/>
          <w:szCs w:val="48"/>
        </w:rPr>
      </w:pPr>
    </w:p>
    <w:p w:rsidRPr="00794077" w:rsidR="00794077" w:rsidP="00794077" w:rsidRDefault="00794077" w14:paraId="0ADC097A" w14:textId="03123950">
      <w:pPr>
        <w:rPr>
          <w:sz w:val="48"/>
          <w:szCs w:val="48"/>
        </w:rPr>
      </w:pPr>
      <w:r w:rsidRPr="4C019C23" w:rsidR="49252B56">
        <w:rPr>
          <w:sz w:val="48"/>
          <w:szCs w:val="48"/>
        </w:rPr>
        <w:t>Ethics are central to safe and compassionate care. Four core ethical principles</w:t>
      </w:r>
      <w:r w:rsidRPr="4C019C23" w:rsidR="1AB24BEC">
        <w:rPr>
          <w:sz w:val="48"/>
          <w:szCs w:val="48"/>
        </w:rPr>
        <w:t xml:space="preserve"> </w:t>
      </w:r>
      <w:r w:rsidRPr="4C019C23" w:rsidR="49252B56">
        <w:rPr>
          <w:sz w:val="48"/>
          <w:szCs w:val="48"/>
        </w:rPr>
        <w:t>autonomy, beneficence, non-maleficence, and justice</w:t>
      </w:r>
      <w:r w:rsidRPr="4C019C23" w:rsidR="5CA77160">
        <w:rPr>
          <w:sz w:val="48"/>
          <w:szCs w:val="48"/>
        </w:rPr>
        <w:t xml:space="preserve"> </w:t>
      </w:r>
      <w:r w:rsidRPr="4C019C23" w:rsidR="49252B56">
        <w:rPr>
          <w:sz w:val="48"/>
          <w:szCs w:val="48"/>
        </w:rPr>
        <w:t>shape PCC and PW (Beauchamp &amp; Childress, 2019).</w:t>
      </w:r>
    </w:p>
    <w:p w:rsidRPr="00794077" w:rsidR="00794077" w:rsidP="00794077" w:rsidRDefault="00794077" w14:paraId="366451E1" w14:textId="77777777">
      <w:pPr>
        <w:rPr>
          <w:sz w:val="48"/>
          <w:szCs w:val="48"/>
        </w:rPr>
      </w:pPr>
    </w:p>
    <w:p w:rsidRPr="00794077" w:rsidR="00794077" w:rsidP="00794077" w:rsidRDefault="00794077" w14:paraId="41A6064C" w14:textId="26FDA6A5">
      <w:pPr>
        <w:rPr>
          <w:sz w:val="48"/>
          <w:szCs w:val="48"/>
        </w:rPr>
      </w:pPr>
      <w:r w:rsidRPr="4C019C23" w:rsidR="49252B56">
        <w:rPr>
          <w:sz w:val="48"/>
          <w:szCs w:val="48"/>
        </w:rPr>
        <w:t xml:space="preserve">Autonomy refers to the individual’s right to make informed choices. PCC promotes autonomy by involving patients in shared decision-making, offering accessible information, and respecting values. In a GP surgery, autonomy is </w:t>
      </w:r>
      <w:r w:rsidRPr="4C019C23" w:rsidR="42CD3A94">
        <w:rPr>
          <w:sz w:val="48"/>
          <w:szCs w:val="48"/>
        </w:rPr>
        <w:t>proven</w:t>
      </w:r>
      <w:r w:rsidRPr="4C019C23" w:rsidR="49252B56">
        <w:rPr>
          <w:sz w:val="48"/>
          <w:szCs w:val="48"/>
        </w:rPr>
        <w:t xml:space="preserve"> when patients choose between treatment options or are supported to decline treatment safely.</w:t>
      </w:r>
    </w:p>
    <w:p w:rsidRPr="00794077" w:rsidR="00794077" w:rsidP="00794077" w:rsidRDefault="00794077" w14:paraId="194C581F" w14:textId="77777777">
      <w:pPr>
        <w:rPr>
          <w:sz w:val="48"/>
          <w:szCs w:val="48"/>
        </w:rPr>
      </w:pPr>
    </w:p>
    <w:p w:rsidRPr="00794077" w:rsidR="00794077" w:rsidP="00794077" w:rsidRDefault="00794077" w14:paraId="20DD4DD1" w14:textId="333DDC36">
      <w:pPr>
        <w:rPr>
          <w:sz w:val="48"/>
          <w:szCs w:val="48"/>
        </w:rPr>
      </w:pPr>
      <w:r w:rsidRPr="4C019C23" w:rsidR="49252B56">
        <w:rPr>
          <w:sz w:val="48"/>
          <w:szCs w:val="48"/>
        </w:rPr>
        <w:t xml:space="preserve">Beneficence means acting in the person’s best interests. Practitioners </w:t>
      </w:r>
      <w:r w:rsidRPr="4C019C23" w:rsidR="79C8D922">
        <w:rPr>
          <w:sz w:val="48"/>
          <w:szCs w:val="48"/>
        </w:rPr>
        <w:t>prove</w:t>
      </w:r>
      <w:r w:rsidRPr="4C019C23" w:rsidR="49252B56">
        <w:rPr>
          <w:sz w:val="48"/>
          <w:szCs w:val="48"/>
        </w:rPr>
        <w:t xml:space="preserve"> beneficence by offering evidence-based interventions, providing health education, and advocating for the patient when </w:t>
      </w:r>
      <w:r w:rsidRPr="4C019C23" w:rsidR="2C60D6FD">
        <w:rPr>
          <w:sz w:val="48"/>
          <w:szCs w:val="48"/>
        </w:rPr>
        <w:t>added</w:t>
      </w:r>
      <w:r w:rsidRPr="4C019C23" w:rsidR="49252B56">
        <w:rPr>
          <w:sz w:val="48"/>
          <w:szCs w:val="48"/>
        </w:rPr>
        <w:t xml:space="preserve"> support is </w:t>
      </w:r>
      <w:r w:rsidRPr="4C019C23" w:rsidR="7658A3CF">
        <w:rPr>
          <w:sz w:val="48"/>
          <w:szCs w:val="48"/>
        </w:rPr>
        <w:t>needed</w:t>
      </w:r>
      <w:r w:rsidRPr="4C019C23" w:rsidR="49252B56">
        <w:rPr>
          <w:sz w:val="48"/>
          <w:szCs w:val="48"/>
        </w:rPr>
        <w:t>.</w:t>
      </w:r>
    </w:p>
    <w:p w:rsidRPr="00794077" w:rsidR="00794077" w:rsidP="00794077" w:rsidRDefault="00794077" w14:paraId="64FF1960" w14:textId="77777777">
      <w:pPr>
        <w:rPr>
          <w:sz w:val="48"/>
          <w:szCs w:val="48"/>
        </w:rPr>
      </w:pPr>
    </w:p>
    <w:p w:rsidRPr="00794077" w:rsidR="00794077" w:rsidP="00794077" w:rsidRDefault="00794077" w14:paraId="297D5889" w14:textId="77777777">
      <w:pPr>
        <w:rPr>
          <w:sz w:val="48"/>
          <w:szCs w:val="48"/>
        </w:rPr>
      </w:pPr>
      <w:r w:rsidRPr="00794077">
        <w:rPr>
          <w:sz w:val="48"/>
          <w:szCs w:val="48"/>
        </w:rPr>
        <w:t>Non-maleficence means avoiding harm. PCC supports this principle by promoting clear communication, regular medication reviews, safety monitoring, and prevention strategies. For example, ensuring correct inhaler use reduces asthma attacks and hospital admissions.</w:t>
      </w:r>
    </w:p>
    <w:p w:rsidRPr="00794077" w:rsidR="00794077" w:rsidP="00794077" w:rsidRDefault="00794077" w14:paraId="48BA3F62" w14:textId="77777777">
      <w:pPr>
        <w:rPr>
          <w:sz w:val="48"/>
          <w:szCs w:val="48"/>
        </w:rPr>
      </w:pPr>
    </w:p>
    <w:p w:rsidRPr="00794077" w:rsidR="00794077" w:rsidP="00794077" w:rsidRDefault="00794077" w14:paraId="2C1E749C" w14:textId="77777777">
      <w:pPr>
        <w:rPr>
          <w:sz w:val="48"/>
          <w:szCs w:val="48"/>
        </w:rPr>
      </w:pPr>
      <w:r w:rsidRPr="00794077">
        <w:rPr>
          <w:sz w:val="48"/>
          <w:szCs w:val="48"/>
        </w:rPr>
        <w:t>Justice relates to fairness and equal access. GP surgeries must ensure services are accessible to all, including individuals with disabilities, cultural needs, or low health literacy. The Equality Act (2010) reinforces this principle by requiring non-discriminatory practice.</w:t>
      </w:r>
    </w:p>
    <w:p w:rsidRPr="00794077" w:rsidR="00794077" w:rsidP="00794077" w:rsidRDefault="00794077" w14:paraId="276C4EA1" w14:textId="77777777">
      <w:pPr>
        <w:rPr>
          <w:sz w:val="48"/>
          <w:szCs w:val="48"/>
        </w:rPr>
      </w:pPr>
    </w:p>
    <w:p w:rsidRPr="00794077" w:rsidR="00794077" w:rsidP="00794077" w:rsidRDefault="00794077" w14:paraId="011134AF" w14:textId="3A24F91C">
      <w:pPr>
        <w:rPr>
          <w:sz w:val="48"/>
          <w:szCs w:val="48"/>
        </w:rPr>
      </w:pPr>
      <w:r w:rsidRPr="4C019C23" w:rsidR="49252B56">
        <w:rPr>
          <w:sz w:val="48"/>
          <w:szCs w:val="48"/>
        </w:rPr>
        <w:t xml:space="preserve">These ethical principles guide daily decisions, promote dignity, and protect individuals’ rights. In partnership working, ethics ensure that information-sharing is </w:t>
      </w:r>
      <w:r w:rsidRPr="4C019C23" w:rsidR="34D48E09">
        <w:rPr>
          <w:sz w:val="48"/>
          <w:szCs w:val="48"/>
        </w:rPr>
        <w:t>proper</w:t>
      </w:r>
      <w:r w:rsidRPr="4C019C23" w:rsidR="49252B56">
        <w:rPr>
          <w:sz w:val="48"/>
          <w:szCs w:val="48"/>
        </w:rPr>
        <w:t>, decisions are transparent, and professionals collaborate responsibly.</w:t>
      </w:r>
    </w:p>
    <w:p w:rsidRPr="00794077" w:rsidR="00794077" w:rsidP="00794077" w:rsidRDefault="00794077" w14:paraId="0C1EC7EA" w14:textId="77777777">
      <w:pPr>
        <w:rPr>
          <w:sz w:val="48"/>
          <w:szCs w:val="48"/>
        </w:rPr>
      </w:pPr>
    </w:p>
    <w:p w:rsidRPr="00794077" w:rsidR="00794077" w:rsidP="00794077" w:rsidRDefault="00794077" w14:paraId="13E8012D" w14:textId="6A86E591">
      <w:pPr>
        <w:rPr>
          <w:sz w:val="48"/>
          <w:szCs w:val="48"/>
        </w:rPr>
      </w:pPr>
    </w:p>
    <w:p w:rsidRPr="00794077" w:rsidR="00794077" w:rsidP="00794077" w:rsidRDefault="00794077" w14:paraId="4681DDEC" w14:textId="77777777">
      <w:pPr>
        <w:rPr>
          <w:sz w:val="48"/>
          <w:szCs w:val="48"/>
        </w:rPr>
      </w:pPr>
    </w:p>
    <w:p w:rsidRPr="00794077" w:rsidR="00794077" w:rsidP="4C019C23" w:rsidRDefault="00794077" w14:paraId="7F2B7C43" w14:textId="77777777">
      <w:pPr>
        <w:rPr>
          <w:b w:val="1"/>
          <w:bCs w:val="1"/>
          <w:sz w:val="52"/>
          <w:szCs w:val="52"/>
        </w:rPr>
      </w:pPr>
      <w:r w:rsidRPr="4C019C23" w:rsidR="49252B56">
        <w:rPr>
          <w:b w:val="1"/>
          <w:bCs w:val="1"/>
          <w:sz w:val="52"/>
          <w:szCs w:val="52"/>
        </w:rPr>
        <w:t>Evaluation of Partnership Working</w:t>
      </w:r>
    </w:p>
    <w:p w:rsidRPr="00794077" w:rsidR="00794077" w:rsidP="00794077" w:rsidRDefault="00794077" w14:paraId="424B108C" w14:textId="77777777">
      <w:pPr>
        <w:rPr>
          <w:sz w:val="48"/>
          <w:szCs w:val="48"/>
        </w:rPr>
      </w:pPr>
    </w:p>
    <w:p w:rsidRPr="00794077" w:rsidR="00794077" w:rsidP="00794077" w:rsidRDefault="00794077" w14:paraId="54C6AE97" w14:textId="77777777">
      <w:pPr>
        <w:rPr>
          <w:sz w:val="48"/>
          <w:szCs w:val="48"/>
        </w:rPr>
      </w:pPr>
      <w:r w:rsidRPr="00794077">
        <w:rPr>
          <w:sz w:val="48"/>
          <w:szCs w:val="48"/>
        </w:rPr>
        <w:t>Partnership working involves professionals, agencies, and service users collaborating to achieve shared goals (SCIE, 2020). Effective PW improves outcomes, enhances safety, and reduces fragmentation in the health and social care system.</w:t>
      </w:r>
    </w:p>
    <w:p w:rsidRPr="00794077" w:rsidR="00794077" w:rsidP="00794077" w:rsidRDefault="00794077" w14:paraId="6524A7A0" w14:textId="77777777">
      <w:pPr>
        <w:rPr>
          <w:sz w:val="48"/>
          <w:szCs w:val="48"/>
        </w:rPr>
      </w:pPr>
    </w:p>
    <w:p w:rsidRPr="00794077" w:rsidR="00794077" w:rsidP="00794077" w:rsidRDefault="00794077" w14:paraId="4A3F9DFC" w14:textId="12227FEB">
      <w:pPr>
        <w:rPr>
          <w:sz w:val="48"/>
          <w:szCs w:val="48"/>
        </w:rPr>
      </w:pPr>
      <w:r w:rsidRPr="4C019C23" w:rsidR="49252B56">
        <w:rPr>
          <w:sz w:val="48"/>
          <w:szCs w:val="48"/>
        </w:rPr>
        <w:t xml:space="preserve">PW offers multiple benefits. It brings together different professional </w:t>
      </w:r>
      <w:r w:rsidRPr="4C019C23" w:rsidR="5EBFD660">
        <w:rPr>
          <w:sz w:val="48"/>
          <w:szCs w:val="48"/>
        </w:rPr>
        <w:t>ability</w:t>
      </w:r>
      <w:r w:rsidRPr="4C019C23" w:rsidR="49252B56">
        <w:rPr>
          <w:sz w:val="48"/>
          <w:szCs w:val="48"/>
        </w:rPr>
        <w:t>, enabling comprehensive care planning for individuals with complex needs. For example, someone with asthma may require input from GPs, nurses, pharmacists, respiratory specialists, and social prescribers. By working together, professionals ensure that clinical, emotional, and environmental needs are addressed. PW reduces duplication of assessments, improves communication, and ensures continuity between services. It also supports safeguarding and early intervention, which are crucial for vulnerable individuals.</w:t>
      </w:r>
    </w:p>
    <w:p w:rsidRPr="00794077" w:rsidR="00794077" w:rsidP="00794077" w:rsidRDefault="00794077" w14:paraId="059CA5DE" w14:textId="77777777">
      <w:pPr>
        <w:rPr>
          <w:sz w:val="48"/>
          <w:szCs w:val="48"/>
        </w:rPr>
      </w:pPr>
    </w:p>
    <w:p w:rsidRPr="00794077" w:rsidR="00794077" w:rsidP="00794077" w:rsidRDefault="00794077" w14:paraId="6593D68A" w14:textId="77777777">
      <w:pPr>
        <w:rPr>
          <w:sz w:val="48"/>
          <w:szCs w:val="48"/>
        </w:rPr>
      </w:pPr>
      <w:r w:rsidRPr="00794077">
        <w:rPr>
          <w:sz w:val="48"/>
          <w:szCs w:val="48"/>
        </w:rPr>
        <w:t>However, PW has limitations. Challenges include communication breakdowns, incompatible IT systems, unclear professional roles, conflicting priorities, and workload pressures. Differences in organisational culture between NHS and social care services can also hinder collaboration. Additionally, time constraints and staff shortages reduce opportunities for regular multidisciplinary meetings. Despite these barriers, PW is essential for high-quality care and is strongly supported by UK legislation.</w:t>
      </w:r>
    </w:p>
    <w:p w:rsidRPr="00794077" w:rsidR="00794077" w:rsidP="00794077" w:rsidRDefault="00794077" w14:paraId="739A625E" w14:textId="77777777">
      <w:pPr>
        <w:rPr>
          <w:sz w:val="48"/>
          <w:szCs w:val="48"/>
        </w:rPr>
      </w:pPr>
    </w:p>
    <w:p w:rsidRPr="00794077" w:rsidR="00794077" w:rsidP="00794077" w:rsidRDefault="00794077" w14:paraId="04BCA21E" w14:textId="012D8B3A">
      <w:pPr>
        <w:rPr>
          <w:sz w:val="48"/>
          <w:szCs w:val="48"/>
        </w:rPr>
      </w:pPr>
    </w:p>
    <w:p w:rsidRPr="00794077" w:rsidR="00794077" w:rsidP="00794077" w:rsidRDefault="00794077" w14:paraId="53A41703" w14:textId="77777777">
      <w:pPr>
        <w:rPr>
          <w:sz w:val="48"/>
          <w:szCs w:val="48"/>
        </w:rPr>
      </w:pPr>
    </w:p>
    <w:p w:rsidRPr="00794077" w:rsidR="00794077" w:rsidP="4C019C23" w:rsidRDefault="00794077" w14:paraId="5913BE2E" w14:textId="77777777">
      <w:pPr>
        <w:rPr>
          <w:b w:val="1"/>
          <w:bCs w:val="1"/>
          <w:sz w:val="52"/>
          <w:szCs w:val="52"/>
        </w:rPr>
      </w:pPr>
      <w:r w:rsidRPr="4C019C23" w:rsidR="49252B56">
        <w:rPr>
          <w:b w:val="1"/>
          <w:bCs w:val="1"/>
          <w:sz w:val="52"/>
          <w:szCs w:val="52"/>
        </w:rPr>
        <w:t>Partnership Working in a GP Surgery Setting</w:t>
      </w:r>
    </w:p>
    <w:p w:rsidRPr="00794077" w:rsidR="00794077" w:rsidP="00794077" w:rsidRDefault="00794077" w14:paraId="6573E0B9" w14:textId="77777777">
      <w:pPr>
        <w:rPr>
          <w:sz w:val="48"/>
          <w:szCs w:val="48"/>
        </w:rPr>
      </w:pPr>
    </w:p>
    <w:p w:rsidRPr="00794077" w:rsidR="00794077" w:rsidP="00794077" w:rsidRDefault="00794077" w14:paraId="2980F645" w14:textId="4EBD83DA">
      <w:pPr>
        <w:rPr>
          <w:sz w:val="48"/>
          <w:szCs w:val="48"/>
        </w:rPr>
      </w:pPr>
      <w:r w:rsidRPr="4C019C23" w:rsidR="49252B56">
        <w:rPr>
          <w:sz w:val="48"/>
          <w:szCs w:val="48"/>
        </w:rPr>
        <w:t xml:space="preserve">GP surgeries </w:t>
      </w:r>
      <w:r w:rsidRPr="4C019C23" w:rsidR="4C3B6B9A">
        <w:rPr>
          <w:sz w:val="48"/>
          <w:szCs w:val="48"/>
        </w:rPr>
        <w:t>give</w:t>
      </w:r>
      <w:r w:rsidRPr="4C019C23" w:rsidR="49252B56">
        <w:rPr>
          <w:sz w:val="48"/>
          <w:szCs w:val="48"/>
        </w:rPr>
        <w:t xml:space="preserve"> a strong example of PW in practice because they function as </w:t>
      </w:r>
      <w:r w:rsidRPr="4C019C23" w:rsidR="49252B56">
        <w:rPr>
          <w:sz w:val="48"/>
          <w:szCs w:val="48"/>
        </w:rPr>
        <w:t>a central point</w:t>
      </w:r>
      <w:r w:rsidRPr="4C019C23" w:rsidR="49252B56">
        <w:rPr>
          <w:sz w:val="48"/>
          <w:szCs w:val="48"/>
        </w:rPr>
        <w:t xml:space="preserve"> of coordination for many patients. Surgeries typically include GPs, practice nurses, healthcare assistants, mental health practitioners, pharmacists, physiotherapists, health visitors, and administrative staff. They also work closely with community services, hospitals, local authorities, and voluntary organisations.</w:t>
      </w:r>
    </w:p>
    <w:p w:rsidRPr="00794077" w:rsidR="00794077" w:rsidP="00794077" w:rsidRDefault="00794077" w14:paraId="53747F78" w14:textId="77777777">
      <w:pPr>
        <w:rPr>
          <w:sz w:val="48"/>
          <w:szCs w:val="48"/>
        </w:rPr>
      </w:pPr>
    </w:p>
    <w:p w:rsidRPr="00794077" w:rsidR="00794077" w:rsidP="00794077" w:rsidRDefault="00794077" w14:paraId="374B0698" w14:textId="5CC72602">
      <w:pPr>
        <w:rPr>
          <w:sz w:val="48"/>
          <w:szCs w:val="48"/>
        </w:rPr>
      </w:pPr>
      <w:r w:rsidRPr="4C019C23" w:rsidR="49252B56">
        <w:rPr>
          <w:sz w:val="48"/>
          <w:szCs w:val="48"/>
        </w:rPr>
        <w:t xml:space="preserve">In asthma management, PW may involve the GP prescribing medication, the nurse assessing inhaler technique, the pharmacist reviewing interactions, the respiratory specialist advising on complex cases, and the social prescriber addressing lifestyle issues. Digital platforms such as EMIS and </w:t>
      </w:r>
      <w:r w:rsidRPr="4C019C23" w:rsidR="11347BCD">
        <w:rPr>
          <w:sz w:val="48"/>
          <w:szCs w:val="48"/>
        </w:rPr>
        <w:t>System</w:t>
      </w:r>
      <w:r w:rsidRPr="4C019C23" w:rsidR="11347BCD">
        <w:rPr>
          <w:sz w:val="48"/>
          <w:szCs w:val="48"/>
        </w:rPr>
        <w:t xml:space="preserve"> </w:t>
      </w:r>
      <w:r w:rsidRPr="4C019C23" w:rsidR="49252B56">
        <w:rPr>
          <w:sz w:val="48"/>
          <w:szCs w:val="48"/>
        </w:rPr>
        <w:t>One support efficient information-sharing, reducing delays and duplication. Regular MDT meetings further strengthen collaboration.</w:t>
      </w:r>
    </w:p>
    <w:p w:rsidRPr="00794077" w:rsidR="00794077" w:rsidP="00794077" w:rsidRDefault="00794077" w14:paraId="5448D38D" w14:textId="77777777">
      <w:pPr>
        <w:rPr>
          <w:sz w:val="48"/>
          <w:szCs w:val="48"/>
        </w:rPr>
      </w:pPr>
    </w:p>
    <w:p w:rsidRPr="00794077" w:rsidR="00794077" w:rsidP="00794077" w:rsidRDefault="00794077" w14:paraId="08E8BC5D" w14:textId="77777777">
      <w:pPr>
        <w:rPr>
          <w:sz w:val="48"/>
          <w:szCs w:val="48"/>
        </w:rPr>
      </w:pPr>
      <w:r w:rsidRPr="00794077">
        <w:rPr>
          <w:sz w:val="48"/>
          <w:szCs w:val="48"/>
        </w:rPr>
        <w:t>Despite these strengths, barriers still exist. GP surgeries face increasing pressure from high demand, staff shortages, and long waiting times. Communication with hospitals can be slow, and workload pressures reduce opportunities for extended consultations. Nevertheless, Primary Care Networks (PCNs) introduced under the Health and Care Act (2022) aim to expand the primary-care workforce and enhance collaborative practice.</w:t>
      </w:r>
    </w:p>
    <w:p w:rsidRPr="00794077" w:rsidR="00794077" w:rsidP="00794077" w:rsidRDefault="00794077" w14:paraId="638F0417" w14:textId="77777777">
      <w:pPr>
        <w:rPr>
          <w:sz w:val="48"/>
          <w:szCs w:val="48"/>
        </w:rPr>
      </w:pPr>
    </w:p>
    <w:p w:rsidRPr="00794077" w:rsidR="00794077" w:rsidP="00794077" w:rsidRDefault="00794077" w14:paraId="1A26DD16" w14:textId="42DDCA0C">
      <w:pPr>
        <w:rPr>
          <w:sz w:val="48"/>
          <w:szCs w:val="48"/>
        </w:rPr>
      </w:pPr>
    </w:p>
    <w:p w:rsidRPr="00794077" w:rsidR="00794077" w:rsidP="4C019C23" w:rsidRDefault="00794077" w14:paraId="5FFC5847" w14:textId="77777777">
      <w:pPr>
        <w:rPr>
          <w:b w:val="1"/>
          <w:bCs w:val="1"/>
          <w:sz w:val="52"/>
          <w:szCs w:val="52"/>
        </w:rPr>
      </w:pPr>
      <w:r w:rsidRPr="4C019C23" w:rsidR="49252B56">
        <w:rPr>
          <w:b w:val="1"/>
          <w:bCs w:val="1"/>
          <w:sz w:val="52"/>
          <w:szCs w:val="52"/>
        </w:rPr>
        <w:t>Policy and Legislation Supporting PCC and PW</w:t>
      </w:r>
    </w:p>
    <w:p w:rsidRPr="00794077" w:rsidR="00794077" w:rsidP="00794077" w:rsidRDefault="00794077" w14:paraId="6ED3857A" w14:textId="77777777">
      <w:pPr>
        <w:rPr>
          <w:sz w:val="48"/>
          <w:szCs w:val="48"/>
        </w:rPr>
      </w:pPr>
    </w:p>
    <w:p w:rsidRPr="00794077" w:rsidR="00794077" w:rsidP="00794077" w:rsidRDefault="00794077" w14:paraId="43B48E35" w14:textId="60A938F9">
      <w:pPr>
        <w:rPr>
          <w:sz w:val="48"/>
          <w:szCs w:val="48"/>
        </w:rPr>
      </w:pPr>
      <w:r w:rsidRPr="4C019C23" w:rsidR="49252B56">
        <w:rPr>
          <w:sz w:val="48"/>
          <w:szCs w:val="48"/>
        </w:rPr>
        <w:t xml:space="preserve">National policy strongly supports PCC and PW. The Care Act 2014 emphasises wellbeing, independence, and personalised planning, requiring councils and services to collaborate. The Health and Social Care Act 2012 </w:t>
      </w:r>
      <w:r w:rsidRPr="4C019C23" w:rsidR="6E9457B3">
        <w:rPr>
          <w:sz w:val="48"/>
          <w:szCs w:val="48"/>
        </w:rPr>
        <w:t>promote</w:t>
      </w:r>
      <w:r w:rsidRPr="4C019C23" w:rsidR="49252B56">
        <w:rPr>
          <w:sz w:val="48"/>
          <w:szCs w:val="48"/>
        </w:rPr>
        <w:t xml:space="preserve"> transparency, autonomy, and patient choice. The Health and Care Act 2022 introduced Integrated Care Systems (ICSs), which require NHS organisations, local </w:t>
      </w:r>
      <w:r w:rsidRPr="4C019C23" w:rsidR="49252B56">
        <w:rPr>
          <w:sz w:val="48"/>
          <w:szCs w:val="48"/>
        </w:rPr>
        <w:t>authorities</w:t>
      </w:r>
      <w:r w:rsidRPr="4C019C23" w:rsidR="49252B56">
        <w:rPr>
          <w:sz w:val="48"/>
          <w:szCs w:val="48"/>
        </w:rPr>
        <w:t xml:space="preserve"> and voluntary services to work together to improve population health.</w:t>
      </w:r>
    </w:p>
    <w:p w:rsidRPr="00794077" w:rsidR="00794077" w:rsidP="00794077" w:rsidRDefault="00794077" w14:paraId="00C06EE2" w14:textId="77777777">
      <w:pPr>
        <w:rPr>
          <w:sz w:val="48"/>
          <w:szCs w:val="48"/>
        </w:rPr>
      </w:pPr>
    </w:p>
    <w:p w:rsidRPr="00794077" w:rsidR="00794077" w:rsidP="00794077" w:rsidRDefault="00794077" w14:paraId="716A8F98" w14:textId="77777777">
      <w:pPr>
        <w:rPr>
          <w:sz w:val="48"/>
          <w:szCs w:val="48"/>
        </w:rPr>
      </w:pPr>
      <w:r w:rsidRPr="00794077">
        <w:rPr>
          <w:sz w:val="48"/>
          <w:szCs w:val="48"/>
        </w:rPr>
        <w:t>The NHS Long Term Plan (2019) strengthens PCC by focusing on self-management, personalised care planning, and expansion of MDTs. The Equality Act 2010 protects individuals from discrimination and ensures equal access to care. The Human Rights Act 1998 protects dignity, privacy, and autonomy—core aspects of PCC. The Data Protection Act 2018/GDPR ensures information-sharing in PW is lawful and transparent.</w:t>
      </w:r>
    </w:p>
    <w:p w:rsidRPr="00794077" w:rsidR="00794077" w:rsidP="00794077" w:rsidRDefault="00794077" w14:paraId="20139C9A" w14:textId="77777777">
      <w:pPr>
        <w:rPr>
          <w:sz w:val="48"/>
          <w:szCs w:val="48"/>
        </w:rPr>
      </w:pPr>
    </w:p>
    <w:p w:rsidRPr="00794077" w:rsidR="00794077" w:rsidP="00794077" w:rsidRDefault="00794077" w14:paraId="2B6B91D8" w14:textId="77777777">
      <w:pPr>
        <w:rPr>
          <w:sz w:val="48"/>
          <w:szCs w:val="48"/>
        </w:rPr>
      </w:pPr>
      <w:r w:rsidRPr="00794077">
        <w:rPr>
          <w:sz w:val="48"/>
          <w:szCs w:val="48"/>
        </w:rPr>
        <w:t>These frameworks collectively provide strong legal and ethical foundations for PCC and PW in GP surgeries.</w:t>
      </w:r>
    </w:p>
    <w:p w:rsidRPr="00794077" w:rsidR="00794077" w:rsidP="00794077" w:rsidRDefault="00794077" w14:paraId="58C6D366" w14:textId="77777777">
      <w:pPr>
        <w:rPr>
          <w:sz w:val="48"/>
          <w:szCs w:val="48"/>
        </w:rPr>
      </w:pPr>
    </w:p>
    <w:p w:rsidRPr="00794077" w:rsidR="00794077" w:rsidP="00794077" w:rsidRDefault="00794077" w14:paraId="5EA8D847" w14:textId="3907EA40">
      <w:pPr>
        <w:rPr>
          <w:sz w:val="48"/>
          <w:szCs w:val="48"/>
        </w:rPr>
      </w:pPr>
    </w:p>
    <w:p w:rsidRPr="00794077" w:rsidR="00794077" w:rsidP="00794077" w:rsidRDefault="00794077" w14:paraId="0E7E0F09" w14:textId="77777777">
      <w:pPr>
        <w:rPr>
          <w:sz w:val="48"/>
          <w:szCs w:val="48"/>
        </w:rPr>
      </w:pPr>
    </w:p>
    <w:p w:rsidRPr="00794077" w:rsidR="00794077" w:rsidP="4C019C23" w:rsidRDefault="00794077" w14:paraId="15138DAF" w14:textId="25035614">
      <w:pPr>
        <w:rPr>
          <w:b w:val="1"/>
          <w:bCs w:val="1"/>
          <w:sz w:val="52"/>
          <w:szCs w:val="52"/>
        </w:rPr>
      </w:pPr>
      <w:r w:rsidRPr="4C019C23" w:rsidR="49252B56">
        <w:rPr>
          <w:b w:val="1"/>
          <w:bCs w:val="1"/>
          <w:sz w:val="52"/>
          <w:szCs w:val="52"/>
        </w:rPr>
        <w:t>Recommendations</w:t>
      </w:r>
      <w:r w:rsidRPr="4C019C23" w:rsidR="14A4BF26">
        <w:rPr>
          <w:b w:val="1"/>
          <w:bCs w:val="1"/>
          <w:sz w:val="52"/>
          <w:szCs w:val="52"/>
        </w:rPr>
        <w:t xml:space="preserve"> </w:t>
      </w:r>
    </w:p>
    <w:p w:rsidRPr="00794077" w:rsidR="00794077" w:rsidP="00794077" w:rsidRDefault="00794077" w14:paraId="2A2F3C01" w14:textId="77777777">
      <w:pPr>
        <w:rPr>
          <w:sz w:val="48"/>
          <w:szCs w:val="48"/>
        </w:rPr>
      </w:pPr>
    </w:p>
    <w:p w:rsidRPr="00794077" w:rsidR="00794077" w:rsidP="00794077" w:rsidRDefault="00794077" w14:paraId="711DCC80" w14:textId="04D308D2">
      <w:pPr>
        <w:rPr>
          <w:sz w:val="48"/>
          <w:szCs w:val="48"/>
        </w:rPr>
      </w:pPr>
      <w:r w:rsidRPr="4C019C23" w:rsidR="49252B56">
        <w:rPr>
          <w:sz w:val="48"/>
          <w:szCs w:val="48"/>
        </w:rPr>
        <w:t>To strengthen PCC and PW in primary care, several improvements are recommended. Increasing appointment lengths for patients with complex needs would allow more meaningful conversations about preferences and lifestyle factors. Investment in digital integration between hospitals and GP surgeries would reduce delays and improve continuity. Expanding MDTs through PCNs</w:t>
      </w:r>
      <w:r w:rsidRPr="4C019C23" w:rsidR="1D36EB53">
        <w:rPr>
          <w:sz w:val="48"/>
          <w:szCs w:val="48"/>
        </w:rPr>
        <w:t xml:space="preserve"> </w:t>
      </w:r>
      <w:r w:rsidRPr="4C019C23" w:rsidR="49252B56">
        <w:rPr>
          <w:sz w:val="48"/>
          <w:szCs w:val="48"/>
        </w:rPr>
        <w:t>particularly with mental health workers, pharmacists, and social prescribers</w:t>
      </w:r>
      <w:r w:rsidRPr="4C019C23" w:rsidR="57E506A1">
        <w:rPr>
          <w:sz w:val="48"/>
          <w:szCs w:val="48"/>
        </w:rPr>
        <w:t xml:space="preserve"> </w:t>
      </w:r>
      <w:r w:rsidRPr="4C019C23" w:rsidR="49252B56">
        <w:rPr>
          <w:sz w:val="48"/>
          <w:szCs w:val="48"/>
        </w:rPr>
        <w:t>would enhance holistic support. Staff training in communication, cultural competence, and PCC skills should be prioritised to ensure consistent practice. Improving accessibility through interpreters, easy-read materials, and flexible appointment systems would reduce health inequalities. Finally, increasing patient involvement through co-production and patient feedback groups would strengthen PCC and improve service design.</w:t>
      </w:r>
    </w:p>
    <w:p w:rsidRPr="00794077" w:rsidR="00794077" w:rsidP="00794077" w:rsidRDefault="00794077" w14:paraId="1F3B380C" w14:textId="77777777">
      <w:pPr>
        <w:rPr>
          <w:sz w:val="48"/>
          <w:szCs w:val="48"/>
        </w:rPr>
      </w:pPr>
    </w:p>
    <w:p w:rsidRPr="00794077" w:rsidR="00794077" w:rsidP="00794077" w:rsidRDefault="00794077" w14:paraId="3DE1ED44" w14:textId="77777777">
      <w:pPr>
        <w:rPr>
          <w:sz w:val="48"/>
          <w:szCs w:val="48"/>
        </w:rPr>
      </w:pPr>
      <w:r w:rsidRPr="00794077">
        <w:rPr>
          <w:sz w:val="48"/>
          <w:szCs w:val="48"/>
        </w:rPr>
        <w:t>These changes would enhance personalisation, safety, and collaboration across the NHS.</w:t>
      </w:r>
    </w:p>
    <w:p w:rsidRPr="00794077" w:rsidR="00794077" w:rsidP="00794077" w:rsidRDefault="00794077" w14:paraId="1F58196E" w14:textId="77777777">
      <w:pPr>
        <w:rPr>
          <w:sz w:val="48"/>
          <w:szCs w:val="48"/>
        </w:rPr>
      </w:pPr>
    </w:p>
    <w:p w:rsidRPr="00794077" w:rsidR="00794077" w:rsidP="00794077" w:rsidRDefault="00794077" w14:paraId="11D44EA1" w14:textId="77777777">
      <w:pPr>
        <w:rPr>
          <w:sz w:val="48"/>
          <w:szCs w:val="48"/>
        </w:rPr>
      </w:pPr>
      <w:r w:rsidRPr="00794077">
        <w:rPr>
          <w:sz w:val="48"/>
          <w:szCs w:val="48"/>
        </w:rPr>
        <w:t>In addition, strengthening digital literacy support for patients would help them use online services more confidently, allowing better self-management and more consistent communication with healthcare teams. Providing targeted training for staff on trauma-informed care, cultural awareness, and shared decision-making would help ensure PCC is delivered consistently across different settings. Improved integration between health, social care, and voluntary services would also support earlier intervention, reduce duplication, and create clearer care pathways.</w:t>
      </w:r>
    </w:p>
    <w:p w:rsidRPr="00794077" w:rsidR="00794077" w:rsidP="00794077" w:rsidRDefault="00794077" w14:paraId="18D93CC6" w14:textId="77777777">
      <w:pPr>
        <w:rPr>
          <w:sz w:val="48"/>
          <w:szCs w:val="48"/>
        </w:rPr>
      </w:pPr>
    </w:p>
    <w:p w:rsidRPr="00794077" w:rsidR="00794077" w:rsidP="00794077" w:rsidRDefault="00794077" w14:paraId="60FD39F1" w14:textId="77777777">
      <w:pPr>
        <w:rPr>
          <w:sz w:val="48"/>
          <w:szCs w:val="48"/>
        </w:rPr>
      </w:pPr>
      <w:r w:rsidRPr="00794077">
        <w:rPr>
          <w:sz w:val="48"/>
          <w:szCs w:val="48"/>
        </w:rPr>
        <w:t>Another recommendation is to increase government funding for community-based prevention programmes, particularly those supporting people with long-term conditions, mental health needs, and social vulnerabilities. Encouraging closer collaboration between PCNs, local councils, and voluntary organisations could help address wider determinants of health such as housing, employment, and social isolation.</w:t>
      </w:r>
    </w:p>
    <w:p w:rsidRPr="00794077" w:rsidR="00794077" w:rsidP="00794077" w:rsidRDefault="00794077" w14:paraId="6DA4AD5D" w14:textId="77777777">
      <w:pPr>
        <w:rPr>
          <w:sz w:val="48"/>
          <w:szCs w:val="48"/>
        </w:rPr>
      </w:pPr>
    </w:p>
    <w:p w:rsidRPr="00794077" w:rsidR="00794077" w:rsidP="00794077" w:rsidRDefault="00794077" w14:paraId="619BA851" w14:textId="77777777">
      <w:pPr>
        <w:rPr>
          <w:sz w:val="48"/>
          <w:szCs w:val="48"/>
        </w:rPr>
      </w:pPr>
      <w:r w:rsidRPr="00794077">
        <w:rPr>
          <w:sz w:val="48"/>
          <w:szCs w:val="48"/>
        </w:rPr>
        <w:t>Finally, continued evaluation and monitoring through audits, patient-satisfaction surveys, and quality-improvement projects would ensure that PCC and partnership working continue to evolve in response to patient needs, staff feedback, and emerging policy changes. Embedding these strategies within everyday practice would support a more resilient, inclusive, and proactive primary-care system.</w:t>
      </w:r>
    </w:p>
    <w:p w:rsidRPr="00794077" w:rsidR="00794077" w:rsidP="00794077" w:rsidRDefault="00794077" w14:paraId="2B951C0B" w14:textId="77777777">
      <w:pPr>
        <w:rPr>
          <w:sz w:val="48"/>
          <w:szCs w:val="48"/>
        </w:rPr>
      </w:pPr>
    </w:p>
    <w:p w:rsidRPr="00794077" w:rsidR="00794077" w:rsidP="00794077" w:rsidRDefault="00794077" w14:paraId="4812A207" w14:textId="62ED1807">
      <w:pPr>
        <w:rPr>
          <w:sz w:val="48"/>
          <w:szCs w:val="48"/>
        </w:rPr>
      </w:pPr>
    </w:p>
    <w:p w:rsidRPr="00794077" w:rsidR="00794077" w:rsidP="4C019C23" w:rsidRDefault="00794077" w14:paraId="0DDEB393" w14:textId="77777777">
      <w:pPr>
        <w:rPr>
          <w:b w:val="1"/>
          <w:bCs w:val="1"/>
          <w:sz w:val="52"/>
          <w:szCs w:val="52"/>
        </w:rPr>
      </w:pPr>
      <w:r w:rsidRPr="4C019C23" w:rsidR="49252B56">
        <w:rPr>
          <w:b w:val="1"/>
          <w:bCs w:val="1"/>
          <w:sz w:val="52"/>
          <w:szCs w:val="52"/>
        </w:rPr>
        <w:t>Conclusion</w:t>
      </w:r>
    </w:p>
    <w:p w:rsidRPr="00794077" w:rsidR="00794077" w:rsidP="00794077" w:rsidRDefault="00794077" w14:paraId="339BB764" w14:textId="77777777">
      <w:pPr>
        <w:rPr>
          <w:sz w:val="48"/>
          <w:szCs w:val="48"/>
        </w:rPr>
      </w:pPr>
    </w:p>
    <w:p w:rsidRPr="00794077" w:rsidR="00794077" w:rsidP="00794077" w:rsidRDefault="00794077" w14:paraId="77D73883" w14:textId="7C9E2FE4">
      <w:pPr>
        <w:rPr>
          <w:sz w:val="48"/>
          <w:szCs w:val="48"/>
        </w:rPr>
      </w:pPr>
      <w:r w:rsidRPr="4C019C23" w:rsidR="49252B56">
        <w:rPr>
          <w:sz w:val="48"/>
          <w:szCs w:val="48"/>
        </w:rPr>
        <w:t xml:space="preserve">This report has critically examined person-centred care and partnership working within the context of a GP surgery. PCC promotes autonomy, dignity, and personalised support, while PW enables comprehensive and coordinated care. Using Maslow’s Hierarchy of Needs </w:t>
      </w:r>
      <w:r w:rsidRPr="4C019C23" w:rsidR="46D5D4E6">
        <w:rPr>
          <w:sz w:val="48"/>
          <w:szCs w:val="48"/>
        </w:rPr>
        <w:t>proves</w:t>
      </w:r>
      <w:r w:rsidRPr="4C019C23" w:rsidR="49252B56">
        <w:rPr>
          <w:sz w:val="48"/>
          <w:szCs w:val="48"/>
        </w:rPr>
        <w:t xml:space="preserve"> how holistic understanding strengthens PCC. Although challenges exist</w:t>
      </w:r>
      <w:r w:rsidRPr="4C019C23" w:rsidR="4EE94332">
        <w:rPr>
          <w:sz w:val="48"/>
          <w:szCs w:val="48"/>
        </w:rPr>
        <w:t xml:space="preserve"> </w:t>
      </w:r>
      <w:r w:rsidRPr="4C019C23" w:rsidR="49252B56">
        <w:rPr>
          <w:sz w:val="48"/>
          <w:szCs w:val="48"/>
        </w:rPr>
        <w:t>including time pressures and workforce shortages</w:t>
      </w:r>
      <w:r w:rsidRPr="4C019C23" w:rsidR="54147086">
        <w:rPr>
          <w:sz w:val="48"/>
          <w:szCs w:val="48"/>
        </w:rPr>
        <w:t xml:space="preserve"> </w:t>
      </w:r>
      <w:r w:rsidRPr="4C019C23" w:rsidR="49252B56">
        <w:rPr>
          <w:sz w:val="48"/>
          <w:szCs w:val="48"/>
        </w:rPr>
        <w:t xml:space="preserve">policy and legislation strongly support both PCC and PW. Implementing the recommendations </w:t>
      </w:r>
      <w:r w:rsidRPr="4C019C23" w:rsidR="0FD1C03C">
        <w:rPr>
          <w:sz w:val="48"/>
          <w:szCs w:val="48"/>
        </w:rPr>
        <w:t>found</w:t>
      </w:r>
      <w:r w:rsidRPr="4C019C23" w:rsidR="49252B56">
        <w:rPr>
          <w:sz w:val="48"/>
          <w:szCs w:val="48"/>
        </w:rPr>
        <w:t xml:space="preserve"> will help ensure that UK primary-care services continue to deliver safe, </w:t>
      </w:r>
      <w:r w:rsidRPr="4C019C23" w:rsidR="49252B56">
        <w:rPr>
          <w:sz w:val="48"/>
          <w:szCs w:val="48"/>
        </w:rPr>
        <w:t>inclusive</w:t>
      </w:r>
      <w:r w:rsidRPr="4C019C23" w:rsidR="49252B56">
        <w:rPr>
          <w:sz w:val="48"/>
          <w:szCs w:val="48"/>
        </w:rPr>
        <w:t xml:space="preserve"> and collaborative care.</w:t>
      </w:r>
    </w:p>
    <w:p w:rsidRPr="00794077" w:rsidR="00794077" w:rsidP="00794077" w:rsidRDefault="00794077" w14:paraId="169FFAD8" w14:textId="77777777">
      <w:pPr>
        <w:rPr>
          <w:sz w:val="48"/>
          <w:szCs w:val="48"/>
        </w:rPr>
      </w:pPr>
    </w:p>
    <w:p w:rsidRPr="00794077" w:rsidR="00794077" w:rsidP="00794077" w:rsidRDefault="00794077" w14:paraId="1266F0AF" w14:textId="05352154">
      <w:pPr>
        <w:rPr>
          <w:sz w:val="48"/>
          <w:szCs w:val="48"/>
        </w:rPr>
      </w:pPr>
    </w:p>
    <w:p w:rsidRPr="00794077" w:rsidR="00794077" w:rsidP="00794077" w:rsidRDefault="00794077" w14:paraId="122C369B" w14:textId="77777777">
      <w:pPr>
        <w:rPr>
          <w:sz w:val="48"/>
          <w:szCs w:val="48"/>
        </w:rPr>
      </w:pPr>
    </w:p>
    <w:p w:rsidRPr="00794077" w:rsidR="00794077" w:rsidP="4C019C23" w:rsidRDefault="00794077" w14:paraId="4537814B" w14:textId="2D774DA3">
      <w:pPr>
        <w:rPr>
          <w:b w:val="1"/>
          <w:bCs w:val="1"/>
          <w:sz w:val="52"/>
          <w:szCs w:val="52"/>
        </w:rPr>
      </w:pPr>
      <w:r w:rsidRPr="4C019C23" w:rsidR="49252B56">
        <w:rPr>
          <w:b w:val="1"/>
          <w:bCs w:val="1"/>
          <w:sz w:val="52"/>
          <w:szCs w:val="52"/>
        </w:rPr>
        <w:t>References</w:t>
      </w:r>
    </w:p>
    <w:p w:rsidRPr="00794077" w:rsidR="00794077" w:rsidP="00794077" w:rsidRDefault="00794077" w14:paraId="7D6801CB" w14:textId="77777777">
      <w:pPr>
        <w:rPr>
          <w:sz w:val="48"/>
          <w:szCs w:val="48"/>
        </w:rPr>
      </w:pPr>
    </w:p>
    <w:p w:rsidRPr="00794077" w:rsidR="00794077" w:rsidP="00794077" w:rsidRDefault="00794077" w14:paraId="11986503" w14:textId="77777777">
      <w:pPr>
        <w:rPr>
          <w:sz w:val="48"/>
          <w:szCs w:val="48"/>
        </w:rPr>
      </w:pPr>
      <w:r w:rsidRPr="00794077">
        <w:rPr>
          <w:sz w:val="48"/>
          <w:szCs w:val="48"/>
        </w:rPr>
        <w:t>Coulter, A. and Oldham, J. (2016) ‘Person-centred care’, JRSM, 109(1), pp.12–18.</w:t>
      </w:r>
    </w:p>
    <w:p w:rsidRPr="00794077" w:rsidR="00794077" w:rsidP="00794077" w:rsidRDefault="00794077" w14:paraId="1E67CD14" w14:textId="77777777">
      <w:pPr>
        <w:rPr>
          <w:sz w:val="48"/>
          <w:szCs w:val="48"/>
        </w:rPr>
      </w:pPr>
      <w:r w:rsidRPr="00794077">
        <w:rPr>
          <w:sz w:val="48"/>
          <w:szCs w:val="48"/>
        </w:rPr>
        <w:t>Data Protection Act (2018)</w:t>
      </w:r>
    </w:p>
    <w:p w:rsidRPr="00794077" w:rsidR="00794077" w:rsidP="00794077" w:rsidRDefault="00794077" w14:paraId="0F333975" w14:textId="77777777">
      <w:pPr>
        <w:rPr>
          <w:sz w:val="48"/>
          <w:szCs w:val="48"/>
        </w:rPr>
      </w:pPr>
      <w:r w:rsidRPr="00794077">
        <w:rPr>
          <w:sz w:val="48"/>
          <w:szCs w:val="48"/>
        </w:rPr>
        <w:t>Equality Act (2010)</w:t>
      </w:r>
    </w:p>
    <w:p w:rsidRPr="00794077" w:rsidR="00794077" w:rsidP="00794077" w:rsidRDefault="00794077" w14:paraId="3B2FF207" w14:textId="77777777">
      <w:pPr>
        <w:rPr>
          <w:sz w:val="48"/>
          <w:szCs w:val="48"/>
        </w:rPr>
      </w:pPr>
      <w:r w:rsidRPr="00794077">
        <w:rPr>
          <w:sz w:val="48"/>
          <w:szCs w:val="48"/>
        </w:rPr>
        <w:t>GDPR (2018)</w:t>
      </w:r>
    </w:p>
    <w:p w:rsidRPr="00794077" w:rsidR="00794077" w:rsidP="00794077" w:rsidRDefault="00794077" w14:paraId="3964DD0C" w14:textId="77777777">
      <w:pPr>
        <w:rPr>
          <w:sz w:val="48"/>
          <w:szCs w:val="48"/>
        </w:rPr>
      </w:pPr>
      <w:r w:rsidRPr="00794077">
        <w:rPr>
          <w:sz w:val="48"/>
          <w:szCs w:val="48"/>
        </w:rPr>
        <w:t>Health and Care Act (2022)</w:t>
      </w:r>
    </w:p>
    <w:p w:rsidRPr="00794077" w:rsidR="00794077" w:rsidP="00794077" w:rsidRDefault="00794077" w14:paraId="6D80DB6A" w14:textId="77777777">
      <w:pPr>
        <w:rPr>
          <w:sz w:val="48"/>
          <w:szCs w:val="48"/>
        </w:rPr>
      </w:pPr>
      <w:r w:rsidRPr="00794077">
        <w:rPr>
          <w:sz w:val="48"/>
          <w:szCs w:val="48"/>
        </w:rPr>
        <w:t>Health and Social Care Act (2012)</w:t>
      </w:r>
    </w:p>
    <w:p w:rsidRPr="00794077" w:rsidR="00794077" w:rsidP="00794077" w:rsidRDefault="00794077" w14:paraId="036E6B58" w14:textId="77777777">
      <w:pPr>
        <w:rPr>
          <w:sz w:val="48"/>
          <w:szCs w:val="48"/>
        </w:rPr>
      </w:pPr>
      <w:r w:rsidRPr="00794077">
        <w:rPr>
          <w:sz w:val="48"/>
          <w:szCs w:val="48"/>
        </w:rPr>
        <w:t>Health Foundation (2021) Person-Centred Care.</w:t>
      </w:r>
    </w:p>
    <w:p w:rsidRPr="00794077" w:rsidR="00794077" w:rsidP="00794077" w:rsidRDefault="00794077" w14:paraId="3E18CFC8" w14:textId="77777777">
      <w:pPr>
        <w:rPr>
          <w:sz w:val="48"/>
          <w:szCs w:val="48"/>
        </w:rPr>
      </w:pPr>
      <w:r w:rsidRPr="00794077">
        <w:rPr>
          <w:sz w:val="48"/>
          <w:szCs w:val="48"/>
        </w:rPr>
        <w:t>Human Rights Act (1998)</w:t>
      </w:r>
    </w:p>
    <w:p w:rsidRPr="00794077" w:rsidR="00794077" w:rsidP="00794077" w:rsidRDefault="00794077" w14:paraId="58E80A11" w14:textId="77777777">
      <w:pPr>
        <w:rPr>
          <w:sz w:val="48"/>
          <w:szCs w:val="48"/>
        </w:rPr>
      </w:pPr>
      <w:r w:rsidRPr="00794077">
        <w:rPr>
          <w:sz w:val="48"/>
          <w:szCs w:val="48"/>
        </w:rPr>
        <w:t>King’s Fund (2022) Integrated Care Systems Explained.</w:t>
      </w:r>
    </w:p>
    <w:p w:rsidRPr="00794077" w:rsidR="00794077" w:rsidP="00794077" w:rsidRDefault="00794077" w14:paraId="58D702EB" w14:textId="77777777">
      <w:pPr>
        <w:rPr>
          <w:sz w:val="48"/>
          <w:szCs w:val="48"/>
        </w:rPr>
      </w:pPr>
      <w:bookmarkStart w:name="_Int_gLBscSmD" w:id="1960675417"/>
      <w:r w:rsidRPr="4C019C23" w:rsidR="49252B56">
        <w:rPr>
          <w:sz w:val="48"/>
          <w:szCs w:val="48"/>
        </w:rPr>
        <w:t>Maslow, A. (1943) ‘A Theory of Human Motivation’, Psychological Review.</w:t>
      </w:r>
      <w:bookmarkEnd w:id="1960675417"/>
    </w:p>
    <w:p w:rsidRPr="00794077" w:rsidR="00794077" w:rsidP="00794077" w:rsidRDefault="00794077" w14:paraId="4B97DBEB" w14:textId="77777777">
      <w:pPr>
        <w:rPr>
          <w:sz w:val="48"/>
          <w:szCs w:val="48"/>
        </w:rPr>
      </w:pPr>
      <w:r w:rsidRPr="00794077">
        <w:rPr>
          <w:sz w:val="48"/>
          <w:szCs w:val="48"/>
        </w:rPr>
        <w:t>NHS England (2019) The NHS Long Term Plan.</w:t>
      </w:r>
    </w:p>
    <w:p w:rsidRPr="00794077" w:rsidR="00794077" w:rsidP="00794077" w:rsidRDefault="00794077" w14:paraId="7BAA35E3" w14:textId="7434EE08">
      <w:pPr>
        <w:rPr>
          <w:sz w:val="48"/>
          <w:szCs w:val="48"/>
        </w:rPr>
      </w:pPr>
      <w:r w:rsidRPr="4C019C23" w:rsidR="49252B56">
        <w:rPr>
          <w:sz w:val="48"/>
          <w:szCs w:val="48"/>
        </w:rPr>
        <w:t>NHS England (2022) Universal Personalised Care.</w:t>
      </w:r>
    </w:p>
    <w:p w:rsidR="00174747" w:rsidRDefault="00794077" w14:paraId="4C8A89DA" w14:textId="4BE240DF">
      <w:pPr>
        <w:rPr>
          <w:sz w:val="48"/>
          <w:szCs w:val="48"/>
        </w:rPr>
      </w:pPr>
      <w:r w:rsidRPr="00794077">
        <w:rPr>
          <w:sz w:val="48"/>
          <w:szCs w:val="48"/>
        </w:rPr>
        <w:t>SCIE (2020) Partnership Working in Health and Social Care.</w:t>
      </w:r>
    </w:p>
    <w:sectPr w:rsidR="00174747">
      <w:pgSz w:w="11906" w:h="16838" w:orient="portrait"/>
      <w:pgMar w:top="1440" w:right="1440" w:bottom="1440" w:left="1440" w:header="708" w:footer="708" w:gutter="0"/>
      <w:cols w:space="708"/>
      <w:docGrid w:linePitch="360"/>
      <w:headerReference w:type="default" r:id="Rbffc220097ef4b32"/>
      <w:footerReference w:type="default" r:id="R19f2172d5ae344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019C23" w:rsidTr="4C019C23" w14:paraId="6C0AECC7">
      <w:trPr>
        <w:trHeight w:val="300"/>
      </w:trPr>
      <w:tc>
        <w:tcPr>
          <w:tcW w:w="3005" w:type="dxa"/>
          <w:tcMar/>
        </w:tcPr>
        <w:p w:rsidR="4C019C23" w:rsidP="4C019C23" w:rsidRDefault="4C019C23" w14:paraId="00495982" w14:textId="71E3943B">
          <w:pPr>
            <w:pStyle w:val="Header"/>
            <w:bidi w:val="0"/>
            <w:ind w:left="-115"/>
            <w:jc w:val="left"/>
          </w:pPr>
        </w:p>
      </w:tc>
      <w:tc>
        <w:tcPr>
          <w:tcW w:w="3005" w:type="dxa"/>
          <w:tcMar/>
        </w:tcPr>
        <w:p w:rsidR="4C019C23" w:rsidP="4C019C23" w:rsidRDefault="4C019C23" w14:paraId="5B9E5DAA" w14:textId="151D6A60">
          <w:pPr>
            <w:pStyle w:val="Header"/>
            <w:bidi w:val="0"/>
            <w:jc w:val="center"/>
          </w:pPr>
        </w:p>
      </w:tc>
      <w:tc>
        <w:tcPr>
          <w:tcW w:w="3005" w:type="dxa"/>
          <w:tcMar/>
        </w:tcPr>
        <w:p w:rsidR="4C019C23" w:rsidP="4C019C23" w:rsidRDefault="4C019C23" w14:paraId="3D426C2D" w14:textId="74A109EF">
          <w:pPr>
            <w:pStyle w:val="Header"/>
            <w:bidi w:val="0"/>
            <w:ind w:right="-115"/>
            <w:jc w:val="right"/>
          </w:pPr>
        </w:p>
      </w:tc>
    </w:tr>
  </w:tbl>
  <w:p w:rsidR="4C019C23" w:rsidP="4C019C23" w:rsidRDefault="4C019C23" w14:paraId="3E13D248" w14:textId="096218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019C23" w:rsidTr="4C019C23" w14:paraId="12C0DEFA">
      <w:trPr>
        <w:trHeight w:val="300"/>
      </w:trPr>
      <w:tc>
        <w:tcPr>
          <w:tcW w:w="3005" w:type="dxa"/>
          <w:tcMar/>
        </w:tcPr>
        <w:p w:rsidR="4C019C23" w:rsidP="4C019C23" w:rsidRDefault="4C019C23" w14:paraId="216E09B2" w14:textId="37BF8608">
          <w:pPr>
            <w:pStyle w:val="Header"/>
            <w:bidi w:val="0"/>
            <w:ind w:left="-115"/>
            <w:jc w:val="left"/>
          </w:pPr>
        </w:p>
      </w:tc>
      <w:tc>
        <w:tcPr>
          <w:tcW w:w="3005" w:type="dxa"/>
          <w:tcMar/>
        </w:tcPr>
        <w:p w:rsidR="4C019C23" w:rsidP="4C019C23" w:rsidRDefault="4C019C23" w14:paraId="2872A545" w14:textId="30E8A64B">
          <w:pPr>
            <w:pStyle w:val="Header"/>
            <w:bidi w:val="0"/>
            <w:jc w:val="center"/>
          </w:pPr>
        </w:p>
      </w:tc>
      <w:tc>
        <w:tcPr>
          <w:tcW w:w="3005" w:type="dxa"/>
          <w:tcMar/>
        </w:tcPr>
        <w:p w:rsidR="4C019C23" w:rsidP="4C019C23" w:rsidRDefault="4C019C23" w14:paraId="5176BD31" w14:textId="7ED095AD">
          <w:pPr>
            <w:pStyle w:val="Header"/>
            <w:bidi w:val="0"/>
            <w:ind w:right="-115"/>
            <w:jc w:val="right"/>
          </w:pPr>
        </w:p>
      </w:tc>
    </w:tr>
  </w:tbl>
  <w:p w:rsidR="4C019C23" w:rsidP="4C019C23" w:rsidRDefault="4C019C23" w14:paraId="2067B613" w14:textId="23421BA8">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gLBscSmD" int2:invalidationBookmarkName="" int2:hashCode="LkW8FJXbLiNSg0" int2:id="KDgdya80">
      <int2:state int2:type="similarity" int2:value="Rejected"/>
      <int2:extLst>
        <oel:ext uri="426473B9-03D8-482F-96C9-C2C85392BACA">
          <int2:similarityCritique int2:version="1" int2:context="Maslow, A. (1943) ‘A Theory of Human Motivation’, Psychological Review.">
            <int2:source int2:sourceType="Online" int2:sourceTitle="Maslow, A.H. (1943) A Theory of Human Motivation. Psychological Review ..." int2:sourceUrl="https://www.scirp.org/reference/referencespapers?referenceid=2988793" int2:sourceSnippet="Maslow, A.H. (1943) A Theory of Human Motivation. Psychological Review, 50, 370-396.">
              <int2:suggestions int2:citationType="Inline">
                <int2:suggestion int2:citationStyle="Mla" int2:isIdentical="0">
                  <int2:citationText>(“Maslow, A.H. (1943) A Theory of Human Motivation. Psychological Review ...”)</int2:citationText>
                </int2:suggestion>
                <int2:suggestion int2:citationStyle="Apa" int2:isIdentical="0">
                  <int2:citationText>(“Maslow, A.H. (1943) A Theory of Human Motivation. Psychological Review ...”)</int2:citationText>
                </int2:suggestion>
                <int2:suggestion int2:citationStyle="Chicago" int2:isIdentical="0">
                  <int2:citationText>(“Maslow, A.H. (1943) A Theory of Human Motivation. Psychological Review ...”)</int2:citationText>
                </int2:suggestion>
              </int2:suggestions>
              <int2:suggestions int2:citationType="Full">
                <int2:suggestion int2:citationStyle="Mla" int2:isIdentical="0">
                  <int2:citationText>&lt;i&gt;Maslow, A.H. (1943) A Theory of Human Motivation. Psychological Review ...&lt;/i&gt;, https://www.scirp.org/reference/referencespapers?referenceid=2988793.</int2:citationText>
                </int2:suggestion>
                <int2:suggestion int2:citationStyle="Apa" int2:isIdentical="0">
                  <int2:citationText>&lt;i&gt;Maslow, A.H. (1943) A Theory of Human Motivation. Psychological Review ...&lt;/i&gt;. (n.d.). Retrieved from https://www.scirp.org/reference/referencespapers?referenceid=2988793</int2:citationText>
                </int2:suggestion>
                <int2:suggestion int2:citationStyle="Chicago" int2:isIdentical="0">
                  <int2:citationText>“Maslow, A.H. (1943) A Theory of Human Motivation. Psychological Review ...” n.d., https://www.scirp.org/reference/referencespapers?referenceid=2988793.</int2:citationText>
                </int2:suggestion>
              </int2:suggestions>
            </int2:source>
            <int2:source int2:sourceType="Online" int2:sourceTitle="Maslow, A.H. (1943) A Theory of Human Motivation. Psychological Review ..." int2:sourceUrl="https://www.scirp.org/reference/ReferencesPapers?ReferenceID=1592464" int2:sourceSnippet="Maslow, A.H. (1943) A Theory of Human Motivation. Psychological Review, 50, 370-396.">
              <int2:suggestions int2:citationType="Inline">
                <int2:suggestion int2:citationStyle="Mla" int2:isIdentical="0">
                  <int2:citationText>(“Maslow, A.H. (1943) A Theory of Human Motivation. Psychological Review ...”)</int2:citationText>
                </int2:suggestion>
                <int2:suggestion int2:citationStyle="Apa" int2:isIdentical="0">
                  <int2:citationText>(“Maslow, A.H. (1943) A Theory of Human Motivation. Psychological Review ...”)</int2:citationText>
                </int2:suggestion>
                <int2:suggestion int2:citationStyle="Chicago" int2:isIdentical="0">
                  <int2:citationText>(“Maslow, A.H. (1943) A Theory of Human Motivation. Psychological Review ...”)</int2:citationText>
                </int2:suggestion>
              </int2:suggestions>
              <int2:suggestions int2:citationType="Full">
                <int2:suggestion int2:citationStyle="Mla" int2:isIdentical="0">
                  <int2:citationText>&lt;i&gt;Maslow, A.H. (1943) A Theory of Human Motivation. Psychological Review ...&lt;/i&gt;, https://www.scirp.org/reference/ReferencesPapers?ReferenceID=1592464.</int2:citationText>
                </int2:suggestion>
                <int2:suggestion int2:citationStyle="Apa" int2:isIdentical="0">
                  <int2:citationText>&lt;i&gt;Maslow, A.H. (1943) A Theory of Human Motivation. Psychological Review ...&lt;/i&gt;. (n.d.). Retrieved from https://www.scirp.org/reference/ReferencesPapers?ReferenceID=1592464</int2:citationText>
                </int2:suggestion>
                <int2:suggestion int2:citationStyle="Chicago" int2:isIdentical="0">
                  <int2:citationText>“Maslow, A.H. (1943) A Theory of Human Motivation. Psychological Review ...” n.d., https://www.scirp.org/reference/ReferencesPapers?ReferenceID=1592464.</int2:citationText>
                </int2:suggestion>
              </int2:suggestions>
            </int2:source>
          </int2:similarityCritique>
        </oel:ext>
      </int2:extLst>
    </int2:bookmark>
    <int2:bookmark int2:bookmarkName="_Int_SRDi30gi" int2:invalidationBookmarkName="" int2:hashCode="ySxSngcxxX79dV" int2:id="m8Lab6Pm">
      <int2:state int2:type="style" int2:value="Rejected"/>
    </int2:bookmark>
    <int2:entireDocument int2:id="LjE3bErK">
      <int2:extLst>
        <oel:ext uri="E302BA01-7950-474C-9AD3-286E660C40A8">
          <int2:similaritySummary int2:version="1" int2:runId="1763223561467" int2:tilesCheckedInThisRun="0" int2:totalNumOfTiles="61" int2:similarityAnnotationCount="1" int2:numWords="1994"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4C2655D-76B1CF44 19CD477B-0EE8DA4B 44A3A903-0EC61B93 56F0A8DA-02AA9D3A 1CB501FF-2A48BE8A 5E3885B1-6E6CE119 379331B0-4256575A 35A24DBF-5D9F90EE 75151C50-0F73A34A 44AE7EDF-77777777 7546103E-77777777 7E49CC2A-77777777 702A5074-77777777 225D733F-77777777 761AEA29-77777777 01962288-77777777 77B763A4-2225E5F9 5176792C-77777777 0AACA3B0-77777777 1C104505-77777777 37349F7E-77777777 78D773F8-0B11FBFD 7C88F111-77777777 2C9522AC-77777777 705FDFF2-77777777 291F4159-7FA9A7EC 2F1AC588-77777777 3118AFD9-30FB3656 1B1EEF93-77777777 0CD9A8C8-69F6DA78 152CB3FC-77777777 6F018E48-77777777 29BC41CA-77777777 3634AFEF-77777777 1E4E3D97-77777777 3A9D948F-77777777 4A590F76-77777777 55B2EFB7-77777777 4CA3351E-77777777 2C39A07C-445316A2 39CE6DB2-77777777 3F53056E-5C2F1BE7 6F04168A-77777777 0AE19436-77777777 0AFF9AA3-77777777 0ADC097A-03123950 366451E1-77777777 41A6064C-26FDA6A5 194C581F-77777777 20DD4DD1-333DDC36 64FF1960-77777777 297D5889-77777777 48BA3F62-77777777 2C1E749C-77777777 276C4EA1-77777777 011134AF-3A24F91C 0C1EC7EA-77777777 13E8012D-6A86E591 4681DDEC-77777777 7F2B7C43-77777777 424B108C-77777777 54C6AE97-77777777 6524A7A0-77777777 4A3F9DFC-12227FEB 059CA5DE-77777777 6593D68A-77777777 739A625E-77777777 04BCA21E-012D8B3A 53A41703-77777777 5913BE2E-77777777 6573E0B9-77777777 2980F645-4EBD83DA 53747F78-77777777 374B0698-5CC72602 5448D38D-77777777 08E8BC5D-77777777 638F0417-77777777 1A26DD16-42DDCA0C 5FFC5847-77777777 6ED3857A-77777777 43B48E35-60A938F9 00C06EE2-77777777 716A8F98-77777777 20139C9A-77777777 2B6B91D8-77777777 58C6D366-77777777 5EA8D847-3907EA40 0E7E0F09-77777777 15138DAF-25035614 2A2F3C01-77777777 711DCC80-04D308D2 1F3B380C-77777777 3DE1ED44-77777777 1F58196E-77777777 11D44EA1-77777777 18D93CC6-77777777 60FD39F1-77777777 6DA4AD5D-77777777 619BA851-77777777 2B951C0B-77777777 4812A207-62ED1807 0DDEB393-77777777 339BB764-77777777 77D73883-7C9E2FE4 169FFAD8-77777777 1266F0AF-05352154 122C369B-77777777 4537814B-2D774DA3 7D6801CB-77777777 11986503-77777777 1E67CD14-77777777 0F333975-77777777 3B2FF207-77777777 3964DD0C-77777777 6D80DB6A-77777777 036E6B58-77777777 3E18CFC8-77777777 58E80A11-77777777 58D702EB-77777777 4B97DBEB-77777777 7BAA35E3-7434EE08 4C8A89DA-4BE240D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747"/>
    <w:rsid w:val="00137BC4"/>
    <w:rsid w:val="00174747"/>
    <w:rsid w:val="00253898"/>
    <w:rsid w:val="00352CEF"/>
    <w:rsid w:val="0041786A"/>
    <w:rsid w:val="0043679D"/>
    <w:rsid w:val="005933D0"/>
    <w:rsid w:val="006E3796"/>
    <w:rsid w:val="00794077"/>
    <w:rsid w:val="00873CB7"/>
    <w:rsid w:val="00A02DFC"/>
    <w:rsid w:val="00AE3DA7"/>
    <w:rsid w:val="00D65616"/>
    <w:rsid w:val="034D221A"/>
    <w:rsid w:val="04441A0E"/>
    <w:rsid w:val="0A02C00B"/>
    <w:rsid w:val="0B569F3E"/>
    <w:rsid w:val="0EE9B49C"/>
    <w:rsid w:val="0FD1C03C"/>
    <w:rsid w:val="11347BCD"/>
    <w:rsid w:val="113B0ADE"/>
    <w:rsid w:val="12980C13"/>
    <w:rsid w:val="13B5FD69"/>
    <w:rsid w:val="14A4BF26"/>
    <w:rsid w:val="157AD05A"/>
    <w:rsid w:val="16888AF7"/>
    <w:rsid w:val="16C13E80"/>
    <w:rsid w:val="17C852AA"/>
    <w:rsid w:val="17D969AE"/>
    <w:rsid w:val="198D1DA9"/>
    <w:rsid w:val="1A0FF42B"/>
    <w:rsid w:val="1AB24BEC"/>
    <w:rsid w:val="1D36EB53"/>
    <w:rsid w:val="1DDD0843"/>
    <w:rsid w:val="1E0EAACC"/>
    <w:rsid w:val="2723E4DC"/>
    <w:rsid w:val="27F8D18E"/>
    <w:rsid w:val="2C60D6FD"/>
    <w:rsid w:val="2F80E286"/>
    <w:rsid w:val="34D48E09"/>
    <w:rsid w:val="35C943F8"/>
    <w:rsid w:val="36CC5F9E"/>
    <w:rsid w:val="394AD124"/>
    <w:rsid w:val="3A14E75C"/>
    <w:rsid w:val="3CACA283"/>
    <w:rsid w:val="3D644E05"/>
    <w:rsid w:val="3DFDC021"/>
    <w:rsid w:val="42CD3A94"/>
    <w:rsid w:val="45B78B4D"/>
    <w:rsid w:val="46D5D4E6"/>
    <w:rsid w:val="4920D5D1"/>
    <w:rsid w:val="49252B56"/>
    <w:rsid w:val="4C019C23"/>
    <w:rsid w:val="4C3B6B9A"/>
    <w:rsid w:val="4EE94332"/>
    <w:rsid w:val="5209EFAF"/>
    <w:rsid w:val="54147086"/>
    <w:rsid w:val="57E506A1"/>
    <w:rsid w:val="5A56CB4B"/>
    <w:rsid w:val="5CA77160"/>
    <w:rsid w:val="5CD002BC"/>
    <w:rsid w:val="5EBFD660"/>
    <w:rsid w:val="5ECA6B94"/>
    <w:rsid w:val="605BA9D8"/>
    <w:rsid w:val="64F2B9B0"/>
    <w:rsid w:val="679F2ABD"/>
    <w:rsid w:val="6884EB6B"/>
    <w:rsid w:val="6A717E8B"/>
    <w:rsid w:val="6B35594B"/>
    <w:rsid w:val="6E9457B3"/>
    <w:rsid w:val="713EC500"/>
    <w:rsid w:val="715137E5"/>
    <w:rsid w:val="7209AA92"/>
    <w:rsid w:val="7658A3CF"/>
    <w:rsid w:val="77B5FF39"/>
    <w:rsid w:val="77EE9F3B"/>
    <w:rsid w:val="79C8D922"/>
    <w:rsid w:val="7B665578"/>
    <w:rsid w:val="7D0F65B8"/>
    <w:rsid w:val="7E2565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D3F95A"/>
  <w15:chartTrackingRefBased/>
  <w15:docId w15:val="{25727DF8-AEB8-43C3-AE85-D54D0367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474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474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74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7474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7474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7474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7474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7474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7474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7474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7474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74747"/>
    <w:rPr>
      <w:rFonts w:eastAsiaTheme="majorEastAsia" w:cstheme="majorBidi"/>
      <w:color w:val="272727" w:themeColor="text1" w:themeTint="D8"/>
    </w:rPr>
  </w:style>
  <w:style w:type="paragraph" w:styleId="Title">
    <w:name w:val="Title"/>
    <w:basedOn w:val="Normal"/>
    <w:next w:val="Normal"/>
    <w:link w:val="TitleChar"/>
    <w:uiPriority w:val="10"/>
    <w:qFormat/>
    <w:rsid w:val="0017474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7474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7474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74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747"/>
    <w:pPr>
      <w:spacing w:before="160"/>
      <w:jc w:val="center"/>
    </w:pPr>
    <w:rPr>
      <w:i/>
      <w:iCs/>
      <w:color w:val="404040" w:themeColor="text1" w:themeTint="BF"/>
    </w:rPr>
  </w:style>
  <w:style w:type="character" w:styleId="QuoteChar" w:customStyle="1">
    <w:name w:val="Quote Char"/>
    <w:basedOn w:val="DefaultParagraphFont"/>
    <w:link w:val="Quote"/>
    <w:uiPriority w:val="29"/>
    <w:rsid w:val="00174747"/>
    <w:rPr>
      <w:i/>
      <w:iCs/>
      <w:color w:val="404040" w:themeColor="text1" w:themeTint="BF"/>
    </w:rPr>
  </w:style>
  <w:style w:type="paragraph" w:styleId="ListParagraph">
    <w:name w:val="List Paragraph"/>
    <w:basedOn w:val="Normal"/>
    <w:uiPriority w:val="34"/>
    <w:qFormat/>
    <w:rsid w:val="00174747"/>
    <w:pPr>
      <w:ind w:left="720"/>
      <w:contextualSpacing/>
    </w:pPr>
  </w:style>
  <w:style w:type="character" w:styleId="IntenseEmphasis">
    <w:name w:val="Intense Emphasis"/>
    <w:basedOn w:val="DefaultParagraphFont"/>
    <w:uiPriority w:val="21"/>
    <w:qFormat/>
    <w:rsid w:val="00174747"/>
    <w:rPr>
      <w:i/>
      <w:iCs/>
      <w:color w:val="0F4761" w:themeColor="accent1" w:themeShade="BF"/>
    </w:rPr>
  </w:style>
  <w:style w:type="paragraph" w:styleId="IntenseQuote">
    <w:name w:val="Intense Quote"/>
    <w:basedOn w:val="Normal"/>
    <w:next w:val="Normal"/>
    <w:link w:val="IntenseQuoteChar"/>
    <w:uiPriority w:val="30"/>
    <w:qFormat/>
    <w:rsid w:val="0017474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74747"/>
    <w:rPr>
      <w:i/>
      <w:iCs/>
      <w:color w:val="0F4761" w:themeColor="accent1" w:themeShade="BF"/>
    </w:rPr>
  </w:style>
  <w:style w:type="character" w:styleId="IntenseReference">
    <w:name w:val="Intense Reference"/>
    <w:basedOn w:val="DefaultParagraphFont"/>
    <w:uiPriority w:val="32"/>
    <w:qFormat/>
    <w:rsid w:val="00174747"/>
    <w:rPr>
      <w:b/>
      <w:bCs/>
      <w:smallCaps/>
      <w:color w:val="0F4761" w:themeColor="accent1" w:themeShade="BF"/>
      <w:spacing w:val="5"/>
    </w:rPr>
  </w:style>
  <w:style w:type="paragraph" w:styleId="Header">
    <w:uiPriority w:val="99"/>
    <w:name w:val="header"/>
    <w:basedOn w:val="Normal"/>
    <w:unhideWhenUsed/>
    <w:rsid w:val="4C019C23"/>
    <w:pPr>
      <w:tabs>
        <w:tab w:val="center" w:leader="none" w:pos="4680"/>
        <w:tab w:val="right" w:leader="none" w:pos="9360"/>
      </w:tabs>
      <w:spacing w:after="0" w:line="240" w:lineRule="auto"/>
    </w:pPr>
  </w:style>
  <w:style w:type="paragraph" w:styleId="Footer">
    <w:uiPriority w:val="99"/>
    <w:name w:val="footer"/>
    <w:basedOn w:val="Normal"/>
    <w:unhideWhenUsed/>
    <w:rsid w:val="4C019C2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ffc220097ef4b32" /><Relationship Type="http://schemas.openxmlformats.org/officeDocument/2006/relationships/footer" Target="footer.xml" Id="R19f2172d5ae344cf" /><Relationship Type="http://schemas.microsoft.com/office/2020/10/relationships/intelligence" Target="intelligence2.xml" Id="R87aa50986bd34e2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Anita Bano (2406936)</dc:creator>
  <keywords/>
  <dc:description/>
  <lastModifiedBy>Anita Bano (2406936)</lastModifiedBy>
  <revision>4</revision>
  <dcterms:created xsi:type="dcterms:W3CDTF">2025-11-15T14:48:00.0000000Z</dcterms:created>
  <dcterms:modified xsi:type="dcterms:W3CDTF">2025-11-15T16:20:02.1441024Z</dcterms:modified>
</coreProperties>
</file>