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2349583"/>
        <w:docPartObj>
          <w:docPartGallery w:val="Cover Pages"/>
          <w:docPartUnique/>
        </w:docPartObj>
      </w:sdtPr>
      <w:sdtEndPr/>
      <w:sdtContent>
        <w:p w14:paraId="27E75309" w14:textId="1BF03CA8" w:rsidR="007972A6" w:rsidRDefault="007972A6">
          <w:r>
            <w:rPr>
              <w:noProof/>
            </w:rPr>
            <mc:AlternateContent>
              <mc:Choice Requires="wpg">
                <w:drawing>
                  <wp:anchor distT="0" distB="0" distL="114300" distR="114300" simplePos="0" relativeHeight="251660288" behindDoc="0" locked="0" layoutInCell="1" allowOverlap="1" wp14:anchorId="5226DA01" wp14:editId="42FE4F0C">
                    <wp:simplePos x="0" y="0"/>
                    <wp:positionH relativeFrom="page">
                      <wp:align>left</wp:align>
                    </wp:positionH>
                    <wp:positionV relativeFrom="page">
                      <wp:align>top</wp:align>
                    </wp:positionV>
                    <wp:extent cx="5615939" cy="8983980"/>
                    <wp:effectExtent l="0" t="0" r="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5615939" cy="8983980"/>
                              <a:chOff x="0" y="0"/>
                              <a:chExt cx="5101247"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660778" y="482142"/>
                                <a:ext cx="4440469" cy="2212569"/>
                              </a:xfrm>
                              <a:prstGeom prst="rect">
                                <a:avLst/>
                              </a:prstGeom>
                              <a:noFill/>
                              <a:ln w="6350">
                                <a:noFill/>
                              </a:ln>
                            </wps:spPr>
                            <wps:txbx>
                              <w:txbxContent>
                                <w:sdt>
                                  <w:sdtPr>
                                    <w:rPr>
                                      <w:rFonts w:asciiTheme="majorHAnsi" w:hAnsiTheme="majorHAnsi"/>
                                      <w:color w:val="000000" w:themeColor="text1"/>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31B1E37" w14:textId="4F5F89BC" w:rsidR="007972A6" w:rsidRPr="007972A6" w:rsidRDefault="007972A6">
                                      <w:pPr>
                                        <w:pStyle w:val="NoSpacing"/>
                                        <w:spacing w:after="240" w:line="216" w:lineRule="auto"/>
                                        <w:rPr>
                                          <w:rFonts w:asciiTheme="majorHAnsi" w:hAnsiTheme="majorHAnsi"/>
                                          <w:color w:val="000000" w:themeColor="text1"/>
                                          <w:spacing w:val="10"/>
                                          <w:sz w:val="36"/>
                                          <w:szCs w:val="36"/>
                                        </w:rPr>
                                      </w:pPr>
                                      <w:r w:rsidRPr="007972A6">
                                        <w:rPr>
                                          <w:rFonts w:asciiTheme="majorHAnsi" w:hAnsiTheme="majorHAnsi"/>
                                          <w:color w:val="000000" w:themeColor="text1"/>
                                          <w:spacing w:val="10"/>
                                          <w:sz w:val="36"/>
                                          <w:szCs w:val="36"/>
                                        </w:rPr>
                                        <w:t>Criminal Law – BMPL4009</w:t>
                                      </w:r>
                                    </w:p>
                                  </w:sdtContent>
                                </w:sdt>
                                <w:sdt>
                                  <w:sdtPr>
                                    <w:rPr>
                                      <w:rFonts w:asciiTheme="majorHAnsi" w:hAnsiTheme="majorHAnsi"/>
                                      <w:caps/>
                                      <w:color w:val="000000" w:themeColor="text1"/>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262EB3E" w14:textId="0DF0491E" w:rsidR="007972A6" w:rsidRPr="007972A6" w:rsidRDefault="007972A6">
                                      <w:pPr>
                                        <w:pStyle w:val="NoSpacing"/>
                                        <w:spacing w:line="216" w:lineRule="auto"/>
                                        <w:rPr>
                                          <w:rFonts w:asciiTheme="majorHAnsi" w:hAnsiTheme="majorHAnsi"/>
                                          <w:caps/>
                                          <w:color w:val="000000" w:themeColor="text1"/>
                                          <w:sz w:val="72"/>
                                          <w:szCs w:val="72"/>
                                        </w:rPr>
                                      </w:pPr>
                                      <w:r w:rsidRPr="007972A6">
                                        <w:rPr>
                                          <w:rFonts w:asciiTheme="majorHAnsi" w:hAnsiTheme="majorHAnsi"/>
                                          <w:caps/>
                                          <w:color w:val="000000" w:themeColor="text1"/>
                                          <w:sz w:val="72"/>
                                          <w:szCs w:val="72"/>
                                        </w:rPr>
                                        <w:t>What changes did the Coroners and Justice Act 2009 make to the defence of diminished responsibility? Did these amendments change the law for the better?</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26DA01" id="Group 459" o:spid="_x0000_s1026" alt="Title: Title and subtitle with crop mark graphic" style="position:absolute;margin-left:0;margin-top:0;width:442.2pt;height:707.4pt;z-index:251660288;mso-position-horizontal:left;mso-position-horizontal-relative:page;mso-position-vertical:top;mso-position-vertical-relative:page;mso-width-relative:margin;mso-height-relative:margin" coordsize="51012,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black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6607;top:4821;width:44405;height:22126;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00000" w:themeColor="text1"/>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31B1E37" w14:textId="4F5F89BC" w:rsidR="007972A6" w:rsidRPr="007972A6" w:rsidRDefault="007972A6">
                                <w:pPr>
                                  <w:pStyle w:val="NoSpacing"/>
                                  <w:spacing w:after="240" w:line="216" w:lineRule="auto"/>
                                  <w:rPr>
                                    <w:rFonts w:asciiTheme="majorHAnsi" w:hAnsiTheme="majorHAnsi"/>
                                    <w:color w:val="000000" w:themeColor="text1"/>
                                    <w:spacing w:val="10"/>
                                    <w:sz w:val="36"/>
                                    <w:szCs w:val="36"/>
                                  </w:rPr>
                                </w:pPr>
                                <w:r w:rsidRPr="007972A6">
                                  <w:rPr>
                                    <w:rFonts w:asciiTheme="majorHAnsi" w:hAnsiTheme="majorHAnsi"/>
                                    <w:color w:val="000000" w:themeColor="text1"/>
                                    <w:spacing w:val="10"/>
                                    <w:sz w:val="36"/>
                                    <w:szCs w:val="36"/>
                                  </w:rPr>
                                  <w:t>Criminal Law – BMPL4009</w:t>
                                </w:r>
                              </w:p>
                            </w:sdtContent>
                          </w:sdt>
                          <w:bookmarkStart w:id="1" w:name="_GoBack" w:displacedByCustomXml="next"/>
                          <w:sdt>
                            <w:sdtPr>
                              <w:rPr>
                                <w:rFonts w:asciiTheme="majorHAnsi" w:hAnsiTheme="majorHAnsi"/>
                                <w:caps/>
                                <w:color w:val="000000" w:themeColor="text1"/>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262EB3E" w14:textId="0DF0491E" w:rsidR="007972A6" w:rsidRPr="007972A6" w:rsidRDefault="007972A6">
                                <w:pPr>
                                  <w:pStyle w:val="NoSpacing"/>
                                  <w:spacing w:line="216" w:lineRule="auto"/>
                                  <w:rPr>
                                    <w:rFonts w:asciiTheme="majorHAnsi" w:hAnsiTheme="majorHAnsi"/>
                                    <w:caps/>
                                    <w:color w:val="000000" w:themeColor="text1"/>
                                    <w:sz w:val="72"/>
                                    <w:szCs w:val="72"/>
                                  </w:rPr>
                                </w:pPr>
                                <w:r w:rsidRPr="007972A6">
                                  <w:rPr>
                                    <w:rFonts w:asciiTheme="majorHAnsi" w:hAnsiTheme="majorHAnsi"/>
                                    <w:caps/>
                                    <w:color w:val="000000" w:themeColor="text1"/>
                                    <w:sz w:val="72"/>
                                    <w:szCs w:val="72"/>
                                  </w:rPr>
                                  <w:t>What changes did the Coroners and Justice Act 2009 make to the defence of diminished responsibility? Did these amendments change the law for the better?</w:t>
                                </w:r>
                              </w:p>
                            </w:sdtContent>
                          </w:sdt>
                          <w:bookmarkEnd w:id="1" w:displacedByCustomXml="prev"/>
                        </w:txbxContent>
                      </v:textbox>
                    </v:shape>
                    <w10:wrap anchorx="page" anchory="page"/>
                  </v:group>
                </w:pict>
              </mc:Fallback>
            </mc:AlternateContent>
          </w:r>
          <w:r w:rsidRPr="007972A6">
            <w:rPr>
              <w:noProof/>
              <w:color w:val="000000" w:themeColor="text1"/>
            </w:rPr>
            <mc:AlternateContent>
              <mc:Choice Requires="wpg">
                <w:drawing>
                  <wp:anchor distT="0" distB="0" distL="114300" distR="114300" simplePos="0" relativeHeight="251661312" behindDoc="0" locked="0" layoutInCell="1" allowOverlap="1" wp14:anchorId="70694BDF" wp14:editId="71C3392B">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00000" w:themeColor="text1"/>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C02822B" w14:textId="04D7FD0D" w:rsidR="007972A6" w:rsidRDefault="007972A6">
                                      <w:pPr>
                                        <w:pStyle w:val="NoSpacing"/>
                                        <w:spacing w:after="240"/>
                                        <w:jc w:val="right"/>
                                        <w:rPr>
                                          <w:color w:val="000000" w:themeColor="text2"/>
                                          <w:spacing w:val="10"/>
                                          <w:sz w:val="36"/>
                                          <w:szCs w:val="36"/>
                                        </w:rPr>
                                      </w:pPr>
                                      <w:r w:rsidRPr="007972A6">
                                        <w:rPr>
                                          <w:color w:val="000000" w:themeColor="text1"/>
                                          <w:spacing w:val="10"/>
                                          <w:sz w:val="36"/>
                                          <w:szCs w:val="36"/>
                                        </w:rPr>
                                        <w:t>Arianna Bennett (2200719)</w:t>
                                      </w:r>
                                    </w:p>
                                  </w:sdtContent>
                                </w:sdt>
                                <w:p w14:paraId="47487E1E" w14:textId="4F651578" w:rsidR="007972A6" w:rsidRDefault="00F22274">
                                  <w:pPr>
                                    <w:pStyle w:val="NoSpacing"/>
                                    <w:jc w:val="right"/>
                                    <w:rPr>
                                      <w:color w:val="000000" w:themeColor="text2"/>
                                      <w:spacing w:val="10"/>
                                      <w:sz w:val="28"/>
                                      <w:szCs w:val="28"/>
                                    </w:rPr>
                                  </w:pPr>
                                  <w:sdt>
                                    <w:sdtPr>
                                      <w:rPr>
                                        <w:color w:val="000000" w:themeColor="text1"/>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7972A6" w:rsidRPr="007972A6">
                                        <w:rPr>
                                          <w:color w:val="000000" w:themeColor="text1"/>
                                          <w:spacing w:val="10"/>
                                          <w:sz w:val="28"/>
                                          <w:szCs w:val="28"/>
                                        </w:rPr>
                                        <w:t>University of Wales Trinity St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694BDF"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black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00000" w:themeColor="text1"/>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C02822B" w14:textId="04D7FD0D" w:rsidR="007972A6" w:rsidRDefault="007972A6">
                                <w:pPr>
                                  <w:pStyle w:val="NoSpacing"/>
                                  <w:spacing w:after="240"/>
                                  <w:jc w:val="right"/>
                                  <w:rPr>
                                    <w:color w:val="000000" w:themeColor="text2"/>
                                    <w:spacing w:val="10"/>
                                    <w:sz w:val="36"/>
                                    <w:szCs w:val="36"/>
                                  </w:rPr>
                                </w:pPr>
                                <w:r w:rsidRPr="007972A6">
                                  <w:rPr>
                                    <w:color w:val="000000" w:themeColor="text1"/>
                                    <w:spacing w:val="10"/>
                                    <w:sz w:val="36"/>
                                    <w:szCs w:val="36"/>
                                  </w:rPr>
                                  <w:t>Arianna Bennett (2200719)</w:t>
                                </w:r>
                              </w:p>
                            </w:sdtContent>
                          </w:sdt>
                          <w:p w14:paraId="47487E1E" w14:textId="4F651578" w:rsidR="007972A6" w:rsidRDefault="007972A6">
                            <w:pPr>
                              <w:pStyle w:val="NoSpacing"/>
                              <w:jc w:val="right"/>
                              <w:rPr>
                                <w:color w:val="000000" w:themeColor="text2"/>
                                <w:spacing w:val="10"/>
                                <w:sz w:val="28"/>
                                <w:szCs w:val="28"/>
                              </w:rPr>
                            </w:pPr>
                            <w:sdt>
                              <w:sdtPr>
                                <w:rPr>
                                  <w:color w:val="000000" w:themeColor="text1"/>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7972A6">
                                  <w:rPr>
                                    <w:color w:val="000000" w:themeColor="text1"/>
                                    <w:spacing w:val="10"/>
                                    <w:sz w:val="28"/>
                                    <w:szCs w:val="28"/>
                                  </w:rPr>
                                  <w:t>University of Wales Trinity St David</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282E397" wp14:editId="6261DF2F">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B90B6E8"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f8f8f8 [3214]" stroked="f">
                    <w10:wrap anchorx="page" anchory="page"/>
                  </v:rect>
                </w:pict>
              </mc:Fallback>
            </mc:AlternateContent>
          </w:r>
        </w:p>
        <w:p w14:paraId="4E0BF6A9" w14:textId="25FEA1FF" w:rsidR="007972A6" w:rsidRDefault="007972A6">
          <w:r>
            <w:br w:type="page"/>
          </w:r>
        </w:p>
      </w:sdtContent>
    </w:sdt>
    <w:p w14:paraId="24A1466F" w14:textId="1B88C791" w:rsidR="00330C2F" w:rsidRDefault="00AC2C68">
      <w:r>
        <w:lastRenderedPageBreak/>
        <w:t>Diminished responsibility is a defence that can only be used in the case of murder</w:t>
      </w:r>
      <w:r w:rsidR="00330C2F">
        <w:t xml:space="preserve">. </w:t>
      </w:r>
      <w:r w:rsidR="00BD6D81">
        <w:t xml:space="preserve">Herring (2022) explains that the </w:t>
      </w:r>
      <w:r w:rsidR="00330C2F">
        <w:t>defendant will argue that they should not be deemed criminally liable, as their mental functions were seriously impaired</w:t>
      </w:r>
      <w:r w:rsidR="007972A6">
        <w:t xml:space="preserve"> by a recognised medical condition</w:t>
      </w:r>
      <w:r w:rsidR="00330C2F">
        <w:t>.</w:t>
      </w:r>
      <w:r>
        <w:t xml:space="preserve"> </w:t>
      </w:r>
      <w:r w:rsidR="007972A6">
        <w:t xml:space="preserve">It’s important to note that this defence is only partial, therefore still results in a charge. </w:t>
      </w:r>
      <w:r w:rsidR="00BD6D81">
        <w:t xml:space="preserve">Loughnan (2012) notes that, if successful, the defence of diminished responsibility changes the charge from murder to manslaughter. </w:t>
      </w:r>
      <w:r>
        <w:t xml:space="preserve">This defence was originally outlined in </w:t>
      </w:r>
      <w:r w:rsidR="00826B25">
        <w:t xml:space="preserve">Section 2 of </w:t>
      </w:r>
      <w:r>
        <w:t>the Homicide Act [1957] and was eventually amended by</w:t>
      </w:r>
      <w:r w:rsidR="00826B25">
        <w:t xml:space="preserve"> Section </w:t>
      </w:r>
      <w:r w:rsidR="00BD6D81">
        <w:t>52</w:t>
      </w:r>
      <w:r w:rsidR="00826B25">
        <w:t xml:space="preserve"> of</w:t>
      </w:r>
      <w:r>
        <w:t xml:space="preserve"> the Coroners and Justice Act</w:t>
      </w:r>
      <w:r w:rsidR="00BD6D81">
        <w:t xml:space="preserve"> (CJA)</w:t>
      </w:r>
      <w:r>
        <w:t xml:space="preserve"> [2009]. The Homicide Act </w:t>
      </w:r>
      <w:r w:rsidR="007972A6">
        <w:t xml:space="preserve">[1957] </w:t>
      </w:r>
      <w:r>
        <w:t>defined the requirements for diminished responsibility using broad terminology, making it easier for defendants to prove</w:t>
      </w:r>
      <w:r w:rsidR="00075F68">
        <w:t xml:space="preserve"> </w:t>
      </w:r>
      <w:sdt>
        <w:sdtPr>
          <w:id w:val="223420558"/>
          <w:citation/>
        </w:sdtPr>
        <w:sdtEndPr/>
        <w:sdtContent>
          <w:r w:rsidR="00075F68">
            <w:fldChar w:fldCharType="begin"/>
          </w:r>
          <w:r w:rsidR="00075F68">
            <w:instrText xml:space="preserve">CITATION UKG09 \l 2057 </w:instrText>
          </w:r>
          <w:r w:rsidR="00075F68">
            <w:fldChar w:fldCharType="separate"/>
          </w:r>
          <w:r w:rsidR="00075F68" w:rsidRPr="00075F68">
            <w:rPr>
              <w:noProof/>
            </w:rPr>
            <w:t>(UK Government, 2023)</w:t>
          </w:r>
          <w:r w:rsidR="00075F68">
            <w:fldChar w:fldCharType="end"/>
          </w:r>
        </w:sdtContent>
      </w:sdt>
      <w:r w:rsidR="007972A6">
        <w:t xml:space="preserve">. </w:t>
      </w:r>
      <w:r>
        <w:t>This act require</w:t>
      </w:r>
      <w:r w:rsidR="007972A6">
        <w:t>d</w:t>
      </w:r>
      <w:r>
        <w:t xml:space="preserve"> the defendant to be suffering from an “abnormality of the mind”</w:t>
      </w:r>
      <w:r w:rsidR="00330C2F">
        <w:t xml:space="preserve">, which acts similarly to an umbrella term used to describe anything that affects someone’s mental ability to function “correctly”, regardless of the seriousness of the condition. </w:t>
      </w:r>
      <w:r w:rsidR="007972A6">
        <w:t>According to Kennefick (2011)</w:t>
      </w:r>
      <w:r w:rsidR="00067628">
        <w:t xml:space="preserve"> the defence of diminished responsibility is very often scrutinised, especially whilst it was defined by the Homicide Act</w:t>
      </w:r>
      <w:r w:rsidR="007972A6">
        <w:t xml:space="preserve"> [1957]</w:t>
      </w:r>
      <w:r w:rsidR="00067628">
        <w:t xml:space="preserve">, therefore the terminology </w:t>
      </w:r>
      <w:r w:rsidR="007972A6">
        <w:t>changes</w:t>
      </w:r>
      <w:r w:rsidR="00067628">
        <w:t xml:space="preserve"> under the Coroners and Justice Act</w:t>
      </w:r>
      <w:r w:rsidR="007972A6">
        <w:t xml:space="preserve"> [2009]</w:t>
      </w:r>
      <w:r w:rsidR="00067628">
        <w:t xml:space="preserve"> was necessary to</w:t>
      </w:r>
      <w:r w:rsidR="007972A6">
        <w:t xml:space="preserve"> protect the criminal justice system from further criticism, and to ensure fairness to those seeking to attempt to use the defence of diminished responsibility. </w:t>
      </w:r>
      <w:r w:rsidR="00067628">
        <w:t>Th</w:t>
      </w:r>
      <w:r w:rsidR="00826B25">
        <w:t>is</w:t>
      </w:r>
      <w:r w:rsidR="00BD6D81">
        <w:t xml:space="preserve"> essay</w:t>
      </w:r>
      <w:r w:rsidR="00826B25">
        <w:t xml:space="preserve"> </w:t>
      </w:r>
      <w:r w:rsidR="00067628">
        <w:t xml:space="preserve">will be exploring how the Coroners and Justice Act changed the law, and examining </w:t>
      </w:r>
      <w:r w:rsidR="00C860CE">
        <w:t>exactly how beneficial this was.</w:t>
      </w:r>
    </w:p>
    <w:p w14:paraId="720151D2" w14:textId="37ACCA98" w:rsidR="007972A6" w:rsidRDefault="007972A6"/>
    <w:p w14:paraId="4A8E4876" w14:textId="2A4AA000" w:rsidR="00BD6D81" w:rsidRDefault="007972A6">
      <w:r>
        <w:t xml:space="preserve">As a result of the CJA [2009], there were 4 key changes to the legislation, mostly surrounding the terminology and wording of the definition and requirements. The first change was that the definition of diminished responsibility is now primarily under the CJA [2009], rather than the Homicide Act [1957]. Regarding the terminology, the first change was made to the phrase “abnormality of mind”. This phrase was largely criticised as it was too broad of a term. The term was changed to “abnormality of mental functioning”. This is noted by Hodgkinson and Prins (2011) in their review of the law reform. Moving on, the phrase “arrested/retarded development” was changed to state that the abnormality of mental functioning was caused by a “recognised medical condition”. Nathan and Medland (2016) explain in their article that as a result of the changes in legislation, expert medical witnesses, such as psychiatrists or Dr’s must make themselves aware of the requirements in the definition of diminished responsibility. This change in terminology means that it’s easier for expert medical witnesses to diminish between people who are truly suffering from a medical condition, and those who are attempting to exploit the system. The last change we see was that the term “substantial impairment” was changed to “substantially impaired to understand the nature of their conduct”. This allows judges to use their knowledge of the case and legislation in order to understand the mental state of the defendant at the time of the incident. These changes have significantly improved the legislation and judgements surrounding diminished responsibility, as the wording is clearer therefore can be interpreted literally by judges. </w:t>
      </w:r>
    </w:p>
    <w:p w14:paraId="51F365CA" w14:textId="77777777" w:rsidR="007972A6" w:rsidRDefault="007972A6"/>
    <w:p w14:paraId="44BC61FD" w14:textId="037725B1" w:rsidR="00BD6D81" w:rsidRDefault="00BD6D81" w:rsidP="00BD6D81">
      <w:r>
        <w:t>Before the CJA</w:t>
      </w:r>
      <w:r w:rsidR="007972A6">
        <w:t xml:space="preserve"> [2009]</w:t>
      </w:r>
      <w:r>
        <w:t xml:space="preserve"> was approved by parliament, there were multiple reform proposals put forward, but none were deemed suitable. We see that Mackay (2010) claims that the main way that the CJA </w:t>
      </w:r>
      <w:r w:rsidR="007972A6">
        <w:t xml:space="preserve">[2009] </w:t>
      </w:r>
      <w:r>
        <w:t>changed the law was through simplifying the wording of the definition for diminished responsibility. This benefits the criminal law system, as it reduces the opportunities for criticism from law reviews. It</w:t>
      </w:r>
      <w:r w:rsidR="007972A6">
        <w:t xml:space="preserve"> is</w:t>
      </w:r>
      <w:r>
        <w:t xml:space="preserve"> notable that although the replacement term “abnormality of mental functioning” seems a lot wider than the original, it ensures that all the relevant context is examined and considered. This then, in turn, makes the </w:t>
      </w:r>
      <w:r>
        <w:lastRenderedPageBreak/>
        <w:t>defence harder for individuals to be able to prove. However, the Ministry of Justice (2010) argued that these new terms do not explain to what extent that the defendant must be impaired. The definition notes that the defendant must be “substantially impaired”, but it is obvious that the meaning of the word ‘substantial’ may vary from person to person. This opens the door for exploitation of the defence, as individuals may try to claim they were impaired by a pre-existing condition. Therefore, we see the important of the Judge considering context and establishing whether the individual was affected enough at the time of the killing to qualify.</w:t>
      </w:r>
    </w:p>
    <w:p w14:paraId="3E860918" w14:textId="6AE56FBD" w:rsidR="00BD6D81" w:rsidRDefault="00BD6D81" w:rsidP="00BD6D81"/>
    <w:p w14:paraId="51A07802" w14:textId="438BDD69" w:rsidR="00BD6D81" w:rsidRDefault="00BD6D81" w:rsidP="00BD6D81">
      <w:r>
        <w:t xml:space="preserve">The Law Commission (2004) looked fondly upon the defence of diminished responsibility, as it allowed those suffering from mental conditions to escape the shameful label of “murderer”. They noted that this ensures fairness, as the individual was not fully responsible for their actions at the time of the incident. </w:t>
      </w:r>
      <w:proofErr w:type="gramStart"/>
      <w:r w:rsidR="007972A6">
        <w:t>But,</w:t>
      </w:r>
      <w:proofErr w:type="gramEnd"/>
      <w:r w:rsidR="007972A6">
        <w:t xml:space="preserve"> it is clear within the report that they acknowledge the need for a change regarding the terminology. According to Elliott &amp; Quinn (2018), the review requested several terminology changes listed above. Many of these changes were accepted and implemented through the CJA [2009], but the new law did not include the change from “substantially impaired his mental responsibility” to the proposed “substantially impaired the individual’s ability to understand the nature of their conduct”. </w:t>
      </w:r>
      <w:r>
        <w:t>Through analysing th</w:t>
      </w:r>
      <w:r w:rsidR="007972A6">
        <w:t>ese sources</w:t>
      </w:r>
      <w:r>
        <w:t xml:space="preserve">, </w:t>
      </w:r>
      <w:r w:rsidR="007972A6">
        <w:t>it is possible to</w:t>
      </w:r>
      <w:r>
        <w:t xml:space="preserve"> interpret that the Law Commission would’ve been welcoming of the law change from the CJA, as </w:t>
      </w:r>
      <w:r w:rsidR="007972A6">
        <w:t>its</w:t>
      </w:r>
      <w:r>
        <w:t xml:space="preserve"> re-wording allows for even more fairness and impartiality. </w:t>
      </w:r>
      <w:r w:rsidR="007972A6">
        <w:t xml:space="preserve"> Many law reviews and articles are largely in favour of the changes in the defence of diminished responsibility. Quick and Wells (2012) believed that this change in the law saved the defence of diminished responsibility. It is clear that had the definition not been re-worded, there was a great risk of radical re-thinking from the government and other criminal law agencies. This could have possibly resulted in the dismissal of diminished responsibility.  </w:t>
      </w:r>
    </w:p>
    <w:p w14:paraId="67B9D384" w14:textId="1C0296B7" w:rsidR="007972A6" w:rsidRDefault="007972A6" w:rsidP="00BD6D81"/>
    <w:p w14:paraId="2AF8BCC4" w14:textId="4EE2B443" w:rsidR="007972A6" w:rsidRDefault="007972A6" w:rsidP="00BD6D81">
      <w:r>
        <w:t xml:space="preserve">There have been many cases where diminished responsibility has either been granted or rejected by judges, and the situations vary depending on whether the judge was following the Homicide Act [1957] or the Coroners and Justice Act [2009]. An example of a judge following the Homicide Act [1957] is in the case of R v Byrne [1960] 2 QB 396. During this case, the defendant attempted to claim that they were suffering from an “abnormal sexual impulse” and attempted to plead guilty to manslaughter on the grounds of diminished responsibility. The judge decided that diminished responsibility did not apply and found him guilty of murder. But, after an appeal review, it was found that he was suffering from an “abnormality of mind” which “substantially impaired” him. It was found that the judge’s original decision was wrong, as the defendant satisfied the requirements of diminished responsibility at the time of the killing. After the Coroners and Justice Act [2009] was implemented, it was easier for people to understand the requirements for diminished responsibility, but it the burden to gather evidence was still on the defendant. An example of a case that took place after the CJA [2009] was implemented is the case of R v Dowds [2012] EWCA CRIM 281. Within this case, a college lecturer murdered his partner in a knife attack. During this attack, the defendant was heavily intoxicated, and this was not the first violent incident between the couple. The defendant claimed that his partner was mostly the initiator of these violent incidents, and stated he had no recollection of the events leading up to the killing but was willing to accept what he had done. The judge decided that the defendant did not satisfy the requirements of diminished responsibility, as alcohol and </w:t>
      </w:r>
      <w:r>
        <w:lastRenderedPageBreak/>
        <w:t>drunkenness was not a recognised medical condition. As a result of this, the defendant researched the World Health Organisation’s listed “medically recognised conditions” and found that “acute intoxication” was included in the list, therefore he should’ve satisfied the requirements for diminished responsibility. But his appeal was dismissed as the judge decided it was a voluntary act to become intoxicated, therefore he still did not meet the requirements.</w:t>
      </w:r>
    </w:p>
    <w:p w14:paraId="1F2A06FA" w14:textId="77777777" w:rsidR="007972A6" w:rsidRDefault="007972A6" w:rsidP="00BD6D81"/>
    <w:p w14:paraId="3C5DFB7E" w14:textId="621678BA" w:rsidR="00BD6D81" w:rsidRDefault="00BD6D81" w:rsidP="00BD6D81">
      <w:r>
        <w:t>Research has show</w:t>
      </w:r>
      <w:r w:rsidR="007972A6">
        <w:t>n</w:t>
      </w:r>
      <w:r>
        <w:t xml:space="preserve"> that deciding to improve the law from the Homicide Act 1957 to the Coroners and Justice Act 2009, has significantly improved </w:t>
      </w:r>
      <w:r w:rsidR="007972A6">
        <w:t xml:space="preserve">the </w:t>
      </w:r>
      <w:r>
        <w:t>partial defence</w:t>
      </w:r>
      <w:r w:rsidR="007972A6">
        <w:t xml:space="preserve"> of diminished responsibility</w:t>
      </w:r>
      <w:r>
        <w:t xml:space="preserve">. </w:t>
      </w:r>
      <w:r w:rsidR="007972A6">
        <w:t>It has been argued that there is a need for</w:t>
      </w:r>
      <w:r>
        <w:t xml:space="preserve"> continu</w:t>
      </w:r>
      <w:r w:rsidR="007972A6">
        <w:t>ous reviews of the legislation to</w:t>
      </w:r>
      <w:r>
        <w:t xml:space="preserve"> </w:t>
      </w:r>
      <w:r w:rsidR="007972A6">
        <w:t xml:space="preserve">ensure the defence remain valid to modern society. </w:t>
      </w:r>
      <w:r>
        <w:t xml:space="preserve">There are obvious risks surrounding this defence, including the risk of people exploiting it to receive a lesser sentence. But, with continuous reform and retainment, we should be able to protect ourselves from this happening. </w:t>
      </w:r>
      <w:r w:rsidR="007972A6">
        <w:t xml:space="preserve">The Sentencing Council [2018] notes that a successful conviction of voluntary manslaughter on the grounds of diminished responsibility carries a custodial sentence of up to 15 years, depending on the risk of the offender. </w:t>
      </w:r>
      <w:r>
        <w:t>Perhaps a change in the punishment for a successful diminished responsibility should be considered. For example, rather than receiving the sentence for manslaughter, the defendant could instead face life or a fixed sentence in a mental institution. Although this is an option now, it does not happen every time, and those successful at proving diminished responsibility often end up in mainstream prisons, where they may not be receiving the correct care or help to improve their mental state. In addition, punishments like this would deter any criminals looking to exploit this defence, as spending years in a mental institution is fair less appealing than a prison sentence. Overall, the changes in the definition of the defence were extremely beneficial for the criminal law system. If these beneficial changes continue in further reforms, the defence will eventually be established enough that there is no room for any valid scrutiny</w:t>
      </w:r>
      <w:r w:rsidR="007972A6">
        <w:t>.</w:t>
      </w:r>
    </w:p>
    <w:p w14:paraId="54931759" w14:textId="16ABC718" w:rsidR="00C860CE" w:rsidRDefault="00C860CE"/>
    <w:p w14:paraId="5701A62E" w14:textId="77777777" w:rsidR="00BD6D81" w:rsidRDefault="00BD6D81"/>
    <w:p w14:paraId="7FE6E060" w14:textId="77777777" w:rsidR="00C860CE" w:rsidRDefault="00C860CE"/>
    <w:p w14:paraId="724D8B78" w14:textId="77777777" w:rsidR="00067628" w:rsidRDefault="00067628"/>
    <w:p w14:paraId="7A5F349E" w14:textId="3172999F" w:rsidR="00330C2F" w:rsidRDefault="00330C2F"/>
    <w:p w14:paraId="147C24EF" w14:textId="79A192D4" w:rsidR="00330C2F" w:rsidRDefault="00330C2F">
      <w:r>
        <w:br w:type="page"/>
      </w:r>
    </w:p>
    <w:p w14:paraId="468ABD16" w14:textId="75BAE533" w:rsidR="00330C2F" w:rsidRPr="000A68BD" w:rsidRDefault="00330C2F">
      <w:pPr>
        <w:rPr>
          <w:b/>
          <w:bCs/>
          <w:color w:val="000000" w:themeColor="text1"/>
        </w:rPr>
      </w:pPr>
      <w:r w:rsidRPr="000A68BD">
        <w:rPr>
          <w:b/>
          <w:bCs/>
          <w:color w:val="000000" w:themeColor="text1"/>
        </w:rPr>
        <w:lastRenderedPageBreak/>
        <w:t>Reference List</w:t>
      </w:r>
    </w:p>
    <w:p w14:paraId="1DF7DF53" w14:textId="493F2820" w:rsidR="007972A6" w:rsidRPr="007972A6" w:rsidRDefault="007972A6">
      <w:pPr>
        <w:rPr>
          <w:color w:val="000000" w:themeColor="text1"/>
        </w:rPr>
      </w:pPr>
    </w:p>
    <w:p w14:paraId="16F33D94" w14:textId="531C9726" w:rsidR="007972A6" w:rsidRPr="000A68BD" w:rsidRDefault="007972A6">
      <w:pPr>
        <w:rPr>
          <w:b/>
          <w:bCs/>
          <w:color w:val="000000" w:themeColor="text1"/>
        </w:rPr>
      </w:pPr>
      <w:r w:rsidRPr="000A68BD">
        <w:rPr>
          <w:b/>
          <w:bCs/>
          <w:color w:val="000000" w:themeColor="text1"/>
        </w:rPr>
        <w:t>Legislation</w:t>
      </w:r>
    </w:p>
    <w:p w14:paraId="0ADF6C45" w14:textId="77777777" w:rsidR="007972A6" w:rsidRPr="007972A6" w:rsidRDefault="007972A6">
      <w:pPr>
        <w:rPr>
          <w:color w:val="000000" w:themeColor="text1"/>
        </w:rPr>
      </w:pPr>
    </w:p>
    <w:p w14:paraId="5EF0FB4F" w14:textId="69867110" w:rsidR="007972A6" w:rsidRPr="007972A6" w:rsidRDefault="007972A6">
      <w:pPr>
        <w:rPr>
          <w:color w:val="000000" w:themeColor="text1"/>
        </w:rPr>
      </w:pPr>
      <w:r w:rsidRPr="007972A6">
        <w:rPr>
          <w:color w:val="000000" w:themeColor="text1"/>
        </w:rPr>
        <w:t>The Coroners and Justice Act [2009]</w:t>
      </w:r>
    </w:p>
    <w:p w14:paraId="7599D14F" w14:textId="77777777" w:rsidR="007972A6" w:rsidRDefault="007972A6">
      <w:pPr>
        <w:rPr>
          <w:color w:val="000000" w:themeColor="text1"/>
        </w:rPr>
      </w:pPr>
    </w:p>
    <w:p w14:paraId="588FBF27" w14:textId="04741D6F" w:rsidR="007972A6" w:rsidRPr="007972A6" w:rsidRDefault="007972A6">
      <w:pPr>
        <w:rPr>
          <w:color w:val="000000" w:themeColor="text1"/>
        </w:rPr>
      </w:pPr>
      <w:r w:rsidRPr="007972A6">
        <w:rPr>
          <w:color w:val="000000" w:themeColor="text1"/>
        </w:rPr>
        <w:t>The Homicide Act [1957]</w:t>
      </w:r>
    </w:p>
    <w:p w14:paraId="3F5DB5D0" w14:textId="0914C894" w:rsidR="007972A6" w:rsidRPr="007972A6" w:rsidRDefault="007972A6">
      <w:pPr>
        <w:rPr>
          <w:color w:val="000000" w:themeColor="text1"/>
        </w:rPr>
      </w:pPr>
    </w:p>
    <w:p w14:paraId="7D5F8B56" w14:textId="5A950E18" w:rsidR="007972A6" w:rsidRPr="000A68BD" w:rsidRDefault="007972A6">
      <w:pPr>
        <w:rPr>
          <w:b/>
          <w:bCs/>
          <w:color w:val="000000" w:themeColor="text1"/>
        </w:rPr>
      </w:pPr>
      <w:r w:rsidRPr="000A68BD">
        <w:rPr>
          <w:b/>
          <w:bCs/>
          <w:color w:val="000000" w:themeColor="text1"/>
        </w:rPr>
        <w:t>Case Law</w:t>
      </w:r>
    </w:p>
    <w:p w14:paraId="6E327385" w14:textId="77777777" w:rsidR="007972A6" w:rsidRPr="007972A6" w:rsidRDefault="007972A6">
      <w:pPr>
        <w:rPr>
          <w:color w:val="000000" w:themeColor="text1"/>
        </w:rPr>
      </w:pPr>
    </w:p>
    <w:p w14:paraId="234A8410" w14:textId="63F0B266" w:rsidR="007972A6" w:rsidRDefault="007972A6">
      <w:r>
        <w:t>R v Byrne [1960] 2 QB 396</w:t>
      </w:r>
    </w:p>
    <w:p w14:paraId="23F8F0DC" w14:textId="203D00CA" w:rsidR="007972A6" w:rsidRDefault="007972A6"/>
    <w:p w14:paraId="5F540931" w14:textId="35F18567" w:rsidR="007972A6" w:rsidRPr="007972A6" w:rsidRDefault="007972A6">
      <w:pPr>
        <w:rPr>
          <w:color w:val="000000" w:themeColor="text1"/>
        </w:rPr>
      </w:pPr>
      <w:r>
        <w:t>R v Dowds [2012] EWCA CRIM 281</w:t>
      </w:r>
    </w:p>
    <w:p w14:paraId="3D4BD24D" w14:textId="20CFBA2D" w:rsidR="007972A6" w:rsidRPr="007972A6" w:rsidRDefault="007972A6">
      <w:pPr>
        <w:rPr>
          <w:color w:val="000000" w:themeColor="text1"/>
        </w:rPr>
      </w:pPr>
    </w:p>
    <w:p w14:paraId="64AF283E" w14:textId="03118B60" w:rsidR="007972A6" w:rsidRPr="000A68BD" w:rsidRDefault="007972A6">
      <w:pPr>
        <w:rPr>
          <w:b/>
          <w:bCs/>
          <w:color w:val="000000" w:themeColor="text1"/>
        </w:rPr>
      </w:pPr>
      <w:r w:rsidRPr="000A68BD">
        <w:rPr>
          <w:b/>
          <w:bCs/>
          <w:color w:val="000000" w:themeColor="text1"/>
        </w:rPr>
        <w:t>Academic</w:t>
      </w:r>
    </w:p>
    <w:p w14:paraId="67C6C57A" w14:textId="77777777" w:rsidR="007972A6" w:rsidRPr="007972A6" w:rsidRDefault="007972A6">
      <w:pPr>
        <w:rPr>
          <w:rFonts w:cstheme="minorHAnsi"/>
          <w:color w:val="000000" w:themeColor="text1"/>
          <w:shd w:val="clear" w:color="auto" w:fill="FBFBFB"/>
        </w:rPr>
      </w:pPr>
    </w:p>
    <w:p w14:paraId="4804AD14" w14:textId="2086A077" w:rsidR="00330C2F" w:rsidRPr="007972A6" w:rsidRDefault="00BD6D81">
      <w:pPr>
        <w:rPr>
          <w:rFonts w:cstheme="minorHAnsi"/>
          <w:color w:val="000000" w:themeColor="text1"/>
          <w:shd w:val="clear" w:color="auto" w:fill="FBFBFB"/>
        </w:rPr>
      </w:pPr>
      <w:r w:rsidRPr="007972A6">
        <w:rPr>
          <w:rFonts w:cstheme="minorHAnsi"/>
          <w:color w:val="000000" w:themeColor="text1"/>
          <w:shd w:val="clear" w:color="auto" w:fill="FBFBFB"/>
        </w:rPr>
        <w:t>Herring, J. (2022)</w:t>
      </w:r>
      <w:r w:rsidRPr="007972A6">
        <w:rPr>
          <w:rStyle w:val="apple-converted-space"/>
          <w:rFonts w:cstheme="minorHAnsi"/>
          <w:color w:val="000000" w:themeColor="text1"/>
          <w:shd w:val="clear" w:color="auto" w:fill="FBFBFB"/>
        </w:rPr>
        <w:t> </w:t>
      </w:r>
      <w:r w:rsidRPr="007972A6">
        <w:rPr>
          <w:rFonts w:cstheme="minorHAnsi"/>
          <w:i/>
          <w:iCs/>
          <w:color w:val="000000" w:themeColor="text1"/>
        </w:rPr>
        <w:t>Criminal Law - Text, Cases and Materials</w:t>
      </w:r>
      <w:r w:rsidRPr="007972A6">
        <w:rPr>
          <w:rFonts w:cstheme="minorHAnsi"/>
          <w:color w:val="000000" w:themeColor="text1"/>
          <w:shd w:val="clear" w:color="auto" w:fill="FBFBFB"/>
        </w:rPr>
        <w:t>. 10th Edition. Oxford: Oxford University Press.</w:t>
      </w:r>
    </w:p>
    <w:p w14:paraId="6478B568" w14:textId="1788D859" w:rsidR="00BD6D81" w:rsidRDefault="00BD6D81">
      <w:pPr>
        <w:rPr>
          <w:rFonts w:cstheme="minorHAnsi"/>
          <w:color w:val="000000" w:themeColor="text1"/>
          <w:shd w:val="clear" w:color="auto" w:fill="FBFBFB"/>
        </w:rPr>
      </w:pPr>
    </w:p>
    <w:p w14:paraId="77E084CD" w14:textId="725BF482" w:rsidR="007972A6" w:rsidRPr="007972A6" w:rsidRDefault="007972A6">
      <w:pPr>
        <w:rPr>
          <w:rFonts w:cstheme="minorHAnsi"/>
          <w:color w:val="000000" w:themeColor="text1"/>
          <w:shd w:val="clear" w:color="auto" w:fill="FBFBFB"/>
        </w:rPr>
      </w:pPr>
      <w:r>
        <w:rPr>
          <w:rFonts w:cstheme="minorHAnsi"/>
          <w:color w:val="000000" w:themeColor="text1"/>
          <w:shd w:val="clear" w:color="auto" w:fill="FBFBFB"/>
        </w:rPr>
        <w:t xml:space="preserve">Hodgkins, S &amp; Prins, H. (2011) ‘Homicide Law Reform: Coke v Bumble – revisited and reassessed.’ </w:t>
      </w:r>
      <w:r>
        <w:rPr>
          <w:rFonts w:cstheme="minorHAnsi"/>
          <w:i/>
          <w:iCs/>
          <w:color w:val="000000" w:themeColor="text1"/>
          <w:shd w:val="clear" w:color="auto" w:fill="FBFBFB"/>
        </w:rPr>
        <w:t xml:space="preserve">Medicine, </w:t>
      </w:r>
      <w:proofErr w:type="gramStart"/>
      <w:r>
        <w:rPr>
          <w:rFonts w:cstheme="minorHAnsi"/>
          <w:i/>
          <w:iCs/>
          <w:color w:val="000000" w:themeColor="text1"/>
          <w:shd w:val="clear" w:color="auto" w:fill="FBFBFB"/>
        </w:rPr>
        <w:t>Science</w:t>
      </w:r>
      <w:proofErr w:type="gramEnd"/>
      <w:r>
        <w:rPr>
          <w:rFonts w:cstheme="minorHAnsi"/>
          <w:i/>
          <w:iCs/>
          <w:color w:val="000000" w:themeColor="text1"/>
          <w:shd w:val="clear" w:color="auto" w:fill="FBFBFB"/>
        </w:rPr>
        <w:t xml:space="preserve"> and the Law</w:t>
      </w:r>
      <w:r>
        <w:rPr>
          <w:rFonts w:cstheme="minorHAnsi"/>
          <w:color w:val="000000" w:themeColor="text1"/>
          <w:shd w:val="clear" w:color="auto" w:fill="FBFBFB"/>
        </w:rPr>
        <w:t>. 51(4), pp. 195-202</w:t>
      </w:r>
    </w:p>
    <w:p w14:paraId="5461D72D" w14:textId="77777777" w:rsidR="007972A6" w:rsidRPr="007972A6" w:rsidRDefault="007972A6">
      <w:pPr>
        <w:rPr>
          <w:rFonts w:cstheme="minorHAnsi"/>
          <w:color w:val="000000" w:themeColor="text1"/>
          <w:shd w:val="clear" w:color="auto" w:fill="FBFBFB"/>
        </w:rPr>
      </w:pPr>
    </w:p>
    <w:p w14:paraId="3CF64191" w14:textId="01926243" w:rsidR="007972A6" w:rsidRPr="007972A6" w:rsidRDefault="007972A6">
      <w:pPr>
        <w:rPr>
          <w:rFonts w:cstheme="minorHAnsi"/>
          <w:color w:val="000000" w:themeColor="text1"/>
          <w:shd w:val="clear" w:color="auto" w:fill="FBFBFB"/>
        </w:rPr>
      </w:pPr>
      <w:r w:rsidRPr="007972A6">
        <w:rPr>
          <w:rFonts w:cstheme="minorHAnsi"/>
          <w:color w:val="000000" w:themeColor="text1"/>
          <w:shd w:val="clear" w:color="auto" w:fill="FBFBFB"/>
        </w:rPr>
        <w:t>Kennefick, L. (2011) 'Introducing a New Diminished Responsibility Defence for England and Wales', Modern Law, 74(5), 750-766.</w:t>
      </w:r>
    </w:p>
    <w:p w14:paraId="67D05E2F" w14:textId="3FBA139B" w:rsidR="007972A6" w:rsidRPr="007972A6" w:rsidRDefault="007972A6">
      <w:pPr>
        <w:rPr>
          <w:rFonts w:cstheme="minorHAnsi"/>
          <w:color w:val="000000" w:themeColor="text1"/>
          <w:shd w:val="clear" w:color="auto" w:fill="FBFBFB"/>
        </w:rPr>
      </w:pPr>
    </w:p>
    <w:p w14:paraId="692BA821" w14:textId="77777777" w:rsidR="007972A6" w:rsidRPr="007972A6" w:rsidRDefault="007972A6" w:rsidP="007972A6">
      <w:pPr>
        <w:rPr>
          <w:rFonts w:cstheme="minorHAnsi"/>
          <w:color w:val="000000" w:themeColor="text1"/>
          <w:shd w:val="clear" w:color="auto" w:fill="FBFBFB"/>
        </w:rPr>
      </w:pPr>
      <w:r w:rsidRPr="007972A6">
        <w:rPr>
          <w:rFonts w:cstheme="minorHAnsi"/>
          <w:color w:val="000000" w:themeColor="text1"/>
          <w:shd w:val="clear" w:color="auto" w:fill="FBFBFB"/>
        </w:rPr>
        <w:t xml:space="preserve">Law Commission (2004) </w:t>
      </w:r>
      <w:r w:rsidRPr="007972A6">
        <w:rPr>
          <w:rFonts w:cstheme="minorHAnsi"/>
          <w:i/>
          <w:iCs/>
          <w:color w:val="000000" w:themeColor="text1"/>
          <w:shd w:val="clear" w:color="auto" w:fill="FBFBFB"/>
        </w:rPr>
        <w:t xml:space="preserve">‘Partial Defences to Murder’. </w:t>
      </w:r>
      <w:r w:rsidRPr="007972A6">
        <w:rPr>
          <w:rFonts w:cstheme="minorHAnsi"/>
          <w:color w:val="000000" w:themeColor="text1"/>
          <w:shd w:val="clear" w:color="auto" w:fill="FBFBFB"/>
        </w:rPr>
        <w:t>Final report. pp. 87-100</w:t>
      </w:r>
    </w:p>
    <w:p w14:paraId="41E1D36E" w14:textId="77777777" w:rsidR="007972A6" w:rsidRPr="007972A6" w:rsidRDefault="007972A6">
      <w:pPr>
        <w:rPr>
          <w:rFonts w:cstheme="minorHAnsi"/>
          <w:color w:val="000000" w:themeColor="text1"/>
          <w:shd w:val="clear" w:color="auto" w:fill="FBFBFB"/>
        </w:rPr>
      </w:pPr>
    </w:p>
    <w:p w14:paraId="30B3C10C" w14:textId="21638281" w:rsidR="007972A6" w:rsidRPr="007972A6" w:rsidRDefault="00BD6D81">
      <w:pPr>
        <w:rPr>
          <w:rFonts w:cstheme="minorHAnsi"/>
          <w:color w:val="000000" w:themeColor="text1"/>
          <w:shd w:val="clear" w:color="auto" w:fill="FBFBFB"/>
        </w:rPr>
      </w:pPr>
      <w:r w:rsidRPr="007972A6">
        <w:rPr>
          <w:rFonts w:cstheme="minorHAnsi"/>
          <w:color w:val="000000" w:themeColor="text1"/>
          <w:shd w:val="clear" w:color="auto" w:fill="FBFBFB"/>
        </w:rPr>
        <w:t>Loughnan, A. (2012)</w:t>
      </w:r>
      <w:r w:rsidRPr="007972A6">
        <w:rPr>
          <w:rStyle w:val="apple-converted-space"/>
          <w:rFonts w:cstheme="minorHAnsi"/>
          <w:color w:val="000000" w:themeColor="text1"/>
          <w:shd w:val="clear" w:color="auto" w:fill="FBFBFB"/>
        </w:rPr>
        <w:t> </w:t>
      </w:r>
      <w:r w:rsidRPr="007972A6">
        <w:rPr>
          <w:rFonts w:cstheme="minorHAnsi"/>
          <w:i/>
          <w:iCs/>
          <w:color w:val="000000" w:themeColor="text1"/>
        </w:rPr>
        <w:t>Manifest Madness - Mental Incapacity in the Criminal Law</w:t>
      </w:r>
      <w:r w:rsidRPr="007972A6">
        <w:rPr>
          <w:rFonts w:cstheme="minorHAnsi"/>
          <w:color w:val="000000" w:themeColor="text1"/>
          <w:shd w:val="clear" w:color="auto" w:fill="FBFBFB"/>
        </w:rPr>
        <w:t>. Oxford: Oxford Academic</w:t>
      </w:r>
    </w:p>
    <w:p w14:paraId="79981A99" w14:textId="77777777" w:rsidR="00BD6D81" w:rsidRPr="007972A6" w:rsidRDefault="00BD6D81">
      <w:pPr>
        <w:rPr>
          <w:rFonts w:cstheme="minorHAnsi"/>
          <w:color w:val="000000" w:themeColor="text1"/>
        </w:rPr>
      </w:pPr>
    </w:p>
    <w:p w14:paraId="554219D9" w14:textId="77777777" w:rsidR="007972A6" w:rsidRPr="007972A6" w:rsidRDefault="007972A6" w:rsidP="007972A6">
      <w:pPr>
        <w:rPr>
          <w:rFonts w:cstheme="minorHAnsi"/>
          <w:color w:val="000000" w:themeColor="text1"/>
          <w:shd w:val="clear" w:color="auto" w:fill="FBFBFB"/>
        </w:rPr>
      </w:pPr>
      <w:r w:rsidRPr="007972A6">
        <w:rPr>
          <w:rFonts w:cstheme="minorHAnsi"/>
          <w:color w:val="000000" w:themeColor="text1"/>
          <w:shd w:val="clear" w:color="auto" w:fill="FBFBFB"/>
        </w:rPr>
        <w:t>Mackay, R.D. (2010) 'The Coroners and Justice Act 2009 - Partial Defences to Murder',</w:t>
      </w:r>
      <w:r w:rsidRPr="007972A6">
        <w:rPr>
          <w:rStyle w:val="apple-converted-space"/>
          <w:rFonts w:cstheme="minorHAnsi"/>
          <w:color w:val="000000" w:themeColor="text1"/>
          <w:shd w:val="clear" w:color="auto" w:fill="FBFBFB"/>
        </w:rPr>
        <w:t> </w:t>
      </w:r>
      <w:r w:rsidRPr="007972A6">
        <w:rPr>
          <w:rFonts w:cstheme="minorHAnsi"/>
          <w:i/>
          <w:iCs/>
          <w:color w:val="000000" w:themeColor="text1"/>
        </w:rPr>
        <w:t>Criminal Law Review. pp. 1-</w:t>
      </w:r>
      <w:proofErr w:type="gramStart"/>
      <w:r w:rsidRPr="007972A6">
        <w:rPr>
          <w:rFonts w:cstheme="minorHAnsi"/>
          <w:i/>
          <w:iCs/>
          <w:color w:val="000000" w:themeColor="text1"/>
        </w:rPr>
        <w:t>3 </w:t>
      </w:r>
      <w:r w:rsidRPr="007972A6">
        <w:rPr>
          <w:rFonts w:cstheme="minorHAnsi"/>
          <w:color w:val="000000" w:themeColor="text1"/>
          <w:shd w:val="clear" w:color="auto" w:fill="FBFBFB"/>
        </w:rPr>
        <w:t>.</w:t>
      </w:r>
      <w:proofErr w:type="gramEnd"/>
    </w:p>
    <w:p w14:paraId="28AECED9" w14:textId="198ECF11" w:rsidR="007972A6" w:rsidRPr="007972A6" w:rsidRDefault="007972A6">
      <w:pPr>
        <w:rPr>
          <w:rFonts w:cstheme="minorHAnsi"/>
          <w:color w:val="000000" w:themeColor="text1"/>
        </w:rPr>
      </w:pPr>
    </w:p>
    <w:p w14:paraId="25255505" w14:textId="47C3CD9A" w:rsidR="007972A6" w:rsidRDefault="007972A6" w:rsidP="007972A6">
      <w:pPr>
        <w:rPr>
          <w:rFonts w:cstheme="minorHAnsi"/>
          <w:i/>
          <w:iCs/>
          <w:color w:val="000000" w:themeColor="text1"/>
          <w:shd w:val="clear" w:color="auto" w:fill="FBFBFB"/>
        </w:rPr>
      </w:pPr>
      <w:r w:rsidRPr="007972A6">
        <w:rPr>
          <w:rFonts w:cstheme="minorHAnsi"/>
          <w:color w:val="000000" w:themeColor="text1"/>
          <w:shd w:val="clear" w:color="auto" w:fill="FBFBFB"/>
        </w:rPr>
        <w:t>Ministry of Justice (2010)</w:t>
      </w:r>
      <w:r w:rsidRPr="007972A6">
        <w:rPr>
          <w:rFonts w:cstheme="minorHAnsi"/>
          <w:i/>
          <w:iCs/>
          <w:color w:val="000000" w:themeColor="text1"/>
          <w:shd w:val="clear" w:color="auto" w:fill="FBFBFB"/>
        </w:rPr>
        <w:t xml:space="preserve"> Partial Defences to Murder: loss of control and diminished responsibility; and infanticide: Implementation of Section 52 and 54 to 57 of the Coroners and Justice Act 2009.</w:t>
      </w:r>
    </w:p>
    <w:p w14:paraId="3DB3551A" w14:textId="23D49D37" w:rsidR="007972A6" w:rsidRDefault="007972A6" w:rsidP="007972A6">
      <w:pPr>
        <w:rPr>
          <w:rFonts w:cstheme="minorHAnsi"/>
          <w:i/>
          <w:iCs/>
          <w:color w:val="000000" w:themeColor="text1"/>
          <w:shd w:val="clear" w:color="auto" w:fill="FBFBFB"/>
        </w:rPr>
      </w:pPr>
    </w:p>
    <w:p w14:paraId="2EA0077F" w14:textId="33778C25" w:rsidR="007972A6" w:rsidRDefault="007972A6" w:rsidP="007972A6">
      <w:pPr>
        <w:rPr>
          <w:rFonts w:cstheme="minorHAnsi"/>
          <w:color w:val="000000" w:themeColor="text1"/>
          <w:shd w:val="clear" w:color="auto" w:fill="FBFBFB"/>
        </w:rPr>
      </w:pPr>
      <w:r>
        <w:rPr>
          <w:rFonts w:cstheme="minorHAnsi"/>
          <w:color w:val="000000" w:themeColor="text1"/>
          <w:shd w:val="clear" w:color="auto" w:fill="FBFBFB"/>
        </w:rPr>
        <w:t xml:space="preserve">Nathan, R &amp; Medland, S. (2016). ‘Psychiatric expert evidence and then new partial defences of diminished responsibility and loss of control’. </w:t>
      </w:r>
      <w:proofErr w:type="spellStart"/>
      <w:r>
        <w:rPr>
          <w:rFonts w:cstheme="minorHAnsi"/>
          <w:i/>
          <w:iCs/>
          <w:color w:val="000000" w:themeColor="text1"/>
          <w:shd w:val="clear" w:color="auto" w:fill="FBFBFB"/>
        </w:rPr>
        <w:t>BJPsych</w:t>
      </w:r>
      <w:proofErr w:type="spellEnd"/>
      <w:r>
        <w:rPr>
          <w:rFonts w:cstheme="minorHAnsi"/>
          <w:i/>
          <w:iCs/>
          <w:color w:val="000000" w:themeColor="text1"/>
          <w:shd w:val="clear" w:color="auto" w:fill="FBFBFB"/>
        </w:rPr>
        <w:t xml:space="preserve"> Advances Journal</w:t>
      </w:r>
      <w:r>
        <w:rPr>
          <w:rFonts w:cstheme="minorHAnsi"/>
          <w:color w:val="000000" w:themeColor="text1"/>
          <w:shd w:val="clear" w:color="auto" w:fill="FBFBFB"/>
        </w:rPr>
        <w:t xml:space="preserve">. 22(4), pp. 277-284. Available at: </w:t>
      </w:r>
      <w:hyperlink r:id="rId7" w:history="1">
        <w:r w:rsidRPr="009C74F3">
          <w:rPr>
            <w:rStyle w:val="Hyperlink"/>
            <w:rFonts w:cstheme="minorHAnsi"/>
            <w:shd w:val="clear" w:color="auto" w:fill="FBFBFB"/>
          </w:rPr>
          <w:t>https://www.cambridge.org/core/journals/bjpsych-advances/article/psychiatric-expert-evidence-and-the-new-partial-defences-of-diminished-responsibility-and-loss-of-control/3D644B3226307E300CD96F298E7ADD1C</w:t>
        </w:r>
      </w:hyperlink>
      <w:r>
        <w:rPr>
          <w:rFonts w:cstheme="minorHAnsi"/>
          <w:color w:val="000000" w:themeColor="text1"/>
          <w:shd w:val="clear" w:color="auto" w:fill="FBFBFB"/>
        </w:rPr>
        <w:t xml:space="preserve"> (Accessed: 2 March 2023)</w:t>
      </w:r>
    </w:p>
    <w:p w14:paraId="5854153C" w14:textId="77777777" w:rsidR="007972A6" w:rsidRPr="007972A6" w:rsidRDefault="007972A6" w:rsidP="007972A6">
      <w:pPr>
        <w:rPr>
          <w:rFonts w:cstheme="minorHAnsi"/>
          <w:color w:val="000000" w:themeColor="text1"/>
        </w:rPr>
      </w:pPr>
    </w:p>
    <w:p w14:paraId="7A02CBDF" w14:textId="67C7A77B" w:rsidR="007972A6" w:rsidRDefault="007972A6" w:rsidP="007972A6">
      <w:pPr>
        <w:rPr>
          <w:rFonts w:cstheme="minorHAnsi"/>
          <w:color w:val="000000" w:themeColor="text1"/>
          <w:shd w:val="clear" w:color="auto" w:fill="FBFBFB"/>
        </w:rPr>
      </w:pPr>
      <w:r w:rsidRPr="007972A6">
        <w:rPr>
          <w:rFonts w:cstheme="minorHAnsi"/>
          <w:color w:val="000000" w:themeColor="text1"/>
          <w:shd w:val="clear" w:color="auto" w:fill="FBFBFB"/>
        </w:rPr>
        <w:t xml:space="preserve">Quick, O &amp; Wells, C (2012). </w:t>
      </w:r>
      <w:r w:rsidRPr="007972A6">
        <w:rPr>
          <w:rFonts w:cstheme="minorHAnsi"/>
          <w:i/>
          <w:iCs/>
          <w:color w:val="000000" w:themeColor="text1"/>
          <w:shd w:val="clear" w:color="auto" w:fill="FBFBFB"/>
        </w:rPr>
        <w:t>Partial Reform of Partial Defences: Developments in England and Wales</w:t>
      </w:r>
      <w:r w:rsidRPr="007972A6">
        <w:rPr>
          <w:rFonts w:cstheme="minorHAnsi"/>
          <w:color w:val="000000" w:themeColor="text1"/>
          <w:shd w:val="clear" w:color="auto" w:fill="FBFBFB"/>
        </w:rPr>
        <w:t>. Australian and New Zealand Journal of Criminology. 45(3), pp. 337-350</w:t>
      </w:r>
    </w:p>
    <w:p w14:paraId="3BF347B3" w14:textId="72810E1D" w:rsidR="007972A6" w:rsidRDefault="007972A6">
      <w:pPr>
        <w:rPr>
          <w:rFonts w:cstheme="minorHAnsi"/>
          <w:color w:val="000000" w:themeColor="text1"/>
          <w:shd w:val="clear" w:color="auto" w:fill="FBFBFB"/>
        </w:rPr>
      </w:pPr>
      <w:r>
        <w:rPr>
          <w:rFonts w:cstheme="minorHAnsi"/>
          <w:color w:val="000000" w:themeColor="text1"/>
          <w:shd w:val="clear" w:color="auto" w:fill="FBFBFB"/>
        </w:rPr>
        <w:lastRenderedPageBreak/>
        <w:t xml:space="preserve">The Sentencing Council. (2018) </w:t>
      </w:r>
      <w:r>
        <w:rPr>
          <w:rFonts w:cstheme="minorHAnsi"/>
          <w:i/>
          <w:iCs/>
          <w:color w:val="000000" w:themeColor="text1"/>
          <w:shd w:val="clear" w:color="auto" w:fill="FBFBFB"/>
        </w:rPr>
        <w:t xml:space="preserve">Manslaughter by reason of diminished responsibility. </w:t>
      </w:r>
      <w:r>
        <w:rPr>
          <w:rFonts w:cstheme="minorHAnsi"/>
          <w:color w:val="000000" w:themeColor="text1"/>
          <w:shd w:val="clear" w:color="auto" w:fill="FBFBFB"/>
        </w:rPr>
        <w:t xml:space="preserve">Available at: </w:t>
      </w:r>
      <w:hyperlink r:id="rId8" w:history="1">
        <w:r w:rsidRPr="009C74F3">
          <w:rPr>
            <w:rStyle w:val="Hyperlink"/>
            <w:rFonts w:cstheme="minorHAnsi"/>
            <w:shd w:val="clear" w:color="auto" w:fill="FBFBFB"/>
          </w:rPr>
          <w:t>https://www.sentencingcouncil.org.uk/offences/crown-court/item/manslaughter-by-reason-of-diminished-responsibility/</w:t>
        </w:r>
      </w:hyperlink>
      <w:r>
        <w:rPr>
          <w:rFonts w:cstheme="minorHAnsi"/>
          <w:color w:val="000000" w:themeColor="text1"/>
          <w:shd w:val="clear" w:color="auto" w:fill="FBFBFB"/>
        </w:rPr>
        <w:t xml:space="preserve"> (Accessed: 4 March 2023)</w:t>
      </w:r>
    </w:p>
    <w:p w14:paraId="5C076ED0" w14:textId="77777777" w:rsidR="007972A6" w:rsidRPr="007972A6" w:rsidRDefault="007972A6">
      <w:pPr>
        <w:rPr>
          <w:rFonts w:cstheme="minorHAnsi"/>
          <w:color w:val="000000" w:themeColor="text1"/>
          <w:shd w:val="clear" w:color="auto" w:fill="FBFBFB"/>
        </w:rPr>
      </w:pPr>
    </w:p>
    <w:p w14:paraId="5F229FB7" w14:textId="46C8CB48" w:rsidR="00075F68" w:rsidRPr="007972A6" w:rsidRDefault="00075F68">
      <w:pPr>
        <w:rPr>
          <w:rFonts w:cstheme="minorHAnsi"/>
          <w:color w:val="000000" w:themeColor="text1"/>
        </w:rPr>
      </w:pPr>
      <w:r w:rsidRPr="007972A6">
        <w:rPr>
          <w:rFonts w:cstheme="minorHAnsi"/>
          <w:color w:val="000000" w:themeColor="text1"/>
          <w:shd w:val="clear" w:color="auto" w:fill="FBFBFB"/>
        </w:rPr>
        <w:t>UK Government (2023) </w:t>
      </w:r>
      <w:r w:rsidRPr="007972A6">
        <w:rPr>
          <w:rFonts w:cstheme="minorHAnsi"/>
          <w:i/>
          <w:iCs/>
          <w:color w:val="000000" w:themeColor="text1"/>
        </w:rPr>
        <w:t>Coroners and Justice Act 2009</w:t>
      </w:r>
      <w:r w:rsidRPr="007972A6">
        <w:rPr>
          <w:rFonts w:cstheme="minorHAnsi"/>
          <w:color w:val="000000" w:themeColor="text1"/>
          <w:shd w:val="clear" w:color="auto" w:fill="FBFBFB"/>
        </w:rPr>
        <w:t xml:space="preserve">. Available at: </w:t>
      </w:r>
      <w:hyperlink r:id="rId9" w:history="1">
        <w:r w:rsidRPr="007972A6">
          <w:rPr>
            <w:rStyle w:val="Hyperlink"/>
            <w:rFonts w:cstheme="minorHAnsi"/>
            <w:color w:val="000000" w:themeColor="text1"/>
            <w:shd w:val="clear" w:color="auto" w:fill="FBFBFB"/>
          </w:rPr>
          <w:t>https://www.legislation.gov.uk/ukpga/2009/25/part/2/chapter/1/crossheading/partial-defence-to-murder-diminished-responsibility</w:t>
        </w:r>
      </w:hyperlink>
      <w:r w:rsidRPr="007972A6">
        <w:rPr>
          <w:rFonts w:cstheme="minorHAnsi"/>
          <w:color w:val="000000" w:themeColor="text1"/>
          <w:shd w:val="clear" w:color="auto" w:fill="FBFBFB"/>
        </w:rPr>
        <w:t xml:space="preserve"> (Accessed: 20 February 2023).</w:t>
      </w:r>
    </w:p>
    <w:p w14:paraId="43B525B5" w14:textId="16B315FE" w:rsidR="007972A6" w:rsidRDefault="007972A6">
      <w:pPr>
        <w:rPr>
          <w:rFonts w:cstheme="minorHAnsi"/>
          <w:color w:val="333333"/>
          <w:shd w:val="clear" w:color="auto" w:fill="FBFBFB"/>
        </w:rPr>
      </w:pPr>
    </w:p>
    <w:p w14:paraId="29598594" w14:textId="3D58E390" w:rsidR="007972A6" w:rsidRPr="007972A6" w:rsidRDefault="007972A6">
      <w:pPr>
        <w:rPr>
          <w:rFonts w:cstheme="minorHAnsi"/>
          <w:color w:val="333333"/>
          <w:shd w:val="clear" w:color="auto" w:fill="FBFBFB"/>
        </w:rPr>
      </w:pPr>
    </w:p>
    <w:sectPr w:rsidR="007972A6" w:rsidRPr="007972A6" w:rsidSect="007972A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57C85"/>
    <w:multiLevelType w:val="hybridMultilevel"/>
    <w:tmpl w:val="411AD47A"/>
    <w:lvl w:ilvl="0" w:tplc="B57CE492">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64942"/>
    <w:multiLevelType w:val="hybridMultilevel"/>
    <w:tmpl w:val="B3625890"/>
    <w:lvl w:ilvl="0" w:tplc="6038D81E">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7762583">
    <w:abstractNumId w:val="1"/>
  </w:num>
  <w:num w:numId="2" w16cid:durableId="1004170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970"/>
    <w:rsid w:val="00067628"/>
    <w:rsid w:val="00075F68"/>
    <w:rsid w:val="000A68BD"/>
    <w:rsid w:val="002F0E3D"/>
    <w:rsid w:val="00330C2F"/>
    <w:rsid w:val="007972A6"/>
    <w:rsid w:val="00826B25"/>
    <w:rsid w:val="008D1CB9"/>
    <w:rsid w:val="00997970"/>
    <w:rsid w:val="00AC2C68"/>
    <w:rsid w:val="00BD6D81"/>
    <w:rsid w:val="00C860CE"/>
    <w:rsid w:val="00C87A4A"/>
    <w:rsid w:val="00DE5C07"/>
    <w:rsid w:val="00E34472"/>
    <w:rsid w:val="00F22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AC2E2"/>
  <w15:chartTrackingRefBased/>
  <w15:docId w15:val="{2B4AEAB7-C309-1B4B-B9D1-61F1FD866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972A6"/>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5F68"/>
    <w:rPr>
      <w:color w:val="5F5F5F" w:themeColor="hyperlink"/>
      <w:u w:val="single"/>
    </w:rPr>
  </w:style>
  <w:style w:type="character" w:styleId="UnresolvedMention">
    <w:name w:val="Unresolved Mention"/>
    <w:basedOn w:val="DefaultParagraphFont"/>
    <w:uiPriority w:val="99"/>
    <w:semiHidden/>
    <w:unhideWhenUsed/>
    <w:rsid w:val="00075F68"/>
    <w:rPr>
      <w:color w:val="605E5C"/>
      <w:shd w:val="clear" w:color="auto" w:fill="E1DFDD"/>
    </w:rPr>
  </w:style>
  <w:style w:type="character" w:customStyle="1" w:styleId="apple-converted-space">
    <w:name w:val="apple-converted-space"/>
    <w:basedOn w:val="DefaultParagraphFont"/>
    <w:rsid w:val="00BD6D81"/>
  </w:style>
  <w:style w:type="paragraph" w:styleId="ListParagraph">
    <w:name w:val="List Paragraph"/>
    <w:basedOn w:val="Normal"/>
    <w:uiPriority w:val="34"/>
    <w:qFormat/>
    <w:rsid w:val="00BD6D81"/>
    <w:pPr>
      <w:ind w:left="720"/>
      <w:contextualSpacing/>
    </w:pPr>
  </w:style>
  <w:style w:type="paragraph" w:styleId="NoSpacing">
    <w:name w:val="No Spacing"/>
    <w:link w:val="NoSpacingChar"/>
    <w:uiPriority w:val="1"/>
    <w:qFormat/>
    <w:rsid w:val="007972A6"/>
    <w:rPr>
      <w:rFonts w:eastAsiaTheme="minorEastAsia"/>
      <w:sz w:val="22"/>
      <w:szCs w:val="22"/>
      <w:lang w:val="en-US" w:eastAsia="zh-CN"/>
    </w:rPr>
  </w:style>
  <w:style w:type="character" w:customStyle="1" w:styleId="NoSpacingChar">
    <w:name w:val="No Spacing Char"/>
    <w:basedOn w:val="DefaultParagraphFont"/>
    <w:link w:val="NoSpacing"/>
    <w:uiPriority w:val="1"/>
    <w:rsid w:val="007972A6"/>
    <w:rPr>
      <w:rFonts w:eastAsiaTheme="minorEastAsia"/>
      <w:sz w:val="22"/>
      <w:szCs w:val="22"/>
      <w:lang w:val="en-US" w:eastAsia="zh-CN"/>
    </w:rPr>
  </w:style>
  <w:style w:type="character" w:customStyle="1" w:styleId="Heading2Char">
    <w:name w:val="Heading 2 Char"/>
    <w:basedOn w:val="DefaultParagraphFont"/>
    <w:link w:val="Heading2"/>
    <w:uiPriority w:val="9"/>
    <w:rsid w:val="007972A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972A6"/>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7972A6"/>
    <w:rPr>
      <w:color w:val="9191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45895">
      <w:bodyDiv w:val="1"/>
      <w:marLeft w:val="0"/>
      <w:marRight w:val="0"/>
      <w:marTop w:val="0"/>
      <w:marBottom w:val="0"/>
      <w:divBdr>
        <w:top w:val="none" w:sz="0" w:space="0" w:color="auto"/>
        <w:left w:val="none" w:sz="0" w:space="0" w:color="auto"/>
        <w:bottom w:val="none" w:sz="0" w:space="0" w:color="auto"/>
        <w:right w:val="none" w:sz="0" w:space="0" w:color="auto"/>
      </w:divBdr>
    </w:div>
    <w:div w:id="270823327">
      <w:bodyDiv w:val="1"/>
      <w:marLeft w:val="0"/>
      <w:marRight w:val="0"/>
      <w:marTop w:val="0"/>
      <w:marBottom w:val="0"/>
      <w:divBdr>
        <w:top w:val="none" w:sz="0" w:space="0" w:color="auto"/>
        <w:left w:val="none" w:sz="0" w:space="0" w:color="auto"/>
        <w:bottom w:val="none" w:sz="0" w:space="0" w:color="auto"/>
        <w:right w:val="none" w:sz="0" w:space="0" w:color="auto"/>
      </w:divBdr>
    </w:div>
    <w:div w:id="385027791">
      <w:bodyDiv w:val="1"/>
      <w:marLeft w:val="0"/>
      <w:marRight w:val="0"/>
      <w:marTop w:val="0"/>
      <w:marBottom w:val="0"/>
      <w:divBdr>
        <w:top w:val="none" w:sz="0" w:space="0" w:color="auto"/>
        <w:left w:val="none" w:sz="0" w:space="0" w:color="auto"/>
        <w:bottom w:val="none" w:sz="0" w:space="0" w:color="auto"/>
        <w:right w:val="none" w:sz="0" w:space="0" w:color="auto"/>
      </w:divBdr>
    </w:div>
    <w:div w:id="801071295">
      <w:bodyDiv w:val="1"/>
      <w:marLeft w:val="0"/>
      <w:marRight w:val="0"/>
      <w:marTop w:val="0"/>
      <w:marBottom w:val="0"/>
      <w:divBdr>
        <w:top w:val="none" w:sz="0" w:space="0" w:color="auto"/>
        <w:left w:val="none" w:sz="0" w:space="0" w:color="auto"/>
        <w:bottom w:val="none" w:sz="0" w:space="0" w:color="auto"/>
        <w:right w:val="none" w:sz="0" w:space="0" w:color="auto"/>
      </w:divBdr>
      <w:divsChild>
        <w:div w:id="899708971">
          <w:marLeft w:val="0"/>
          <w:marRight w:val="0"/>
          <w:marTop w:val="0"/>
          <w:marBottom w:val="624"/>
          <w:divBdr>
            <w:top w:val="none" w:sz="0" w:space="0" w:color="auto"/>
            <w:left w:val="none" w:sz="0" w:space="0" w:color="auto"/>
            <w:bottom w:val="none" w:sz="0" w:space="0" w:color="auto"/>
            <w:right w:val="none" w:sz="0" w:space="0" w:color="auto"/>
          </w:divBdr>
        </w:div>
      </w:divsChild>
    </w:div>
    <w:div w:id="1129975571">
      <w:bodyDiv w:val="1"/>
      <w:marLeft w:val="0"/>
      <w:marRight w:val="0"/>
      <w:marTop w:val="0"/>
      <w:marBottom w:val="0"/>
      <w:divBdr>
        <w:top w:val="none" w:sz="0" w:space="0" w:color="auto"/>
        <w:left w:val="none" w:sz="0" w:space="0" w:color="auto"/>
        <w:bottom w:val="none" w:sz="0" w:space="0" w:color="auto"/>
        <w:right w:val="none" w:sz="0" w:space="0" w:color="auto"/>
      </w:divBdr>
    </w:div>
    <w:div w:id="182303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ntencingcouncil.org.uk/offences/crown-court/item/manslaughter-by-reason-of-diminished-responsibility/" TargetMode="External"/><Relationship Id="rId3" Type="http://schemas.openxmlformats.org/officeDocument/2006/relationships/numbering" Target="numbering.xml"/><Relationship Id="rId7" Type="http://schemas.openxmlformats.org/officeDocument/2006/relationships/hyperlink" Target="https://www.cambridge.org/core/journals/bjpsych-advances/article/psychiatric-expert-evidence-and-the-new-partial-defences-of-diminished-responsibility-and-loss-of-control/3D644B3226307E300CD96F298E7ADD1C"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legislation.gov.uk/ukpga/2009/25/part/2/chapter/1/crossheading/partial-defence-to-murder-diminished-responsibility" TargetMode="Externa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Ken11</b:Tag>
    <b:SourceType>JournalArticle</b:SourceType>
    <b:Guid>{F2AE5C7D-5E5E-A74C-9478-D81533D215D3}</b:Guid>
    <b:Author>
      <b:Author>
        <b:NameList>
          <b:Person>
            <b:Last>Kennefick</b:Last>
            <b:First>Louise</b:First>
          </b:Person>
        </b:NameList>
      </b:Author>
    </b:Author>
    <b:Title>Introducing a New Diminished Responsibility Defence for England and Wales</b:Title>
    <b:Year>2011</b:Year>
    <b:JournalName>The Modern Law Review</b:JournalName>
    <b:Volume>74</b:Volume>
    <b:Issue>5</b:Issue>
    <b:Pages>750-766</b:Pages>
    <b:RefOrder>2</b:RefOrder>
  </b:Source>
  <b:Source>
    <b:Tag>UKG09</b:Tag>
    <b:SourceType>InternetSite</b:SourceType>
    <b:Guid>{6FD67BFA-4820-0741-961C-09314AFF2059}</b:Guid>
    <b:Title>Legislation - Coroners and Justice Act 2009</b:Title>
    <b:Year>2023</b:Year>
    <b:Author>
      <b:Author>
        <b:Corporate>UK Government</b:Corporate>
      </b:Author>
    </b:Author>
    <b:URL>https://www.legislation.gov.uk/ukpga/2009/25/part/2/chapter/1/crossheading/partial-defence-to-murder-diminished-responsibility</b:URL>
    <b:YearAccessed>2023</b:YearAccessed>
    <b:MonthAccessed>2</b:MonthAccessed>
    <b:DayAccessed>20</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DC655B-7920-6244-98F2-33CDCC4FD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1898</Words>
  <Characters>10820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12693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changes did the Coroners and Justice Act 2009 make to the defence of diminished responsibility? Did these amendments change the law for the better?</dc:title>
  <dc:subject>Criminal Law – BMPL4009</dc:subject>
  <dc:creator>Arianna Bennett (2200719)</dc:creator>
  <cp:keywords/>
  <dc:description/>
  <cp:lastModifiedBy>Arianna Bennett (2200719)</cp:lastModifiedBy>
  <cp:revision>2</cp:revision>
  <dcterms:created xsi:type="dcterms:W3CDTF">2023-03-08T14:39:00Z</dcterms:created>
  <dcterms:modified xsi:type="dcterms:W3CDTF">2023-03-08T14:39:00Z</dcterms:modified>
</cp:coreProperties>
</file>