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C9A27" w14:textId="602D9276" w:rsidR="00D21A02" w:rsidRDefault="00B81210">
      <w:r>
        <w:t>Discuss the significance of Dionysus and Heracles in the integration of India into Graeco-Roman myth/history.</w:t>
      </w:r>
    </w:p>
    <w:p w14:paraId="4F58ACA1" w14:textId="182E3FFA" w:rsidR="00B81210" w:rsidRDefault="00B81210" w:rsidP="00811AD0">
      <w:pPr>
        <w:spacing w:line="480" w:lineRule="auto"/>
      </w:pPr>
    </w:p>
    <w:p w14:paraId="27365BCB" w14:textId="2A2006D4" w:rsidR="009A6B22" w:rsidRDefault="00EF2542" w:rsidP="00811AD0">
      <w:pPr>
        <w:spacing w:line="480" w:lineRule="auto"/>
      </w:pPr>
      <w:r>
        <w:t xml:space="preserve">This essay will be exploring the effect that the Greek deities Dionysus and Heracles had on the mythology and history of India and how the deities helped and represent the integration of the two cultures. The impact of Heracles and Dionysus will be discussed in relevance to Alexander the Great, and how his aims changed the views of later scholars. The essay will also look at how </w:t>
      </w:r>
      <w:r w:rsidR="00811AD0">
        <w:t>Megasthenes interpretation of the two deities in India reflect the Hellenistic view of India, and also how the indigenous interpretations and adoptions of the two deities changed Indian mythology from the inside.</w:t>
      </w:r>
    </w:p>
    <w:p w14:paraId="37811378" w14:textId="29B2C151" w:rsidR="00FA6701" w:rsidRDefault="00B81210" w:rsidP="00053F7C">
      <w:pPr>
        <w:spacing w:line="480" w:lineRule="auto"/>
      </w:pPr>
      <w:r w:rsidRPr="00053F7C">
        <w:t>Most scholars believe that Alexander was the main source for the deities Heracles and Dionysus being so well integrated into Indian history and myth.</w:t>
      </w:r>
      <w:r w:rsidR="001E0FB8" w:rsidRPr="00053F7C">
        <w:t xml:space="preserve"> Waldemar Heckel states that Alexander the Great purposefully used the deities, specifically Heracles, for ‘propaganda’ purposes </w:t>
      </w:r>
      <w:r w:rsidR="00CC226F" w:rsidRPr="00053F7C">
        <w:rPr>
          <w:rStyle w:val="FootnoteReference"/>
        </w:rPr>
        <w:footnoteReference w:id="1"/>
      </w:r>
      <w:r w:rsidR="001E0FB8" w:rsidRPr="00053F7C">
        <w:t xml:space="preserve"> It was well known, at the time of Alexander’s conquest of the eastern world, that the Macedonian royal house claimed to be descended from Heracles Patrios</w:t>
      </w:r>
      <w:r w:rsidR="00C45FA8" w:rsidRPr="00053F7C">
        <w:t>. T</w:t>
      </w:r>
      <w:r w:rsidR="001E0FB8" w:rsidRPr="00053F7C">
        <w:t xml:space="preserve">his </w:t>
      </w:r>
      <w:r w:rsidR="00C45FA8" w:rsidRPr="00053F7C">
        <w:t xml:space="preserve">Macedonian pride </w:t>
      </w:r>
      <w:r w:rsidR="001E0FB8" w:rsidRPr="00053F7C">
        <w:t xml:space="preserve">is seen even as early as Herodotus where Alexander I </w:t>
      </w:r>
      <w:r w:rsidR="00FE267A" w:rsidRPr="00053F7C">
        <w:t>claim</w:t>
      </w:r>
      <w:r w:rsidR="00FA6701">
        <w:t>ed</w:t>
      </w:r>
      <w:r w:rsidR="001E0FB8" w:rsidRPr="00053F7C">
        <w:t xml:space="preserve"> to be a </w:t>
      </w:r>
      <w:r w:rsidR="00C45FA8" w:rsidRPr="00053F7C">
        <w:t>man of true Hellenic birth</w:t>
      </w:r>
      <w:r w:rsidR="00CC226F" w:rsidRPr="00053F7C">
        <w:rPr>
          <w:rStyle w:val="FootnoteReference"/>
        </w:rPr>
        <w:footnoteReference w:id="2"/>
      </w:r>
      <w:r w:rsidR="00C45FA8" w:rsidRPr="00053F7C">
        <w:t>.</w:t>
      </w:r>
      <w:r w:rsidR="00600D9B" w:rsidRPr="00053F7C">
        <w:t xml:space="preserve"> Stoneman emphasises that Alexander was keen to expound his relation to Heracles, not only to gain the glory and power associated with the deity, but also to make it known that he wished to “be a god like Heracles”</w:t>
      </w:r>
      <w:r w:rsidR="00600D9B" w:rsidRPr="00053F7C">
        <w:rPr>
          <w:rStyle w:val="FootnoteReference"/>
        </w:rPr>
        <w:footnoteReference w:id="3"/>
      </w:r>
      <w:r w:rsidR="00600D9B" w:rsidRPr="00053F7C">
        <w:t xml:space="preserve">. The Macedonians had long been </w:t>
      </w:r>
      <w:r w:rsidR="00F16304" w:rsidRPr="00053F7C">
        <w:t>associating</w:t>
      </w:r>
      <w:r w:rsidR="00600D9B" w:rsidRPr="00053F7C">
        <w:t xml:space="preserve"> themselves with their famous ancestor, Alexanders fat</w:t>
      </w:r>
      <w:r w:rsidR="00F16304" w:rsidRPr="00053F7C">
        <w:t>h</w:t>
      </w:r>
      <w:r w:rsidR="00600D9B" w:rsidRPr="00053F7C">
        <w:t>er Phill</w:t>
      </w:r>
      <w:r w:rsidR="00F16304" w:rsidRPr="00053F7C">
        <w:t>ip had already claimed land that had previously been conquered by Heracles</w:t>
      </w:r>
      <w:r w:rsidR="00F16304" w:rsidRPr="00053F7C">
        <w:rPr>
          <w:rStyle w:val="FootnoteReference"/>
        </w:rPr>
        <w:footnoteReference w:id="4"/>
      </w:r>
      <w:r w:rsidR="00F16304" w:rsidRPr="00053F7C">
        <w:t xml:space="preserve"> and Alexander had minted coins with the image of Heracles on them. Heckel states that the </w:t>
      </w:r>
      <w:r w:rsidR="00F16304" w:rsidRPr="00053F7C">
        <w:lastRenderedPageBreak/>
        <w:t>coins, whilst no doubt carry the iconographic hallmarks of Heracles, are more likely “the image as Alexander in the guise of Heracles”</w:t>
      </w:r>
      <w:r w:rsidR="00F16304" w:rsidRPr="00053F7C">
        <w:rPr>
          <w:rStyle w:val="FootnoteReference"/>
        </w:rPr>
        <w:t xml:space="preserve"> </w:t>
      </w:r>
      <w:r w:rsidR="00F16304" w:rsidRPr="00053F7C">
        <w:rPr>
          <w:rStyle w:val="FootnoteReference"/>
        </w:rPr>
        <w:footnoteReference w:id="5"/>
      </w:r>
      <w:r w:rsidR="00F16304" w:rsidRPr="00053F7C">
        <w:t>. Th</w:t>
      </w:r>
      <w:r w:rsidR="00FA6701">
        <w:t xml:space="preserve">e displays of this </w:t>
      </w:r>
      <w:r w:rsidR="00F16304" w:rsidRPr="00053F7C">
        <w:t xml:space="preserve">connection to Heracles only increased as Alexander travelled into India, as his ancestor gave the perfect model of a civilising conqueror. </w:t>
      </w:r>
    </w:p>
    <w:p w14:paraId="526F1C4F" w14:textId="283C20EB" w:rsidR="00FA6701" w:rsidRPr="00053F7C" w:rsidRDefault="00FA6701" w:rsidP="00053F7C">
      <w:pPr>
        <w:spacing w:line="480" w:lineRule="auto"/>
      </w:pPr>
      <w:r>
        <w:t xml:space="preserve">Alexander also drew parallels between himself and Dionysus. Whilst the God of wine and revelry certainly held </w:t>
      </w:r>
      <w:r w:rsidR="003E4DD4">
        <w:t>similarities</w:t>
      </w:r>
      <w:r>
        <w:t xml:space="preserve"> to Alexanders own life</w:t>
      </w:r>
      <w:r>
        <w:rPr>
          <w:rStyle w:val="FootnoteReference"/>
        </w:rPr>
        <w:footnoteReference w:id="6"/>
      </w:r>
      <w:r w:rsidR="003E4DD4">
        <w:t>, Alexander also found Dionysus useful as a parallel to his own conquest of India. Dionysus was known for bringing civilization through monarchy</w:t>
      </w:r>
      <w:r w:rsidR="003E4DD4">
        <w:rPr>
          <w:rStyle w:val="FootnoteReference"/>
        </w:rPr>
        <w:footnoteReference w:id="7"/>
      </w:r>
      <w:r w:rsidR="003E4DD4">
        <w:t xml:space="preserve"> and for establishing many cities, particularly Nysa, putting an end to the nomadic tribes that had previously inhabited India</w:t>
      </w:r>
      <w:r w:rsidR="003E4DD4">
        <w:rPr>
          <w:rStyle w:val="FootnoteReference"/>
        </w:rPr>
        <w:footnoteReference w:id="8"/>
      </w:r>
      <w:r w:rsidR="003E4DD4">
        <w:t>. Alexander could have seen this as parallel to his own goals, of uniting India with the west and setting up cities in his own name.</w:t>
      </w:r>
      <w:r w:rsidR="00CC2D6F">
        <w:t xml:space="preserve"> </w:t>
      </w:r>
      <w:r w:rsidR="00F16304" w:rsidRPr="00053F7C">
        <w:t xml:space="preserve">The mythological exploits of Heracles </w:t>
      </w:r>
      <w:r w:rsidR="00CC2D6F">
        <w:t xml:space="preserve">and Dionysus </w:t>
      </w:r>
      <w:r w:rsidR="006A7ED4" w:rsidRPr="00053F7C">
        <w:t>would have boosted Alexanders own triumphs, rather than make them seem fanciful</w:t>
      </w:r>
      <w:r w:rsidR="00CC2D6F">
        <w:t xml:space="preserve"> as without their influence before him Alexander would have not had the uniqueness of capturing a Gods city.</w:t>
      </w:r>
      <w:r w:rsidR="006A7ED4" w:rsidRPr="00053F7C">
        <w:t xml:space="preserve"> The Greeks had no problem accepting Homeric epic </w:t>
      </w:r>
      <w:r w:rsidR="00CC2D6F">
        <w:t xml:space="preserve">and </w:t>
      </w:r>
      <w:r w:rsidR="006A7ED4" w:rsidRPr="00053F7C">
        <w:t>mythology as history</w:t>
      </w:r>
      <w:r w:rsidR="006A7ED4" w:rsidRPr="00053F7C">
        <w:rPr>
          <w:rStyle w:val="FootnoteReference"/>
        </w:rPr>
        <w:footnoteReference w:id="9"/>
      </w:r>
      <w:r w:rsidR="006A7ED4" w:rsidRPr="00053F7C">
        <w:t xml:space="preserve"> , so for Alexander to not only compare himself to Heracles</w:t>
      </w:r>
      <w:r w:rsidR="00CC2D6F">
        <w:t xml:space="preserve"> and Dionysus</w:t>
      </w:r>
      <w:r w:rsidR="006A7ED4" w:rsidRPr="00053F7C">
        <w:t xml:space="preserve"> but claim to be following in his </w:t>
      </w:r>
      <w:r w:rsidR="00BB111B" w:rsidRPr="00053F7C">
        <w:t>ancestors’</w:t>
      </w:r>
      <w:r w:rsidR="006A7ED4" w:rsidRPr="00053F7C">
        <w:t xml:space="preserve"> footsteps</w:t>
      </w:r>
      <w:r w:rsidR="006A7ED4" w:rsidRPr="00053F7C">
        <w:rPr>
          <w:rStyle w:val="FootnoteReference"/>
        </w:rPr>
        <w:footnoteReference w:id="10"/>
      </w:r>
      <w:r w:rsidR="006A7ED4" w:rsidRPr="00053F7C">
        <w:t xml:space="preserve"> would have made him more credible and impressive to a Hellenised audience</w:t>
      </w:r>
      <w:r w:rsidR="007E07FA">
        <w:rPr>
          <w:rStyle w:val="FootnoteReference"/>
        </w:rPr>
        <w:footnoteReference w:id="11"/>
      </w:r>
      <w:r w:rsidR="006A7ED4" w:rsidRPr="00053F7C">
        <w:t>.</w:t>
      </w:r>
      <w:r w:rsidR="00BB111B" w:rsidRPr="00053F7C">
        <w:t xml:space="preserve"> </w:t>
      </w:r>
      <w:r w:rsidR="00CC2D6F">
        <w:t xml:space="preserve"> Later authors do not question the fact that there are few accounts so specific of Heracles and Dionysus before Alexander</w:t>
      </w:r>
      <w:r w:rsidR="00CC2D6F">
        <w:rPr>
          <w:rStyle w:val="FootnoteReference"/>
        </w:rPr>
        <w:footnoteReference w:id="12"/>
      </w:r>
      <w:r w:rsidR="00CC2D6F">
        <w:t>, as by the fall of the Greek empires both of these deities had been entirely absorbed by the indigenous culture.</w:t>
      </w:r>
    </w:p>
    <w:p w14:paraId="5367C81F" w14:textId="4F752BF8" w:rsidR="00BB111B" w:rsidRPr="00053F7C" w:rsidRDefault="00BB111B" w:rsidP="00053F7C">
      <w:pPr>
        <w:spacing w:line="480" w:lineRule="auto"/>
      </w:pPr>
    </w:p>
    <w:p w14:paraId="0BB715E1" w14:textId="49AF1325" w:rsidR="00101EBE" w:rsidRDefault="00BB111B" w:rsidP="00053F7C">
      <w:pPr>
        <w:spacing w:line="480" w:lineRule="auto"/>
      </w:pPr>
      <w:r w:rsidRPr="00053F7C">
        <w:t>The first moment where most ancient authors mention a strong comparison between Heracles and Alexander</w:t>
      </w:r>
      <w:r w:rsidR="00F16D29">
        <w:t xml:space="preserve"> is when he conquers the Arnos rock. Stoneman points out that this is where the myth of Heracles and Alexander mix in a significant way</w:t>
      </w:r>
      <w:r w:rsidR="00F16D29">
        <w:rPr>
          <w:rStyle w:val="FootnoteReference"/>
        </w:rPr>
        <w:footnoteReference w:id="13"/>
      </w:r>
      <w:r w:rsidR="00F16D29">
        <w:t xml:space="preserve">. This link </w:t>
      </w:r>
      <w:r w:rsidR="00FA6701">
        <w:t>was</w:t>
      </w:r>
      <w:r w:rsidR="00F16D29">
        <w:t xml:space="preserve"> important as it begins the idea that Herakles was an active presence in India before Alexander, and it is Alexanders own mythology that creates these associations. Ancient sources, part</w:t>
      </w:r>
      <w:r w:rsidR="00346F88">
        <w:t>icularly Roman ones, are quick to criticize this account. Arrian records the event, however believes that the conquest of Aornos’ association with Heracles was to serve as a “Macedonian boast” rather than an accurate link to a historic place or event</w:t>
      </w:r>
      <w:r w:rsidR="00346F88">
        <w:rPr>
          <w:rStyle w:val="FootnoteReference"/>
        </w:rPr>
        <w:footnoteReference w:id="14"/>
      </w:r>
      <w:r w:rsidR="00346F88">
        <w:t xml:space="preserve">. whether or not the story was invented, which it most likely was, it cannot be denied that it is notorious throughout western historiographers and sets a precedent that Heracles, in one form or another, will be found throughout Indian mythology and history. There was an expectation to find evidence of Heracles in the eastern world because Alexander presented </w:t>
      </w:r>
      <w:r w:rsidR="00101EBE">
        <w:t>it from the very beginning of his conquest. Alexander wished to “exceed all men, living and dead”</w:t>
      </w:r>
      <w:r w:rsidR="00101EBE">
        <w:rPr>
          <w:rStyle w:val="FootnoteReference"/>
        </w:rPr>
        <w:footnoteReference w:id="15"/>
      </w:r>
      <w:r w:rsidR="00101EBE">
        <w:t>, by choosing to surpass a deity he would be seen not only as a powerful conqueror but as a God, who would transcend all those who came before or after him.</w:t>
      </w:r>
    </w:p>
    <w:p w14:paraId="2FD81BAB" w14:textId="77777777" w:rsidR="00811AD0" w:rsidRDefault="00101EBE" w:rsidP="00053F7C">
      <w:pPr>
        <w:spacing w:line="480" w:lineRule="auto"/>
      </w:pPr>
      <w:r>
        <w:t xml:space="preserve">The Roman historians rely on earlier accounts of India, as very few had travelled there themselves. Particularly Megasthenes is relied upon who, in turn, drew from the Alexandrian accounts before him, as well as Ctesias and Scylax. </w:t>
      </w:r>
      <w:r w:rsidR="00CF5C00">
        <w:t>Megasthenes wasn’t always trusted in the ancient world d</w:t>
      </w:r>
      <w:r>
        <w:t>ue to his reliance on such old</w:t>
      </w:r>
      <w:r w:rsidR="00CF5C00">
        <w:t xml:space="preserve">, </w:t>
      </w:r>
      <w:r>
        <w:t>biased</w:t>
      </w:r>
      <w:r w:rsidR="00CF5C00">
        <w:t xml:space="preserve"> or unstated</w:t>
      </w:r>
      <w:r>
        <w:t xml:space="preserve"> sources</w:t>
      </w:r>
      <w:r w:rsidR="00CF5C00">
        <w:rPr>
          <w:rStyle w:val="FootnoteReference"/>
        </w:rPr>
        <w:footnoteReference w:id="16"/>
      </w:r>
      <w:r w:rsidR="00CF5C00">
        <w:t xml:space="preserve">. However, his account, despite only surviving in fragments, clearly shapes the way in which </w:t>
      </w:r>
      <w:r w:rsidR="00CF5C00">
        <w:lastRenderedPageBreak/>
        <w:t>Indian history was interpreted from an external point of view</w:t>
      </w:r>
      <w:r w:rsidR="007C1A89">
        <w:rPr>
          <w:rStyle w:val="FootnoteReference"/>
        </w:rPr>
        <w:footnoteReference w:id="17"/>
      </w:r>
      <w:r w:rsidR="00CF5C00">
        <w:t xml:space="preserve">. Stoneman discusses that Megasthenes expected to find Heracles </w:t>
      </w:r>
      <w:r w:rsidR="007A2D0E">
        <w:t>and Dionysus in India due to his reliance on the Alexandrian texts, which were rife with his propaganda</w:t>
      </w:r>
      <w:r w:rsidR="007A2D0E">
        <w:rPr>
          <w:rStyle w:val="FootnoteReference"/>
        </w:rPr>
        <w:footnoteReference w:id="18"/>
      </w:r>
      <w:r w:rsidR="007A2D0E">
        <w:t xml:space="preserve">. </w:t>
      </w:r>
      <w:r w:rsidR="00FE267A">
        <w:t>Modern</w:t>
      </w:r>
      <w:r w:rsidR="007A2D0E">
        <w:t xml:space="preserve"> scholars also debate that other factors may have also affected the two </w:t>
      </w:r>
      <w:r w:rsidR="00FE267A">
        <w:t>deities’</w:t>
      </w:r>
      <w:r w:rsidR="007A2D0E">
        <w:t xml:space="preserve"> </w:t>
      </w:r>
      <w:r w:rsidR="00FE267A">
        <w:t>appearances</w:t>
      </w:r>
      <w:r w:rsidR="007A2D0E">
        <w:t xml:space="preserve"> in Graeco-Indian history and myth. It is widely agreed that Megasthenes is deliberately giving Greek names to Indian or indigenous gods. However, the reason as to why he does this is constantly debated. </w:t>
      </w:r>
      <w:r w:rsidR="008230E6">
        <w:t xml:space="preserve">Paul </w:t>
      </w:r>
      <w:r w:rsidR="007A2D0E">
        <w:t xml:space="preserve">Kosmin discusses that Megasthenes is </w:t>
      </w:r>
      <w:r w:rsidR="008230E6">
        <w:t>ascribing</w:t>
      </w:r>
      <w:r w:rsidR="007A2D0E">
        <w:t xml:space="preserve"> indigenous gods </w:t>
      </w:r>
      <w:r w:rsidR="008230E6">
        <w:t xml:space="preserve">a Greek name based off their </w:t>
      </w:r>
      <w:r w:rsidR="007A2D0E">
        <w:t>iconographical and r</w:t>
      </w:r>
      <w:r w:rsidR="008230E6">
        <w:t>itual similarities</w:t>
      </w:r>
      <w:r w:rsidR="008230E6">
        <w:rPr>
          <w:rStyle w:val="FootnoteReference"/>
        </w:rPr>
        <w:footnoteReference w:id="19"/>
      </w:r>
      <w:r w:rsidR="008230E6">
        <w:t xml:space="preserve">. </w:t>
      </w:r>
      <w:r w:rsidR="008230E6" w:rsidRPr="008230E6">
        <w:t>Puskás</w:t>
      </w:r>
      <w:r w:rsidR="008230E6">
        <w:t xml:space="preserve"> supports this argument stating that Megasthenes does </w:t>
      </w:r>
      <w:r w:rsidR="007C1A89">
        <w:t>not</w:t>
      </w:r>
      <w:r w:rsidR="008230E6">
        <w:t xml:space="preserve"> attempt to transliterate the </w:t>
      </w:r>
      <w:r w:rsidR="003D69F3">
        <w:t>god’s</w:t>
      </w:r>
      <w:r w:rsidR="008230E6">
        <w:t xml:space="preserve"> names into Greek, as that would give his audience no point of </w:t>
      </w:r>
      <w:r w:rsidR="003D69F3">
        <w:t>reference</w:t>
      </w:r>
      <w:r w:rsidR="008230E6">
        <w:t xml:space="preserve"> as to the gods </w:t>
      </w:r>
      <w:r w:rsidR="003D69F3">
        <w:t>purpose within society. Instead Megasthenes is seeking parallels, apparently to correct the mistakes of writers who came before him</w:t>
      </w:r>
      <w:r w:rsidR="003D69F3">
        <w:rPr>
          <w:rStyle w:val="FootnoteReference"/>
        </w:rPr>
        <w:footnoteReference w:id="20"/>
      </w:r>
      <w:r w:rsidR="003D69F3">
        <w:t>. With Herakles and Dionysus, he doesn’t deny their existence within Indian history, to him the accounts of previous works were enough to convince him of their presence</w:t>
      </w:r>
      <w:r w:rsidR="003D69F3">
        <w:rPr>
          <w:rStyle w:val="FootnoteReference"/>
        </w:rPr>
        <w:footnoteReference w:id="21"/>
      </w:r>
      <w:r w:rsidR="003D69F3">
        <w:t>.</w:t>
      </w:r>
      <w:r w:rsidR="00215EDE">
        <w:t xml:space="preserve"> Perhaps what makes Megasthenes </w:t>
      </w:r>
      <w:r w:rsidR="00FE267A">
        <w:t>work</w:t>
      </w:r>
      <w:r w:rsidR="00215EDE">
        <w:t xml:space="preserve"> more credible is that he claims to have consulted with some indigenous Indians when describing their Heracles</w:t>
      </w:r>
      <w:r w:rsidR="00710D3E">
        <w:t>, who admit the resemblance to the Theban Heracles</w:t>
      </w:r>
      <w:r w:rsidR="00710D3E">
        <w:rPr>
          <w:rStyle w:val="FootnoteReference"/>
        </w:rPr>
        <w:footnoteReference w:id="22"/>
      </w:r>
      <w:r w:rsidR="00710D3E">
        <w:t xml:space="preserve">. Puskas believes that Megasthenes found his </w:t>
      </w:r>
      <w:r w:rsidR="00FE267A">
        <w:t>parallel</w:t>
      </w:r>
      <w:r w:rsidR="00710D3E">
        <w:t xml:space="preserve"> between the two gods appropriate, yet he “consulted his Indian informant”</w:t>
      </w:r>
      <w:r w:rsidR="00710D3E">
        <w:rPr>
          <w:rStyle w:val="FootnoteReference"/>
        </w:rPr>
        <w:footnoteReference w:id="23"/>
      </w:r>
      <w:r w:rsidR="00710D3E">
        <w:t xml:space="preserve"> so his view would not hold an entirely Greek bias.</w:t>
      </w:r>
      <w:r w:rsidR="00710D3E" w:rsidRPr="00710D3E">
        <w:t xml:space="preserve"> </w:t>
      </w:r>
    </w:p>
    <w:p w14:paraId="74BD6989" w14:textId="2648B5BE" w:rsidR="00811AD0" w:rsidRDefault="00710D3E" w:rsidP="00053F7C">
      <w:pPr>
        <w:spacing w:line="480" w:lineRule="auto"/>
      </w:pPr>
      <w:r w:rsidRPr="00710D3E">
        <w:lastRenderedPageBreak/>
        <w:t>Wendy O'Flaherty</w:t>
      </w:r>
      <w:r>
        <w:t xml:space="preserve"> combats the idea </w:t>
      </w:r>
      <w:r w:rsidR="0071465A">
        <w:t>that the</w:t>
      </w:r>
      <w:r>
        <w:t xml:space="preserve"> </w:t>
      </w:r>
      <w:r w:rsidR="0071465A">
        <w:t>parallel</w:t>
      </w:r>
      <w:r>
        <w:t xml:space="preserve"> gods</w:t>
      </w:r>
      <w:r w:rsidR="0071465A">
        <w:t>,</w:t>
      </w:r>
      <w:r>
        <w:t xml:space="preserve"> in the accounts of </w:t>
      </w:r>
      <w:r w:rsidR="00FE267A">
        <w:t>Megasthenes</w:t>
      </w:r>
      <w:r>
        <w:t>, and later authors</w:t>
      </w:r>
      <w:r w:rsidR="0071465A">
        <w:t xml:space="preserve">, were simply Greek interpretations of. Indigenous </w:t>
      </w:r>
      <w:r w:rsidR="00FE267A">
        <w:t>deities.</w:t>
      </w:r>
      <w:r>
        <w:t xml:space="preserve"> Instead she put forward the idea of “cultural borrowing”</w:t>
      </w:r>
      <w:r>
        <w:rPr>
          <w:rStyle w:val="FootnoteReference"/>
        </w:rPr>
        <w:footnoteReference w:id="24"/>
      </w:r>
      <w:r w:rsidR="0071465A">
        <w:t xml:space="preserve"> where one culture may adapt </w:t>
      </w:r>
      <w:r w:rsidR="00FE267A">
        <w:t>the</w:t>
      </w:r>
      <w:r w:rsidR="0071465A">
        <w:t xml:space="preserve"> myth, iconography and descriptions of gods from another culture</w:t>
      </w:r>
      <w:r w:rsidR="00FB41B6">
        <w:t xml:space="preserve">. </w:t>
      </w:r>
      <w:r w:rsidR="007C1A89">
        <w:t xml:space="preserve">This addresses the </w:t>
      </w:r>
      <w:r w:rsidR="007E1175">
        <w:t>issues</w:t>
      </w:r>
      <w:r w:rsidR="007C1A89">
        <w:t xml:space="preserve"> that modern Scholars face when doing a direct comparison of a known Greek god to a Known Indian God. In the Case of Heracles, one of the most common parallels found is Krsna</w:t>
      </w:r>
      <w:r w:rsidR="00864B9A">
        <w:rPr>
          <w:rStyle w:val="FootnoteReference"/>
        </w:rPr>
        <w:footnoteReference w:id="25"/>
      </w:r>
      <w:r w:rsidR="007C1A89">
        <w:t>.</w:t>
      </w:r>
      <w:r w:rsidR="00864B9A">
        <w:t xml:space="preserve"> </w:t>
      </w:r>
      <w:r w:rsidR="005C08EF">
        <w:t>With this parallel both gods share a similar mythology and a connection to the Sourasenoi tribe</w:t>
      </w:r>
      <w:r w:rsidR="005C08EF">
        <w:rPr>
          <w:rStyle w:val="FootnoteReference"/>
        </w:rPr>
        <w:footnoteReference w:id="26"/>
      </w:r>
      <w:r w:rsidR="005C08EF">
        <w:t xml:space="preserve">. </w:t>
      </w:r>
      <w:r w:rsidR="00D21A02">
        <w:t>The</w:t>
      </w:r>
      <w:r w:rsidR="007E1175">
        <w:t xml:space="preserve"> two main issues with a </w:t>
      </w:r>
      <w:r w:rsidR="00D21A02">
        <w:t>making this connection</w:t>
      </w:r>
      <w:r w:rsidR="007E1175">
        <w:t xml:space="preserve">, as Stoneman indicates, </w:t>
      </w:r>
      <w:r w:rsidR="00D21A02">
        <w:t>is that one parallel</w:t>
      </w:r>
      <w:r w:rsidR="007E1175">
        <w:t xml:space="preserve"> cannot </w:t>
      </w:r>
      <w:r w:rsidR="00D21A02">
        <w:t>represent</w:t>
      </w:r>
      <w:r w:rsidR="007E1175">
        <w:t xml:space="preserve"> all the references ancient authors make to Hera</w:t>
      </w:r>
      <w:r w:rsidR="00D21A02">
        <w:t>c</w:t>
      </w:r>
      <w:r w:rsidR="007E1175">
        <w:t>les in the Indian world</w:t>
      </w:r>
      <w:r w:rsidR="00D21A02">
        <w:rPr>
          <w:rStyle w:val="FootnoteReference"/>
        </w:rPr>
        <w:footnoteReference w:id="27"/>
      </w:r>
      <w:r w:rsidR="00D21A02">
        <w:t>. The second issue is that there is no evidence of a cult of Krsna as early as the fourth century</w:t>
      </w:r>
      <w:r w:rsidR="00D21A02">
        <w:rPr>
          <w:rStyle w:val="FootnoteReference"/>
        </w:rPr>
        <w:footnoteReference w:id="28"/>
      </w:r>
      <w:r w:rsidR="00D21A02">
        <w:t>, meaning that this can’t be the Herakles that Meagsthenes writes about either. Different issues are found when comparing Dionysus to Siva, both share iconography and the ritualistic practices</w:t>
      </w:r>
      <w:r w:rsidR="00E94FB5">
        <w:t xml:space="preserve">, there </w:t>
      </w:r>
      <w:r w:rsidR="005755DA">
        <w:t xml:space="preserve">even </w:t>
      </w:r>
      <w:r w:rsidR="00E94FB5">
        <w:t xml:space="preserve">is recorded comparison in ancient </w:t>
      </w:r>
      <w:r w:rsidR="005755DA">
        <w:t>literature</w:t>
      </w:r>
      <w:r w:rsidR="005755DA">
        <w:rPr>
          <w:rStyle w:val="FootnoteReference"/>
        </w:rPr>
        <w:footnoteReference w:id="29"/>
      </w:r>
      <w:r w:rsidR="008705EC">
        <w:t>,</w:t>
      </w:r>
      <w:r w:rsidR="005755DA">
        <w:t>this does indicate that there was some substitution of the two gods within the Romano-Indian culture</w:t>
      </w:r>
      <w:r w:rsidR="008705EC">
        <w:t xml:space="preserve">. </w:t>
      </w:r>
      <w:r w:rsidR="00811AD0">
        <w:t>However,</w:t>
      </w:r>
      <w:r w:rsidR="005755DA">
        <w:t xml:space="preserve"> </w:t>
      </w:r>
      <w:r w:rsidR="008705EC">
        <w:t>this</w:t>
      </w:r>
      <w:r w:rsidR="005755DA">
        <w:t xml:space="preserve"> cannot </w:t>
      </w:r>
      <w:r w:rsidR="00C82D6E">
        <w:t>explain</w:t>
      </w:r>
      <w:r w:rsidR="005755DA">
        <w:t xml:space="preserve"> every </w:t>
      </w:r>
      <w:r w:rsidR="00C82D6E">
        <w:t>reference</w:t>
      </w:r>
      <w:r w:rsidR="005755DA">
        <w:t xml:space="preserve"> to Dionysus in Indian history and mythology</w:t>
      </w:r>
      <w:r w:rsidR="005B433B">
        <w:t xml:space="preserve">, </w:t>
      </w:r>
      <w:r w:rsidR="008705EC">
        <w:t>nor does it address the problems of comparing the modern understanding of Siva to ancient Heracles</w:t>
      </w:r>
      <w:r w:rsidR="008705EC">
        <w:rPr>
          <w:rStyle w:val="FootnoteReference"/>
        </w:rPr>
        <w:footnoteReference w:id="30"/>
      </w:r>
      <w:r w:rsidR="005755DA">
        <w:t xml:space="preserve">. </w:t>
      </w:r>
    </w:p>
    <w:p w14:paraId="3939A7F8" w14:textId="6227970B" w:rsidR="00811AD0" w:rsidRDefault="005755DA" w:rsidP="00053F7C">
      <w:pPr>
        <w:spacing w:line="480" w:lineRule="auto"/>
      </w:pPr>
      <w:r w:rsidRPr="000E7D75">
        <w:rPr>
          <w:rFonts w:cstheme="minorHAnsi"/>
        </w:rPr>
        <w:t>O'Flaherty</w:t>
      </w:r>
      <w:r>
        <w:rPr>
          <w:rFonts w:cstheme="minorHAnsi"/>
        </w:rPr>
        <w:t xml:space="preserve"> argues that </w:t>
      </w:r>
      <w:r w:rsidR="00C82D6E">
        <w:rPr>
          <w:rFonts w:cstheme="minorHAnsi"/>
        </w:rPr>
        <w:t xml:space="preserve">during Graeco-Indian and Romano-Indian interactions there was a mixture of parallel gods and the emergence of new creolized gods as common iconography </w:t>
      </w:r>
      <w:r w:rsidR="00C82D6E">
        <w:rPr>
          <w:rFonts w:cstheme="minorHAnsi"/>
        </w:rPr>
        <w:lastRenderedPageBreak/>
        <w:t>and ritual practices became shared amongst similar deities.</w:t>
      </w:r>
      <w:r w:rsidR="00811AD0">
        <w:t xml:space="preserve"> </w:t>
      </w:r>
      <w:r w:rsidR="00C82D6E">
        <w:t xml:space="preserve">Examples of indigenous societies absorbing Hellenistic culture can be found all across the Indo-Greek world. One example of the </w:t>
      </w:r>
      <w:r w:rsidR="008705EC">
        <w:t xml:space="preserve">cultural </w:t>
      </w:r>
      <w:r w:rsidR="00C82D6E">
        <w:t xml:space="preserve">blending </w:t>
      </w:r>
      <w:r w:rsidR="008705EC">
        <w:t>is</w:t>
      </w:r>
      <w:r w:rsidR="00C82D6E">
        <w:t xml:space="preserve"> the iconography of Heracles being used to depict the Buddhist warrior Vajrapani</w:t>
      </w:r>
      <w:r w:rsidR="00C82D6E">
        <w:rPr>
          <w:rStyle w:val="FootnoteReference"/>
        </w:rPr>
        <w:footnoteReference w:id="31"/>
      </w:r>
      <w:r w:rsidR="00C82D6E">
        <w:t>.</w:t>
      </w:r>
      <w:r w:rsidR="00FB41B6">
        <w:t xml:space="preserve"> Stoneman argues that “Indian artists found the figure of Heracles coalesced neatly with their earlier, now lost, conceptions of one hero”</w:t>
      </w:r>
      <w:r w:rsidR="00FB41B6">
        <w:rPr>
          <w:rStyle w:val="FootnoteReference"/>
        </w:rPr>
        <w:footnoteReference w:id="32"/>
      </w:r>
      <w:r w:rsidR="0071465A">
        <w:t xml:space="preserve">.  </w:t>
      </w:r>
      <w:r w:rsidR="008705EC">
        <w:t xml:space="preserve">Heracles was a </w:t>
      </w:r>
      <w:r w:rsidR="00D40742">
        <w:t>widely</w:t>
      </w:r>
      <w:r w:rsidR="008705EC">
        <w:t xml:space="preserve"> recognisable figure in the ancient world, and it was not uncommon for him to exist in multiple forms</w:t>
      </w:r>
      <w:r w:rsidR="008705EC">
        <w:rPr>
          <w:rStyle w:val="FootnoteReference"/>
        </w:rPr>
        <w:footnoteReference w:id="33"/>
      </w:r>
      <w:r w:rsidR="008705EC">
        <w:t>, or to emulated by famous leaders</w:t>
      </w:r>
      <w:r w:rsidR="008705EC">
        <w:rPr>
          <w:rStyle w:val="FootnoteReference"/>
        </w:rPr>
        <w:footnoteReference w:id="34"/>
      </w:r>
      <w:r w:rsidR="008705EC">
        <w:t xml:space="preserve">, most likely as Buddhism </w:t>
      </w:r>
      <w:r w:rsidR="005C08EF">
        <w:t>grew more</w:t>
      </w:r>
      <w:r w:rsidR="008705EC">
        <w:t xml:space="preserve"> popular in the west, their </w:t>
      </w:r>
      <w:r w:rsidR="00811AD0">
        <w:t>heroes</w:t>
      </w:r>
      <w:r w:rsidR="008705EC">
        <w:t xml:space="preserve"> would have to become more recognisable to a foreign audience and so they adopted a </w:t>
      </w:r>
      <w:r w:rsidR="00811AD0">
        <w:t>well-known</w:t>
      </w:r>
      <w:r w:rsidR="008705EC">
        <w:t xml:space="preserve"> deity to emulate.</w:t>
      </w:r>
    </w:p>
    <w:p w14:paraId="70A60AEE" w14:textId="73EDA57D" w:rsidR="00671E96" w:rsidRDefault="00D40742" w:rsidP="00053F7C">
      <w:pPr>
        <w:spacing w:line="480" w:lineRule="auto"/>
      </w:pPr>
      <w:r>
        <w:t xml:space="preserve">Dionysus </w:t>
      </w:r>
      <w:r w:rsidR="00B7504B">
        <w:t>holds great</w:t>
      </w:r>
      <w:r w:rsidR="00251B5B">
        <w:t xml:space="preserve"> </w:t>
      </w:r>
      <w:r w:rsidR="00B7504B">
        <w:t>significance</w:t>
      </w:r>
      <w:r w:rsidR="00251B5B">
        <w:t xml:space="preserve"> when examining how Hellenistic culture was absorbed and adapted by the Indians and Central Asiana, after Alexander the Greats force left. From looking at the evidence from the Gandharan region its clear to see that classical artistic depictions far outlast its originators but have been distinctly adapted by the indigenous people of the area to have an “eastern flavour”</w:t>
      </w:r>
      <w:r w:rsidR="00251B5B">
        <w:rPr>
          <w:rStyle w:val="FootnoteReference"/>
        </w:rPr>
        <w:footnoteReference w:id="35"/>
      </w:r>
      <w:r w:rsidR="00251B5B">
        <w:t>. Dionysus is often depicted with his Hellenistic entourage of maenads and musicians</w:t>
      </w:r>
      <w:r w:rsidR="00251B5B">
        <w:rPr>
          <w:rStyle w:val="FootnoteReference"/>
        </w:rPr>
        <w:footnoteReference w:id="36"/>
      </w:r>
      <w:r w:rsidR="00251B5B">
        <w:t>.</w:t>
      </w:r>
      <w:r w:rsidR="00B7504B">
        <w:t xml:space="preserve"> One particular stone pallet shows a sacrifice to Dionysus</w:t>
      </w:r>
      <w:r w:rsidR="00B7504B">
        <w:rPr>
          <w:rStyle w:val="FootnoteReference"/>
        </w:rPr>
        <w:footnoteReference w:id="37"/>
      </w:r>
      <w:r w:rsidR="00B7504B">
        <w:t xml:space="preserve">, indicating that the owner is not only familiar with the god, but that sacrifices to him would have been considered normal and acceptable, even outside of a strictly Hellenic culture. Other finds, such as the burial mound at Tilia Tpes, show a great understanding of Dionysus’ Hellenic mythology and iconography. However, these depictions </w:t>
      </w:r>
      <w:r w:rsidR="00B7504B">
        <w:lastRenderedPageBreak/>
        <w:t>are unmistakably native in design and purpose</w:t>
      </w:r>
      <w:r w:rsidR="00B7504B">
        <w:rPr>
          <w:rStyle w:val="FootnoteReference"/>
        </w:rPr>
        <w:footnoteReference w:id="38"/>
      </w:r>
      <w:r w:rsidR="00B7504B">
        <w:t xml:space="preserve">. The clasps depict Hellenic individuals in the style of the </w:t>
      </w:r>
      <w:r w:rsidR="00B643CC">
        <w:t>indigenous people. The hybrid beast and the showing of the tender union between Ariadne and Dionysus are more nomadic in design and the equivalents of each are rarely found in the classical world. Some other items found at Tilia Tepe</w:t>
      </w:r>
      <w:r w:rsidR="00671E96">
        <w:t xml:space="preserve"> indicate that the society that buried these individuals most likely had more than one cultural </w:t>
      </w:r>
      <w:r w:rsidR="002F3E7E">
        <w:t>identity</w:t>
      </w:r>
      <w:r w:rsidR="00671E96">
        <w:t>. Dionysus was most likely one of the easier gods for India and Central Asia to absorb into their own culture, as many of his practices were similar to his own, and</w:t>
      </w:r>
      <w:r w:rsidR="0006334E">
        <w:t xml:space="preserve"> his association with nature and strange wild animals also tied in with the fantastical monsters reported in Ctesias.</w:t>
      </w:r>
      <w:r w:rsidR="00C3742B">
        <w:rPr>
          <w:rStyle w:val="FootnoteReference"/>
        </w:rPr>
        <w:footnoteReference w:id="39"/>
      </w:r>
    </w:p>
    <w:p w14:paraId="7C4DA54E" w14:textId="304A182D" w:rsidR="00EF2542" w:rsidRDefault="00EF2542" w:rsidP="00053F7C">
      <w:pPr>
        <w:spacing w:line="480" w:lineRule="auto"/>
      </w:pPr>
      <w:r w:rsidRPr="00EF2542">
        <w:t xml:space="preserve">Dionysus and Herakles were both majorly significant to the integration of India into Graeco-Roman myth and history. Alexander started the integration with his conquest and used the gods to further his own ambitions and goals. Intentional or not he left an undeniable mark on Indian history, and with no ancient Indian literature to oppose him, he became the reference point for all later authors who wished </w:t>
      </w:r>
      <w:r w:rsidR="005C08EF" w:rsidRPr="00EF2542">
        <w:t>to</w:t>
      </w:r>
      <w:r w:rsidRPr="00EF2542">
        <w:t xml:space="preserve"> write about the west. Heracles and Dionysus became symbols of civilisation in an area thought as barbarous. The Hellenistic images and mythology of these deities brought to India were used to explain native Indian deities but also allowed for the indigenous people to personify their gods in an easily recognisable way. The pre-established iconography of Heracles allowed eastern societies to depict their warriors as strong and powerful without having to establish their own artistic representations. The Greek depictions and understandings of Dionysus were adopted by those who had multiple cultural identities and was particularly present in the Gandharan </w:t>
      </w:r>
      <w:r w:rsidRPr="00EF2542">
        <w:lastRenderedPageBreak/>
        <w:t>region. Overall both gods became an established part of India’s history of civilisation and city making and were adopted into the culture as symbols of power and victory.</w:t>
      </w:r>
    </w:p>
    <w:p w14:paraId="7FB9E4DD" w14:textId="198DF8C9" w:rsidR="0051307A" w:rsidRDefault="0051307A" w:rsidP="00053F7C">
      <w:pPr>
        <w:spacing w:line="480" w:lineRule="auto"/>
      </w:pPr>
    </w:p>
    <w:p w14:paraId="768DEC4A" w14:textId="10004CB1" w:rsidR="0051307A" w:rsidRDefault="0051307A" w:rsidP="00053F7C">
      <w:pPr>
        <w:spacing w:line="480" w:lineRule="auto"/>
      </w:pPr>
    </w:p>
    <w:p w14:paraId="768ADE2A" w14:textId="77777777" w:rsidR="0051307A" w:rsidRDefault="0051307A">
      <w:r>
        <w:br w:type="page"/>
      </w:r>
    </w:p>
    <w:p w14:paraId="77BC5B1D" w14:textId="18A4BB47" w:rsidR="0051307A" w:rsidRPr="0051307A" w:rsidRDefault="0051307A" w:rsidP="0051307A">
      <w:pPr>
        <w:rPr>
          <w:sz w:val="28"/>
        </w:rPr>
      </w:pPr>
      <w:r w:rsidRPr="0051307A">
        <w:rPr>
          <w:sz w:val="28"/>
        </w:rPr>
        <w:lastRenderedPageBreak/>
        <w:t>Bibliography</w:t>
      </w:r>
    </w:p>
    <w:p w14:paraId="02B15FE6" w14:textId="77777777" w:rsidR="0051307A" w:rsidRDefault="0051307A" w:rsidP="0051307A"/>
    <w:p w14:paraId="54AB0439" w14:textId="69B8AA82" w:rsidR="0051307A" w:rsidRPr="0051307A" w:rsidRDefault="0051307A" w:rsidP="0051307A">
      <w:pPr>
        <w:rPr>
          <w:sz w:val="28"/>
        </w:rPr>
      </w:pPr>
      <w:r w:rsidRPr="0051307A">
        <w:rPr>
          <w:sz w:val="28"/>
        </w:rPr>
        <w:t>Modern sources</w:t>
      </w:r>
    </w:p>
    <w:p w14:paraId="19F9C3BE" w14:textId="77777777" w:rsidR="0051307A" w:rsidRPr="00804DB2" w:rsidRDefault="0051307A" w:rsidP="0051307A">
      <w:pPr>
        <w:rPr>
          <w:rFonts w:cstheme="minorHAnsi"/>
          <w:highlight w:val="yellow"/>
        </w:rPr>
      </w:pPr>
    </w:p>
    <w:p w14:paraId="1DD70FA4" w14:textId="77777777" w:rsidR="000E7D75" w:rsidRPr="000E7D75" w:rsidRDefault="0051307A" w:rsidP="0051307A">
      <w:pPr>
        <w:rPr>
          <w:rFonts w:cstheme="minorHAnsi"/>
        </w:rPr>
      </w:pPr>
      <w:r w:rsidRPr="004E54C6">
        <w:rPr>
          <w:rFonts w:cstheme="minorHAnsi"/>
        </w:rPr>
        <w:t>Bernard, P. (2011) ‘The Greek Colony at Aï Khanum’, in Hierbert, F. and Cambon, P. (eds.), Afghanistan: Crossroads of the Ancient World. London.</w:t>
      </w:r>
    </w:p>
    <w:p w14:paraId="7131611C" w14:textId="77777777" w:rsidR="0051307A" w:rsidRDefault="0051307A" w:rsidP="0051307A">
      <w:pPr>
        <w:rPr>
          <w:rFonts w:cstheme="minorHAnsi"/>
        </w:rPr>
      </w:pPr>
    </w:p>
    <w:p w14:paraId="5E7FC238" w14:textId="61CC2EEF" w:rsidR="0051307A" w:rsidRDefault="00611A6A" w:rsidP="0051307A">
      <w:pPr>
        <w:rPr>
          <w:rFonts w:eastAsiaTheme="minorEastAsia" w:cstheme="minorHAnsi"/>
        </w:rPr>
      </w:pPr>
      <w:r w:rsidRPr="000E7D75">
        <w:rPr>
          <w:rFonts w:cstheme="minorHAnsi"/>
        </w:rPr>
        <w:t>Boardman, J. (2015). </w:t>
      </w:r>
      <w:r w:rsidRPr="000E7D75">
        <w:rPr>
          <w:rFonts w:cstheme="minorHAnsi"/>
          <w:i/>
          <w:iCs/>
        </w:rPr>
        <w:t>The Greeks in Asia</w:t>
      </w:r>
      <w:r w:rsidRPr="000E7D75">
        <w:rPr>
          <w:rFonts w:cstheme="minorHAnsi"/>
        </w:rPr>
        <w:t>. London: Thames &amp; Hudson.</w:t>
      </w:r>
    </w:p>
    <w:p w14:paraId="30736FB2" w14:textId="77777777" w:rsidR="0051307A" w:rsidRDefault="0051307A" w:rsidP="0051307A">
      <w:pPr>
        <w:rPr>
          <w:rFonts w:cstheme="minorHAnsi"/>
        </w:rPr>
      </w:pPr>
    </w:p>
    <w:p w14:paraId="664ACEA9" w14:textId="0E676AA8" w:rsidR="0051307A" w:rsidRPr="00804DB2" w:rsidRDefault="00611A6A" w:rsidP="0051307A">
      <w:pPr>
        <w:rPr>
          <w:rFonts w:cstheme="minorHAnsi"/>
        </w:rPr>
      </w:pPr>
      <w:r w:rsidRPr="000E7D75">
        <w:rPr>
          <w:rFonts w:cstheme="minorHAnsi"/>
        </w:rPr>
        <w:t xml:space="preserve">Bryant. E. F. (2007). </w:t>
      </w:r>
      <w:r w:rsidRPr="000E7D75">
        <w:rPr>
          <w:rFonts w:cstheme="minorHAnsi"/>
          <w:i/>
          <w:iCs/>
        </w:rPr>
        <w:t>Krishna: a sourcebook</w:t>
      </w:r>
      <w:r w:rsidRPr="000E7D75">
        <w:rPr>
          <w:rFonts w:cstheme="minorHAnsi"/>
        </w:rPr>
        <w:t>,</w:t>
      </w:r>
      <w:r w:rsidR="0051307A">
        <w:rPr>
          <w:rFonts w:eastAsiaTheme="minorEastAsia" w:cstheme="minorHAnsi"/>
        </w:rPr>
        <w:t xml:space="preserve"> O</w:t>
      </w:r>
      <w:r w:rsidRPr="000E7D75">
        <w:rPr>
          <w:rFonts w:cstheme="minorHAnsi"/>
        </w:rPr>
        <w:t>xford University Press US.</w:t>
      </w:r>
    </w:p>
    <w:p w14:paraId="698DABB3" w14:textId="77777777" w:rsidR="0051307A" w:rsidRDefault="0051307A" w:rsidP="0051307A">
      <w:pPr>
        <w:rPr>
          <w:rFonts w:cstheme="minorHAnsi"/>
        </w:rPr>
      </w:pPr>
    </w:p>
    <w:p w14:paraId="5EE70DF2" w14:textId="5790D023" w:rsidR="0051307A" w:rsidRPr="00804DB2" w:rsidRDefault="00611A6A" w:rsidP="0051307A">
      <w:pPr>
        <w:rPr>
          <w:rFonts w:cstheme="minorHAnsi"/>
        </w:rPr>
      </w:pPr>
      <w:r w:rsidRPr="000E7D75">
        <w:rPr>
          <w:rFonts w:cstheme="minorHAnsi"/>
        </w:rPr>
        <w:t xml:space="preserve">Heckel, W. (2015) ‘Alexander, Achilles, and Heracles: Between Myth and History’, in </w:t>
      </w:r>
      <w:r w:rsidRPr="000E7D75">
        <w:rPr>
          <w:rFonts w:cstheme="minorHAnsi"/>
          <w:i/>
        </w:rPr>
        <w:t>East and West in the World Empire of Al</w:t>
      </w:r>
      <w:r w:rsidRPr="000E7D75">
        <w:rPr>
          <w:rFonts w:cstheme="minorHAnsi"/>
          <w:i/>
        </w:rPr>
        <w:t>exander:</w:t>
      </w:r>
      <w:r w:rsidRPr="000E7D75">
        <w:rPr>
          <w:rFonts w:cstheme="minorHAnsi"/>
        </w:rPr>
        <w:t xml:space="preserve"> Essays in Honour of Brian Bosworth, Wheatley,</w:t>
      </w:r>
      <w:r w:rsidR="0051307A" w:rsidRPr="00804DB2">
        <w:rPr>
          <w:rFonts w:cstheme="minorHAnsi"/>
        </w:rPr>
        <w:t xml:space="preserve"> </w:t>
      </w:r>
      <w:r w:rsidRPr="000E7D75">
        <w:rPr>
          <w:rFonts w:cstheme="minorHAnsi"/>
        </w:rPr>
        <w:t>P. and Baynham, E. (eds.), Oxford: Oxford University Press.</w:t>
      </w:r>
    </w:p>
    <w:p w14:paraId="6AFE19C6" w14:textId="77777777" w:rsidR="0051307A" w:rsidRDefault="0051307A" w:rsidP="0051307A">
      <w:pPr>
        <w:rPr>
          <w:rFonts w:cstheme="minorHAnsi"/>
        </w:rPr>
      </w:pPr>
    </w:p>
    <w:p w14:paraId="610EF3F9" w14:textId="7B00DBD3" w:rsidR="000E7D75" w:rsidRPr="000E7D75" w:rsidRDefault="00611A6A" w:rsidP="0051307A">
      <w:pPr>
        <w:rPr>
          <w:rFonts w:cstheme="minorHAnsi"/>
        </w:rPr>
      </w:pPr>
      <w:r w:rsidRPr="000E7D75">
        <w:rPr>
          <w:rFonts w:cstheme="minorHAnsi"/>
        </w:rPr>
        <w:t xml:space="preserve">Kosmin, P. J. (2014) </w:t>
      </w:r>
      <w:r w:rsidRPr="000E7D75">
        <w:rPr>
          <w:rFonts w:cstheme="minorHAnsi"/>
          <w:i/>
          <w:iCs/>
        </w:rPr>
        <w:t>The Land of the Elephant Kings: Space, Territory, and Ideology in the Seleucid Empire</w:t>
      </w:r>
      <w:r w:rsidRPr="000E7D75">
        <w:rPr>
          <w:rFonts w:cstheme="minorHAnsi"/>
        </w:rPr>
        <w:t>. Harvard</w:t>
      </w:r>
    </w:p>
    <w:p w14:paraId="0AF24213" w14:textId="77777777" w:rsidR="0051307A" w:rsidRDefault="0051307A" w:rsidP="0051307A">
      <w:pPr>
        <w:rPr>
          <w:rFonts w:cstheme="minorHAnsi"/>
        </w:rPr>
      </w:pPr>
    </w:p>
    <w:p w14:paraId="15B2895A" w14:textId="312F9EF7" w:rsidR="0051307A" w:rsidRDefault="00611A6A" w:rsidP="0051307A">
      <w:pPr>
        <w:rPr>
          <w:rFonts w:cstheme="minorHAnsi"/>
        </w:rPr>
      </w:pPr>
      <w:r w:rsidRPr="000E7D75">
        <w:rPr>
          <w:rFonts w:cstheme="minorHAnsi"/>
        </w:rPr>
        <w:t xml:space="preserve">O'Flaherty, W. (1980) ‘Dionysus and Siva: Parallel Patterns in Two Pairs of Myths’, </w:t>
      </w:r>
      <w:r w:rsidRPr="000E7D75">
        <w:rPr>
          <w:rFonts w:cstheme="minorHAnsi"/>
          <w:i/>
          <w:iCs/>
        </w:rPr>
        <w:t xml:space="preserve">History of Religions </w:t>
      </w:r>
      <w:r w:rsidRPr="000E7D75">
        <w:rPr>
          <w:rFonts w:cstheme="minorHAnsi"/>
        </w:rPr>
        <w:t>20 (1/2): 81-111.</w:t>
      </w:r>
    </w:p>
    <w:p w14:paraId="705C1EB1" w14:textId="77777777" w:rsidR="0051307A" w:rsidRDefault="0051307A" w:rsidP="0051307A">
      <w:pPr>
        <w:rPr>
          <w:rFonts w:cstheme="minorHAnsi"/>
        </w:rPr>
      </w:pPr>
    </w:p>
    <w:p w14:paraId="7D4BF8C4" w14:textId="0ADD8C4D" w:rsidR="0051307A" w:rsidRPr="00804DB2" w:rsidRDefault="0051307A" w:rsidP="0051307A">
      <w:pPr>
        <w:rPr>
          <w:rFonts w:cstheme="minorHAnsi"/>
          <w:highlight w:val="yellow"/>
        </w:rPr>
      </w:pPr>
      <w:r w:rsidRPr="00804DB2">
        <w:rPr>
          <w:rFonts w:cstheme="minorHAnsi"/>
        </w:rPr>
        <w:t xml:space="preserve">Puskás. I. (1990). </w:t>
      </w:r>
      <w:r w:rsidRPr="00804DB2">
        <w:rPr>
          <w:rFonts w:cstheme="minorHAnsi"/>
          <w:i/>
        </w:rPr>
        <w:t>Magasthenes and the "Indian Gods" Herakles and Dionysos</w:t>
      </w:r>
      <w:r w:rsidRPr="00804DB2">
        <w:rPr>
          <w:rFonts w:cstheme="minorHAnsi"/>
        </w:rPr>
        <w:t>, Mediterranean Studies, Vol. 2, Greece &amp; the Mediterranean, pp. 39-47</w:t>
      </w:r>
    </w:p>
    <w:p w14:paraId="6FFC6383" w14:textId="77777777" w:rsidR="0051307A" w:rsidRDefault="0051307A" w:rsidP="0051307A">
      <w:pPr>
        <w:rPr>
          <w:rFonts w:cstheme="minorHAnsi"/>
          <w:color w:val="000000"/>
          <w:shd w:val="clear" w:color="auto" w:fill="FFFFFF"/>
        </w:rPr>
      </w:pPr>
    </w:p>
    <w:p w14:paraId="66936472" w14:textId="19125966" w:rsidR="0051307A" w:rsidRPr="0042388F" w:rsidRDefault="0051307A" w:rsidP="0051307A">
      <w:pPr>
        <w:rPr>
          <w:rFonts w:cstheme="minorHAnsi"/>
        </w:rPr>
      </w:pPr>
      <w:r w:rsidRPr="00804DB2">
        <w:rPr>
          <w:rFonts w:cstheme="minorHAnsi"/>
          <w:color w:val="000000"/>
          <w:shd w:val="clear" w:color="auto" w:fill="FFFFFF"/>
        </w:rPr>
        <w:t>Schiltz, V. (2011) ‘Tillya Tepe, the Hill of Gold: A Nomad Necropolis’, in</w:t>
      </w:r>
      <w:r w:rsidRPr="00804DB2">
        <w:rPr>
          <w:rFonts w:cstheme="minorHAnsi"/>
          <w:i/>
          <w:iCs/>
          <w:color w:val="000000"/>
          <w:shd w:val="clear" w:color="auto" w:fill="FFFFFF"/>
        </w:rPr>
        <w:t>Afghanistan: Crossroads of the Ancient World</w:t>
      </w:r>
      <w:r w:rsidRPr="00804DB2">
        <w:rPr>
          <w:rFonts w:cstheme="minorHAnsi"/>
          <w:color w:val="000000"/>
          <w:shd w:val="clear" w:color="auto" w:fill="FFFFFF"/>
        </w:rPr>
        <w:t xml:space="preserve">, Hiebert, F. and Cambon, P. (eds.), The British Museum </w:t>
      </w:r>
      <w:r w:rsidRPr="0042388F">
        <w:rPr>
          <w:rFonts w:cstheme="minorHAnsi"/>
          <w:color w:val="000000"/>
          <w:shd w:val="clear" w:color="auto" w:fill="FFFFFF"/>
        </w:rPr>
        <w:t>Press: 219-293</w:t>
      </w:r>
    </w:p>
    <w:p w14:paraId="3F816353" w14:textId="77777777" w:rsidR="0051307A" w:rsidRDefault="0051307A" w:rsidP="0051307A">
      <w:r w:rsidRPr="0042388F">
        <w:rPr>
          <w:rFonts w:cstheme="minorHAnsi"/>
        </w:rPr>
        <w:br/>
      </w:r>
      <w:r w:rsidRPr="0042388F">
        <w:rPr>
          <w:rFonts w:cstheme="minorHAnsi"/>
          <w:color w:val="000000"/>
          <w:shd w:val="clear" w:color="auto" w:fill="FFFFFF"/>
        </w:rPr>
        <w:t>Stoneman, R. (forthcoming) </w:t>
      </w:r>
      <w:r w:rsidRPr="0042388F">
        <w:rPr>
          <w:rFonts w:cstheme="minorHAnsi"/>
          <w:i/>
          <w:iCs/>
          <w:color w:val="000000"/>
          <w:shd w:val="clear" w:color="auto" w:fill="FFFFFF"/>
        </w:rPr>
        <w:t>The Greek Experience of India: From Alexander to the Indo-Greeks</w:t>
      </w:r>
      <w:r w:rsidRPr="0042388F">
        <w:rPr>
          <w:rFonts w:cstheme="minorHAnsi"/>
          <w:color w:val="000000"/>
          <w:shd w:val="clear" w:color="auto" w:fill="FFFFFF"/>
        </w:rPr>
        <w:t>. Princeton: Princeton University Press</w:t>
      </w:r>
      <w:r>
        <w:rPr>
          <w:rFonts w:ascii="Calibri" w:hAnsi="Calibri" w:cs="Calibri"/>
          <w:color w:val="000000"/>
          <w:shd w:val="clear" w:color="auto" w:fill="FFFFFF"/>
        </w:rPr>
        <w:t>.</w:t>
      </w:r>
    </w:p>
    <w:p w14:paraId="485ACF3C" w14:textId="58AD4692" w:rsidR="0051307A" w:rsidRDefault="0051307A" w:rsidP="0051307A"/>
    <w:p w14:paraId="0A7941FC" w14:textId="4082810A" w:rsidR="0051307A" w:rsidRDefault="0051307A" w:rsidP="0051307A">
      <w:r w:rsidRPr="0051307A">
        <w:rPr>
          <w:sz w:val="28"/>
        </w:rPr>
        <w:t>Ancient Sources</w:t>
      </w:r>
    </w:p>
    <w:p w14:paraId="699D3E90" w14:textId="77777777" w:rsidR="0051307A" w:rsidRDefault="0051307A" w:rsidP="0051307A"/>
    <w:p w14:paraId="40209FDD" w14:textId="77777777" w:rsidR="0051307A" w:rsidRDefault="0051307A" w:rsidP="0051307A">
      <w:r>
        <w:t xml:space="preserve">Arrian, </w:t>
      </w:r>
      <w:r>
        <w:rPr>
          <w:i/>
        </w:rPr>
        <w:t>Anabasis of Alexander</w:t>
      </w:r>
      <w:r>
        <w:t>, Brunt. P. A. (trans) 1983. Loeb Classical Library online</w:t>
      </w:r>
    </w:p>
    <w:p w14:paraId="3EA1C457" w14:textId="77777777" w:rsidR="0051307A" w:rsidRDefault="0051307A" w:rsidP="0051307A"/>
    <w:p w14:paraId="5EF61C63" w14:textId="77777777" w:rsidR="0051307A" w:rsidRPr="002667C1" w:rsidRDefault="0051307A" w:rsidP="0051307A">
      <w:r>
        <w:t xml:space="preserve">Diodorus Siculus, </w:t>
      </w:r>
      <w:r>
        <w:rPr>
          <w:i/>
        </w:rPr>
        <w:t xml:space="preserve">The Library of History, </w:t>
      </w:r>
      <w:r>
        <w:t>C. H. Oldfather (trans) 1935, Loeb Classical Library online</w:t>
      </w:r>
    </w:p>
    <w:p w14:paraId="22ABF98D" w14:textId="77777777" w:rsidR="0051307A" w:rsidRDefault="0051307A" w:rsidP="0051307A"/>
    <w:p w14:paraId="3A916C2B" w14:textId="77777777" w:rsidR="0051307A" w:rsidRDefault="0051307A" w:rsidP="0051307A">
      <w:r w:rsidRPr="00C45D2A">
        <w:t xml:space="preserve">Herodotus, </w:t>
      </w:r>
      <w:r w:rsidRPr="00804DB2">
        <w:rPr>
          <w:i/>
        </w:rPr>
        <w:t>The Histories</w:t>
      </w:r>
      <w:r w:rsidRPr="00C45D2A">
        <w:t>, T. Holland (trans) 2013. London. Penguin Grou</w:t>
      </w:r>
      <w:r>
        <w:t>p</w:t>
      </w:r>
    </w:p>
    <w:p w14:paraId="41DDDB69" w14:textId="77777777" w:rsidR="0051307A" w:rsidRDefault="0051307A" w:rsidP="0051307A"/>
    <w:p w14:paraId="3763D71F" w14:textId="7A81C483" w:rsidR="0051307A" w:rsidRDefault="0051307A" w:rsidP="0051307A">
      <w:r>
        <w:t xml:space="preserve">Pliny, </w:t>
      </w:r>
      <w:r>
        <w:rPr>
          <w:i/>
        </w:rPr>
        <w:t xml:space="preserve">Natural History, </w:t>
      </w:r>
      <w:r>
        <w:t xml:space="preserve">Bostock. J. (trans) 1855. </w:t>
      </w:r>
      <w:r w:rsidRPr="003D6A50">
        <w:t>London. Taylor and Francis</w:t>
      </w:r>
      <w:r>
        <w:t>. Perseus.tufts.edu</w:t>
      </w:r>
    </w:p>
    <w:p w14:paraId="26643073" w14:textId="77777777" w:rsidR="0051307A" w:rsidRDefault="0051307A" w:rsidP="0051307A"/>
    <w:p w14:paraId="0C40A172" w14:textId="77777777" w:rsidR="0051307A" w:rsidRPr="00AD4A67" w:rsidRDefault="0051307A" w:rsidP="0051307A">
      <w:r>
        <w:t xml:space="preserve">Strabo, </w:t>
      </w:r>
      <w:r>
        <w:rPr>
          <w:i/>
        </w:rPr>
        <w:t xml:space="preserve">Geography, </w:t>
      </w:r>
      <w:r>
        <w:t>Jones. H. L. (trans) 1930. Loeb Classical Library online</w:t>
      </w:r>
    </w:p>
    <w:p w14:paraId="267E5C72" w14:textId="77777777" w:rsidR="000E7D75" w:rsidRPr="000E7D75" w:rsidRDefault="00611A6A" w:rsidP="0051307A"/>
    <w:p w14:paraId="69280A50" w14:textId="77777777" w:rsidR="0051307A" w:rsidRDefault="0051307A" w:rsidP="00053F7C">
      <w:pPr>
        <w:spacing w:line="480" w:lineRule="auto"/>
      </w:pPr>
    </w:p>
    <w:p w14:paraId="732AD630" w14:textId="25DE7D44" w:rsidR="002355A4" w:rsidRPr="00053F7C" w:rsidRDefault="002355A4" w:rsidP="00053F7C">
      <w:pPr>
        <w:spacing w:line="480" w:lineRule="auto"/>
      </w:pPr>
    </w:p>
    <w:sectPr w:rsidR="002355A4" w:rsidRPr="00053F7C"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8F3186" w14:textId="77777777" w:rsidR="00611A6A" w:rsidRDefault="00611A6A" w:rsidP="00CC226F">
      <w:r>
        <w:separator/>
      </w:r>
    </w:p>
  </w:endnote>
  <w:endnote w:type="continuationSeparator" w:id="0">
    <w:p w14:paraId="05BDFDBC" w14:textId="77777777" w:rsidR="00611A6A" w:rsidRDefault="00611A6A" w:rsidP="00CC22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52BF9E" w14:textId="77777777" w:rsidR="00611A6A" w:rsidRDefault="00611A6A" w:rsidP="00CC226F">
      <w:r>
        <w:separator/>
      </w:r>
    </w:p>
  </w:footnote>
  <w:footnote w:type="continuationSeparator" w:id="0">
    <w:p w14:paraId="1B6AF4F0" w14:textId="77777777" w:rsidR="00611A6A" w:rsidRDefault="00611A6A" w:rsidP="00CC226F">
      <w:r>
        <w:continuationSeparator/>
      </w:r>
    </w:p>
  </w:footnote>
  <w:footnote w:id="1">
    <w:p w14:paraId="44346832" w14:textId="349A3879" w:rsidR="00D21A02" w:rsidRDefault="00D21A02">
      <w:pPr>
        <w:pStyle w:val="FootnoteText"/>
      </w:pPr>
      <w:r>
        <w:rPr>
          <w:rStyle w:val="FootnoteReference"/>
        </w:rPr>
        <w:footnoteRef/>
      </w:r>
      <w:r>
        <w:t xml:space="preserve"> Heckel. 2015, 25</w:t>
      </w:r>
    </w:p>
  </w:footnote>
  <w:footnote w:id="2">
    <w:p w14:paraId="56F3CF5B" w14:textId="1D4729AA" w:rsidR="00D21A02" w:rsidRDefault="00D21A02">
      <w:pPr>
        <w:pStyle w:val="FootnoteText"/>
      </w:pPr>
      <w:r>
        <w:rPr>
          <w:rStyle w:val="FootnoteReference"/>
        </w:rPr>
        <w:footnoteRef/>
      </w:r>
      <w:r>
        <w:t xml:space="preserve"> Hdt.9.45 Herodotus also emphasises this connection to Heracles in 8.137, where he states the founder of Macedon was the great-great-grandson of Heracles.</w:t>
      </w:r>
    </w:p>
  </w:footnote>
  <w:footnote w:id="3">
    <w:p w14:paraId="45E98FF6" w14:textId="61C6D5FB" w:rsidR="00D21A02" w:rsidRDefault="00D21A02">
      <w:pPr>
        <w:pStyle w:val="FootnoteText"/>
      </w:pPr>
      <w:r>
        <w:rPr>
          <w:rStyle w:val="FootnoteReference"/>
        </w:rPr>
        <w:footnoteRef/>
      </w:r>
      <w:r>
        <w:t xml:space="preserve"> Stoneman</w:t>
      </w:r>
      <w:r w:rsidR="009A6B22">
        <w:t>, forthcoming</w:t>
      </w:r>
      <w:r>
        <w:t>, 98</w:t>
      </w:r>
    </w:p>
  </w:footnote>
  <w:footnote w:id="4">
    <w:p w14:paraId="07577697" w14:textId="204CEF7F" w:rsidR="00D21A02" w:rsidRDefault="00D21A02">
      <w:pPr>
        <w:pStyle w:val="FootnoteText"/>
      </w:pPr>
      <w:r>
        <w:rPr>
          <w:rStyle w:val="FootnoteReference"/>
        </w:rPr>
        <w:footnoteRef/>
      </w:r>
      <w:r>
        <w:t xml:space="preserve"> Stoneman, </w:t>
      </w:r>
      <w:r w:rsidR="009A6B22">
        <w:t>forthcoming</w:t>
      </w:r>
      <w:r w:rsidR="009A6B22">
        <w:t xml:space="preserve">, </w:t>
      </w:r>
      <w:r>
        <w:t>96</w:t>
      </w:r>
    </w:p>
  </w:footnote>
  <w:footnote w:id="5">
    <w:p w14:paraId="39ACFC0D" w14:textId="77777777" w:rsidR="00D21A02" w:rsidRDefault="00D21A02" w:rsidP="00F16304">
      <w:pPr>
        <w:pStyle w:val="FootnoteText"/>
      </w:pPr>
      <w:r>
        <w:rPr>
          <w:rStyle w:val="FootnoteReference"/>
        </w:rPr>
        <w:footnoteRef/>
      </w:r>
      <w:r>
        <w:t xml:space="preserve"> Heckel. 2015, 25</w:t>
      </w:r>
    </w:p>
  </w:footnote>
  <w:footnote w:id="6">
    <w:p w14:paraId="69257EEA" w14:textId="215FA153" w:rsidR="00D21A02" w:rsidRDefault="00D21A02">
      <w:pPr>
        <w:pStyle w:val="FootnoteText"/>
      </w:pPr>
      <w:r>
        <w:rPr>
          <w:rStyle w:val="FootnoteReference"/>
        </w:rPr>
        <w:footnoteRef/>
      </w:r>
      <w:r>
        <w:t xml:space="preserve"> Doid. 17. 100-4</w:t>
      </w:r>
    </w:p>
  </w:footnote>
  <w:footnote w:id="7">
    <w:p w14:paraId="5BE881A5" w14:textId="3D1416C9" w:rsidR="00D21A02" w:rsidRDefault="00D21A02">
      <w:pPr>
        <w:pStyle w:val="FootnoteText"/>
      </w:pPr>
      <w:r>
        <w:rPr>
          <w:rStyle w:val="FootnoteReference"/>
        </w:rPr>
        <w:footnoteRef/>
      </w:r>
      <w:r>
        <w:t xml:space="preserve"> Diod. 2.38</w:t>
      </w:r>
    </w:p>
  </w:footnote>
  <w:footnote w:id="8">
    <w:p w14:paraId="24258289" w14:textId="0CD618A7" w:rsidR="00D21A02" w:rsidRDefault="00D21A02">
      <w:pPr>
        <w:pStyle w:val="FootnoteText"/>
      </w:pPr>
      <w:r>
        <w:rPr>
          <w:rStyle w:val="FootnoteReference"/>
        </w:rPr>
        <w:footnoteRef/>
      </w:r>
      <w:r>
        <w:t xml:space="preserve"> Kosmin 2014. 38</w:t>
      </w:r>
    </w:p>
  </w:footnote>
  <w:footnote w:id="9">
    <w:p w14:paraId="1FFEB8BE" w14:textId="6AB34469" w:rsidR="00D21A02" w:rsidRDefault="00D21A02">
      <w:pPr>
        <w:pStyle w:val="FootnoteText"/>
      </w:pPr>
      <w:r>
        <w:rPr>
          <w:rStyle w:val="FootnoteReference"/>
        </w:rPr>
        <w:footnoteRef/>
      </w:r>
      <w:r>
        <w:t xml:space="preserve"> </w:t>
      </w:r>
      <w:r w:rsidRPr="006A7ED4">
        <w:t>Puskás.</w:t>
      </w:r>
      <w:r>
        <w:t xml:space="preserve"> </w:t>
      </w:r>
      <w:r w:rsidRPr="006A7ED4">
        <w:t>1990</w:t>
      </w:r>
      <w:r>
        <w:t>, 41</w:t>
      </w:r>
    </w:p>
  </w:footnote>
  <w:footnote w:id="10">
    <w:p w14:paraId="6EF26642" w14:textId="1FA078D6" w:rsidR="00D21A02" w:rsidRDefault="00D21A02">
      <w:pPr>
        <w:pStyle w:val="FootnoteText"/>
      </w:pPr>
      <w:r>
        <w:rPr>
          <w:rStyle w:val="FootnoteReference"/>
        </w:rPr>
        <w:footnoteRef/>
      </w:r>
      <w:r>
        <w:t xml:space="preserve"> Stoneman</w:t>
      </w:r>
      <w:r w:rsidR="009A6B22">
        <w:t>,</w:t>
      </w:r>
      <w:r w:rsidR="009A6B22" w:rsidRPr="009A6B22">
        <w:t xml:space="preserve"> </w:t>
      </w:r>
      <w:r w:rsidR="009A6B22">
        <w:t>forthcoming</w:t>
      </w:r>
      <w:r w:rsidR="009A6B22">
        <w:t>,</w:t>
      </w:r>
      <w:r>
        <w:t xml:space="preserve"> 101</w:t>
      </w:r>
    </w:p>
  </w:footnote>
  <w:footnote w:id="11">
    <w:p w14:paraId="25C7987C" w14:textId="74EAA5D4" w:rsidR="007E07FA" w:rsidRDefault="007E07FA">
      <w:pPr>
        <w:pStyle w:val="FootnoteText"/>
      </w:pPr>
      <w:r>
        <w:rPr>
          <w:rStyle w:val="FootnoteReference"/>
        </w:rPr>
        <w:footnoteRef/>
      </w:r>
      <w:r>
        <w:t xml:space="preserve"> Stoneman</w:t>
      </w:r>
      <w:r w:rsidR="009A6B22">
        <w:t>,</w:t>
      </w:r>
      <w:r w:rsidR="009A6B22" w:rsidRPr="009A6B22">
        <w:t xml:space="preserve"> </w:t>
      </w:r>
      <w:r w:rsidR="009A6B22">
        <w:t>forthcoming</w:t>
      </w:r>
      <w:r w:rsidR="009A6B22">
        <w:t>,</w:t>
      </w:r>
      <w:r>
        <w:t xml:space="preserve"> 105 – states that Dionysus wasn’t an original ancestor of the Macedonian </w:t>
      </w:r>
      <w:r w:rsidR="005C08EF">
        <w:t>house but</w:t>
      </w:r>
      <w:r>
        <w:t xml:space="preserve"> was eventually inserted there for this purpose.</w:t>
      </w:r>
    </w:p>
  </w:footnote>
  <w:footnote w:id="12">
    <w:p w14:paraId="25F8D25A" w14:textId="48626ABA" w:rsidR="00D21A02" w:rsidRPr="00CC2D6F" w:rsidRDefault="00D21A02">
      <w:pPr>
        <w:pStyle w:val="FootnoteText"/>
      </w:pPr>
      <w:r>
        <w:rPr>
          <w:rStyle w:val="FootnoteReference"/>
        </w:rPr>
        <w:footnoteRef/>
      </w:r>
      <w:r>
        <w:t xml:space="preserve"> Plin.</w:t>
      </w:r>
      <w:r>
        <w:rPr>
          <w:i/>
        </w:rPr>
        <w:t>NH.</w:t>
      </w:r>
      <w:r>
        <w:t xml:space="preserve"> 23: (F45t) Ctesias fragment in Pliny only mentions the existence of satyrs in the eastern mountains of India, however these are unlike western satyrs and have no reference to Dionysian themes.</w:t>
      </w:r>
    </w:p>
  </w:footnote>
  <w:footnote w:id="13">
    <w:p w14:paraId="7E803FEA" w14:textId="487C7DA7" w:rsidR="00D21A02" w:rsidRDefault="00D21A02">
      <w:pPr>
        <w:pStyle w:val="FootnoteText"/>
      </w:pPr>
      <w:r>
        <w:rPr>
          <w:rStyle w:val="FootnoteReference"/>
        </w:rPr>
        <w:footnoteRef/>
      </w:r>
      <w:r>
        <w:t xml:space="preserve"> Stoneman</w:t>
      </w:r>
      <w:r w:rsidR="009A6B22">
        <w:t>,</w:t>
      </w:r>
      <w:r w:rsidR="009A6B22" w:rsidRPr="009A6B22">
        <w:t xml:space="preserve"> </w:t>
      </w:r>
      <w:r w:rsidR="009A6B22">
        <w:t>forthcoming</w:t>
      </w:r>
      <w:r w:rsidR="009A6B22">
        <w:t>,</w:t>
      </w:r>
      <w:r>
        <w:t xml:space="preserve"> 100</w:t>
      </w:r>
    </w:p>
  </w:footnote>
  <w:footnote w:id="14">
    <w:p w14:paraId="7C34071E" w14:textId="098F1427" w:rsidR="00D21A02" w:rsidRDefault="00D21A02">
      <w:pPr>
        <w:pStyle w:val="FootnoteText"/>
      </w:pPr>
      <w:r>
        <w:rPr>
          <w:rStyle w:val="FootnoteReference"/>
        </w:rPr>
        <w:footnoteRef/>
      </w:r>
      <w:r>
        <w:t xml:space="preserve"> Arrian IV.28</w:t>
      </w:r>
    </w:p>
  </w:footnote>
  <w:footnote w:id="15">
    <w:p w14:paraId="65704C8C" w14:textId="4CD6C676" w:rsidR="00D21A02" w:rsidRDefault="00D21A02">
      <w:pPr>
        <w:pStyle w:val="FootnoteText"/>
      </w:pPr>
      <w:r>
        <w:rPr>
          <w:rStyle w:val="FootnoteReference"/>
        </w:rPr>
        <w:footnoteRef/>
      </w:r>
      <w:r>
        <w:t xml:space="preserve"> Anson. 2015, 72</w:t>
      </w:r>
    </w:p>
  </w:footnote>
  <w:footnote w:id="16">
    <w:p w14:paraId="44EBD46B" w14:textId="6A39E0E1" w:rsidR="00D21A02" w:rsidRDefault="00D21A02">
      <w:pPr>
        <w:pStyle w:val="FootnoteText"/>
      </w:pPr>
      <w:r>
        <w:rPr>
          <w:rStyle w:val="FootnoteReference"/>
        </w:rPr>
        <w:footnoteRef/>
      </w:r>
      <w:r>
        <w:t xml:space="preserve"> </w:t>
      </w:r>
      <w:r w:rsidRPr="006A7ED4">
        <w:t>Puskás.</w:t>
      </w:r>
      <w:r>
        <w:t xml:space="preserve"> </w:t>
      </w:r>
      <w:r w:rsidRPr="006A7ED4">
        <w:t>1990</w:t>
      </w:r>
      <w:r>
        <w:t>, 40</w:t>
      </w:r>
    </w:p>
  </w:footnote>
  <w:footnote w:id="17">
    <w:p w14:paraId="1689DE51" w14:textId="144BA15D" w:rsidR="00D21A02" w:rsidRDefault="00D21A02">
      <w:pPr>
        <w:pStyle w:val="FootnoteText"/>
      </w:pPr>
      <w:r>
        <w:rPr>
          <w:rStyle w:val="FootnoteReference"/>
        </w:rPr>
        <w:footnoteRef/>
      </w:r>
      <w:r>
        <w:t xml:space="preserve"> Kosmin 2014. 40</w:t>
      </w:r>
    </w:p>
  </w:footnote>
  <w:footnote w:id="18">
    <w:p w14:paraId="63A62323" w14:textId="654FE997" w:rsidR="00D21A02" w:rsidRDefault="00D21A02">
      <w:pPr>
        <w:pStyle w:val="FootnoteText"/>
      </w:pPr>
      <w:r>
        <w:rPr>
          <w:rStyle w:val="FootnoteReference"/>
        </w:rPr>
        <w:footnoteRef/>
      </w:r>
      <w:r>
        <w:t xml:space="preserve"> Stoneman</w:t>
      </w:r>
      <w:r w:rsidR="009A6B22">
        <w:t>,</w:t>
      </w:r>
      <w:r w:rsidR="009A6B22" w:rsidRPr="009A6B22">
        <w:t xml:space="preserve"> </w:t>
      </w:r>
      <w:r w:rsidR="009A6B22">
        <w:t>forthcoming</w:t>
      </w:r>
      <w:r w:rsidR="009A6B22">
        <w:t>,</w:t>
      </w:r>
      <w:r>
        <w:t xml:space="preserve"> 95</w:t>
      </w:r>
    </w:p>
  </w:footnote>
  <w:footnote w:id="19">
    <w:p w14:paraId="14ABC375" w14:textId="1FEC363D" w:rsidR="00D21A02" w:rsidRDefault="00D21A02">
      <w:pPr>
        <w:pStyle w:val="FootnoteText"/>
      </w:pPr>
      <w:r>
        <w:rPr>
          <w:rStyle w:val="FootnoteReference"/>
        </w:rPr>
        <w:footnoteRef/>
      </w:r>
      <w:r>
        <w:t xml:space="preserve"> Kosmin. 2014, 40-1</w:t>
      </w:r>
    </w:p>
  </w:footnote>
  <w:footnote w:id="20">
    <w:p w14:paraId="6414F53E" w14:textId="2F30810E" w:rsidR="00D21A02" w:rsidRDefault="00D21A02">
      <w:pPr>
        <w:pStyle w:val="FootnoteText"/>
      </w:pPr>
      <w:r>
        <w:rPr>
          <w:rStyle w:val="FootnoteReference"/>
        </w:rPr>
        <w:footnoteRef/>
      </w:r>
      <w:r>
        <w:t xml:space="preserve"> </w:t>
      </w:r>
      <w:r w:rsidRPr="006A7ED4">
        <w:t>Puskás.</w:t>
      </w:r>
      <w:r>
        <w:t xml:space="preserve"> </w:t>
      </w:r>
      <w:r w:rsidRPr="006A7ED4">
        <w:t>1990</w:t>
      </w:r>
      <w:r>
        <w:t>, 42</w:t>
      </w:r>
    </w:p>
  </w:footnote>
  <w:footnote w:id="21">
    <w:p w14:paraId="058D6254" w14:textId="462DB0C7" w:rsidR="00D21A02" w:rsidRPr="003D69F3" w:rsidRDefault="00D21A02">
      <w:pPr>
        <w:pStyle w:val="FootnoteText"/>
      </w:pPr>
      <w:r>
        <w:rPr>
          <w:rStyle w:val="FootnoteReference"/>
        </w:rPr>
        <w:footnoteRef/>
      </w:r>
      <w:r>
        <w:t xml:space="preserve"> Eur. </w:t>
      </w:r>
      <w:r>
        <w:rPr>
          <w:i/>
        </w:rPr>
        <w:t>Ba.</w:t>
      </w:r>
      <w:r>
        <w:t xml:space="preserve"> 15, Hdt. 3.97 – both sources mention Dionysus coming from Nysa, Herodotus here mentions Ethiopia which was commonly confused with India in the Classical world.</w:t>
      </w:r>
    </w:p>
  </w:footnote>
  <w:footnote w:id="22">
    <w:p w14:paraId="3B24C26A" w14:textId="393D4B8A" w:rsidR="00D21A02" w:rsidRDefault="00D21A02">
      <w:pPr>
        <w:pStyle w:val="FootnoteText"/>
      </w:pPr>
      <w:r>
        <w:rPr>
          <w:rStyle w:val="FootnoteReference"/>
        </w:rPr>
        <w:footnoteRef/>
      </w:r>
      <w:r>
        <w:t xml:space="preserve"> Diod 2.39</w:t>
      </w:r>
    </w:p>
  </w:footnote>
  <w:footnote w:id="23">
    <w:p w14:paraId="2E378F40" w14:textId="564B7850" w:rsidR="00D21A02" w:rsidRDefault="00D21A02">
      <w:pPr>
        <w:pStyle w:val="FootnoteText"/>
      </w:pPr>
      <w:r>
        <w:rPr>
          <w:rStyle w:val="FootnoteReference"/>
        </w:rPr>
        <w:footnoteRef/>
      </w:r>
      <w:r>
        <w:t xml:space="preserve"> </w:t>
      </w:r>
      <w:r w:rsidRPr="006A7ED4">
        <w:t>Puskás.</w:t>
      </w:r>
      <w:r>
        <w:t xml:space="preserve"> </w:t>
      </w:r>
      <w:r w:rsidRPr="006A7ED4">
        <w:t>1990</w:t>
      </w:r>
      <w:r>
        <w:t>, 44</w:t>
      </w:r>
    </w:p>
  </w:footnote>
  <w:footnote w:id="24">
    <w:p w14:paraId="16F98BA6" w14:textId="368A23DD" w:rsidR="00D21A02" w:rsidRDefault="00D21A02">
      <w:pPr>
        <w:pStyle w:val="FootnoteText"/>
      </w:pPr>
      <w:r>
        <w:rPr>
          <w:rStyle w:val="FootnoteReference"/>
        </w:rPr>
        <w:footnoteRef/>
      </w:r>
      <w:r>
        <w:t xml:space="preserve"> </w:t>
      </w:r>
      <w:r w:rsidRPr="000E7D75">
        <w:rPr>
          <w:rFonts w:cstheme="minorHAnsi"/>
        </w:rPr>
        <w:t>O'Flaherty, W. 1980</w:t>
      </w:r>
      <w:r>
        <w:rPr>
          <w:rFonts w:cstheme="minorHAnsi"/>
        </w:rPr>
        <w:t xml:space="preserve"> 82</w:t>
      </w:r>
    </w:p>
  </w:footnote>
  <w:footnote w:id="25">
    <w:p w14:paraId="6FBA3E78" w14:textId="270EDB84" w:rsidR="00D21A02" w:rsidRDefault="00D21A02">
      <w:pPr>
        <w:pStyle w:val="FootnoteText"/>
      </w:pPr>
      <w:r>
        <w:rPr>
          <w:rStyle w:val="FootnoteReference"/>
        </w:rPr>
        <w:footnoteRef/>
      </w:r>
      <w:r>
        <w:t xml:space="preserve"> Stoneman</w:t>
      </w:r>
      <w:r w:rsidR="009A6B22">
        <w:t>,</w:t>
      </w:r>
      <w:r w:rsidR="009A6B22" w:rsidRPr="009A6B22">
        <w:t xml:space="preserve"> </w:t>
      </w:r>
      <w:r w:rsidR="009A6B22">
        <w:t>forthcoming</w:t>
      </w:r>
      <w:r w:rsidR="009A6B22">
        <w:t>,</w:t>
      </w:r>
      <w:r>
        <w:t xml:space="preserve"> 103</w:t>
      </w:r>
    </w:p>
  </w:footnote>
  <w:footnote w:id="26">
    <w:p w14:paraId="4E70FC42" w14:textId="77777777" w:rsidR="005C08EF" w:rsidRDefault="005C08EF">
      <w:pPr>
        <w:pStyle w:val="FootnoteText"/>
      </w:pPr>
      <w:r>
        <w:rPr>
          <w:rStyle w:val="FootnoteReference"/>
        </w:rPr>
        <w:footnoteRef/>
      </w:r>
      <w:r>
        <w:t xml:space="preserve"> </w:t>
      </w:r>
      <w:r w:rsidRPr="000E7D75">
        <w:rPr>
          <w:rFonts w:cstheme="minorHAnsi"/>
        </w:rPr>
        <w:t>Bryant. 2007</w:t>
      </w:r>
      <w:r>
        <w:rPr>
          <w:rFonts w:cstheme="minorHAnsi"/>
        </w:rPr>
        <w:t>. 5</w:t>
      </w:r>
    </w:p>
  </w:footnote>
  <w:footnote w:id="27">
    <w:p w14:paraId="12BF879C" w14:textId="1E487794" w:rsidR="00D21A02" w:rsidRDefault="00D21A02">
      <w:pPr>
        <w:pStyle w:val="FootnoteText"/>
      </w:pPr>
      <w:r>
        <w:rPr>
          <w:rStyle w:val="FootnoteReference"/>
        </w:rPr>
        <w:footnoteRef/>
      </w:r>
      <w:r>
        <w:t xml:space="preserve"> Stoneman</w:t>
      </w:r>
      <w:r w:rsidR="009A6B22">
        <w:t>,</w:t>
      </w:r>
      <w:r w:rsidR="009A6B22" w:rsidRPr="009A6B22">
        <w:t xml:space="preserve"> </w:t>
      </w:r>
      <w:r w:rsidR="009A6B22">
        <w:t>forthcoming</w:t>
      </w:r>
      <w:r w:rsidR="009A6B22">
        <w:t>,</w:t>
      </w:r>
      <w:r>
        <w:t xml:space="preserve"> 103</w:t>
      </w:r>
    </w:p>
  </w:footnote>
  <w:footnote w:id="28">
    <w:p w14:paraId="1D0FAB38" w14:textId="405AAF05" w:rsidR="00D21A02" w:rsidRDefault="00D21A02">
      <w:pPr>
        <w:pStyle w:val="FootnoteText"/>
      </w:pPr>
      <w:r>
        <w:rPr>
          <w:rStyle w:val="FootnoteReference"/>
        </w:rPr>
        <w:footnoteRef/>
      </w:r>
      <w:r>
        <w:t xml:space="preserve"> </w:t>
      </w:r>
      <w:r w:rsidRPr="006A7ED4">
        <w:t>Puskás.</w:t>
      </w:r>
      <w:r>
        <w:t xml:space="preserve"> </w:t>
      </w:r>
      <w:r w:rsidRPr="006A7ED4">
        <w:t>1990</w:t>
      </w:r>
      <w:r>
        <w:t>, 43</w:t>
      </w:r>
    </w:p>
  </w:footnote>
  <w:footnote w:id="29">
    <w:p w14:paraId="56A09819" w14:textId="49966CE7" w:rsidR="005755DA" w:rsidRDefault="005755DA">
      <w:pPr>
        <w:pStyle w:val="FootnoteText"/>
      </w:pPr>
      <w:r>
        <w:rPr>
          <w:rStyle w:val="FootnoteReference"/>
        </w:rPr>
        <w:footnoteRef/>
      </w:r>
      <w:r>
        <w:t xml:space="preserve"> Strabo. Geog.15.58 – mentions that there is an occasional parallel drawn, this is mainly seen in Roman mosaics however</w:t>
      </w:r>
    </w:p>
  </w:footnote>
  <w:footnote w:id="30">
    <w:p w14:paraId="657AA334" w14:textId="2EC34434" w:rsidR="008705EC" w:rsidRDefault="008705EC">
      <w:pPr>
        <w:pStyle w:val="FootnoteText"/>
      </w:pPr>
      <w:r>
        <w:rPr>
          <w:rStyle w:val="FootnoteReference"/>
        </w:rPr>
        <w:footnoteRef/>
      </w:r>
      <w:r>
        <w:t xml:space="preserve"> Stoneman</w:t>
      </w:r>
      <w:r w:rsidR="009A6B22">
        <w:t xml:space="preserve">, </w:t>
      </w:r>
      <w:r w:rsidR="009A6B22">
        <w:t>forthcoming</w:t>
      </w:r>
      <w:r w:rsidR="009A6B22">
        <w:t>,</w:t>
      </w:r>
      <w:r>
        <w:t xml:space="preserve"> 109 – ancient Siva may have been different to how the deity is viewed now.</w:t>
      </w:r>
    </w:p>
  </w:footnote>
  <w:footnote w:id="31">
    <w:p w14:paraId="744AE385" w14:textId="32642E09" w:rsidR="00C82D6E" w:rsidRDefault="00C82D6E">
      <w:pPr>
        <w:pStyle w:val="FootnoteText"/>
      </w:pPr>
      <w:r>
        <w:rPr>
          <w:rStyle w:val="FootnoteReference"/>
        </w:rPr>
        <w:footnoteRef/>
      </w:r>
      <w:r>
        <w:t xml:space="preserve"> Stoneman</w:t>
      </w:r>
      <w:r w:rsidR="009A6B22">
        <w:t xml:space="preserve">, </w:t>
      </w:r>
      <w:r w:rsidR="009A6B22">
        <w:t>forthcoming</w:t>
      </w:r>
      <w:r w:rsidR="009A6B22">
        <w:t>,</w:t>
      </w:r>
      <w:r>
        <w:t xml:space="preserve"> 103</w:t>
      </w:r>
    </w:p>
  </w:footnote>
  <w:footnote w:id="32">
    <w:p w14:paraId="6AE07D7F" w14:textId="4DC71C35" w:rsidR="00D21A02" w:rsidRDefault="00D21A02">
      <w:pPr>
        <w:pStyle w:val="FootnoteText"/>
      </w:pPr>
      <w:r>
        <w:rPr>
          <w:rStyle w:val="FootnoteReference"/>
        </w:rPr>
        <w:footnoteRef/>
      </w:r>
      <w:r>
        <w:t xml:space="preserve"> Stoneman</w:t>
      </w:r>
      <w:r w:rsidR="009A6B22">
        <w:t xml:space="preserve">, </w:t>
      </w:r>
      <w:r w:rsidR="009A6B22">
        <w:t>forthcoming</w:t>
      </w:r>
      <w:r w:rsidR="009A6B22">
        <w:t>,</w:t>
      </w:r>
      <w:r>
        <w:t xml:space="preserve"> 103</w:t>
      </w:r>
    </w:p>
  </w:footnote>
  <w:footnote w:id="33">
    <w:p w14:paraId="7393DB7A" w14:textId="55F2997C" w:rsidR="008705EC" w:rsidRDefault="008705EC">
      <w:pPr>
        <w:pStyle w:val="FootnoteText"/>
      </w:pPr>
      <w:r>
        <w:rPr>
          <w:rStyle w:val="FootnoteReference"/>
        </w:rPr>
        <w:footnoteRef/>
      </w:r>
      <w:r>
        <w:t xml:space="preserve"> </w:t>
      </w:r>
      <w:r w:rsidR="00C3742B">
        <w:t>Arrian</w:t>
      </w:r>
      <w:r w:rsidR="00C20CC4">
        <w:t xml:space="preserve"> IV.28 – lists multiple Heracles that are known/accepted</w:t>
      </w:r>
    </w:p>
  </w:footnote>
  <w:footnote w:id="34">
    <w:p w14:paraId="71A54F69" w14:textId="43726F8D" w:rsidR="008705EC" w:rsidRDefault="008705EC">
      <w:pPr>
        <w:pStyle w:val="FootnoteText"/>
      </w:pPr>
      <w:r>
        <w:rPr>
          <w:rStyle w:val="FootnoteReference"/>
        </w:rPr>
        <w:footnoteRef/>
      </w:r>
      <w:r>
        <w:t xml:space="preserve"> </w:t>
      </w:r>
      <w:r w:rsidR="00C20CC4">
        <w:t>Stoneman</w:t>
      </w:r>
      <w:r w:rsidR="009A6B22">
        <w:t>,</w:t>
      </w:r>
      <w:r w:rsidR="009A6B22" w:rsidRPr="009A6B22">
        <w:t xml:space="preserve"> </w:t>
      </w:r>
      <w:r w:rsidR="009A6B22">
        <w:t>forthcoming</w:t>
      </w:r>
      <w:r w:rsidR="009A6B22">
        <w:t>,</w:t>
      </w:r>
      <w:r w:rsidR="00C20CC4">
        <w:t xml:space="preserve"> 99 – referring to Dioxippus the wrestler</w:t>
      </w:r>
    </w:p>
  </w:footnote>
  <w:footnote w:id="35">
    <w:p w14:paraId="1515E157" w14:textId="073387DE" w:rsidR="00251B5B" w:rsidRDefault="00251B5B">
      <w:pPr>
        <w:pStyle w:val="FootnoteText"/>
      </w:pPr>
      <w:r>
        <w:rPr>
          <w:rStyle w:val="FootnoteReference"/>
        </w:rPr>
        <w:footnoteRef/>
      </w:r>
      <w:r>
        <w:t xml:space="preserve"> Boardman 2015. 93</w:t>
      </w:r>
    </w:p>
  </w:footnote>
  <w:footnote w:id="36">
    <w:p w14:paraId="68F0BC50" w14:textId="760E2159" w:rsidR="00251B5B" w:rsidRDefault="00251B5B">
      <w:pPr>
        <w:pStyle w:val="FootnoteText"/>
      </w:pPr>
      <w:r>
        <w:rPr>
          <w:rStyle w:val="FootnoteReference"/>
        </w:rPr>
        <w:footnoteRef/>
      </w:r>
      <w:r>
        <w:t xml:space="preserve"> </w:t>
      </w:r>
      <w:r w:rsidR="00474E87">
        <w:t xml:space="preserve">Stoneman, forthcoming, </w:t>
      </w:r>
      <w:r w:rsidR="00474E87">
        <w:t>108</w:t>
      </w:r>
      <w:bookmarkStart w:id="0" w:name="_GoBack"/>
      <w:bookmarkEnd w:id="0"/>
    </w:p>
  </w:footnote>
  <w:footnote w:id="37">
    <w:p w14:paraId="72F426A7" w14:textId="5D31DC35" w:rsidR="00B7504B" w:rsidRDefault="00B7504B">
      <w:pPr>
        <w:pStyle w:val="FootnoteText"/>
      </w:pPr>
      <w:r>
        <w:rPr>
          <w:rStyle w:val="FootnoteReference"/>
        </w:rPr>
        <w:footnoteRef/>
      </w:r>
      <w:r>
        <w:t xml:space="preserve"> Boardman. 2015, 145 – fig 81</w:t>
      </w:r>
    </w:p>
  </w:footnote>
  <w:footnote w:id="38">
    <w:p w14:paraId="072ECF82" w14:textId="2CA7D2D7" w:rsidR="00B7504B" w:rsidRDefault="00B7504B">
      <w:pPr>
        <w:pStyle w:val="FootnoteText"/>
      </w:pPr>
      <w:r>
        <w:rPr>
          <w:rStyle w:val="FootnoteReference"/>
        </w:rPr>
        <w:footnoteRef/>
      </w:r>
      <w:r>
        <w:t xml:space="preserve"> </w:t>
      </w:r>
      <w:r w:rsidRPr="00804DB2">
        <w:rPr>
          <w:rFonts w:cstheme="minorHAnsi"/>
          <w:color w:val="000000"/>
          <w:shd w:val="clear" w:color="auto" w:fill="FFFFFF"/>
        </w:rPr>
        <w:t>Schiltz</w:t>
      </w:r>
      <w:r>
        <w:rPr>
          <w:rFonts w:cstheme="minorHAnsi"/>
          <w:color w:val="000000"/>
          <w:shd w:val="clear" w:color="auto" w:fill="FFFFFF"/>
        </w:rPr>
        <w:t xml:space="preserve">. </w:t>
      </w:r>
      <w:r w:rsidRPr="00804DB2">
        <w:rPr>
          <w:rFonts w:cstheme="minorHAnsi"/>
          <w:color w:val="000000"/>
          <w:shd w:val="clear" w:color="auto" w:fill="FFFFFF"/>
        </w:rPr>
        <w:t>2011</w:t>
      </w:r>
      <w:r>
        <w:rPr>
          <w:rFonts w:cstheme="minorHAnsi"/>
          <w:color w:val="000000"/>
          <w:shd w:val="clear" w:color="auto" w:fill="FFFFFF"/>
        </w:rPr>
        <w:t>. Tomb VI</w:t>
      </w:r>
    </w:p>
  </w:footnote>
  <w:footnote w:id="39">
    <w:p w14:paraId="34EB1808" w14:textId="3965DCE5" w:rsidR="00C3742B" w:rsidRDefault="00C3742B">
      <w:pPr>
        <w:pStyle w:val="FootnoteText"/>
      </w:pPr>
      <w:r>
        <w:rPr>
          <w:rStyle w:val="FootnoteReference"/>
        </w:rPr>
        <w:footnoteRef/>
      </w:r>
      <w:r>
        <w:t xml:space="preserve"> Boardman 2015. 70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210"/>
    <w:rsid w:val="00053F7C"/>
    <w:rsid w:val="0006334E"/>
    <w:rsid w:val="000A0E7C"/>
    <w:rsid w:val="000C2F62"/>
    <w:rsid w:val="00101EBE"/>
    <w:rsid w:val="00111E26"/>
    <w:rsid w:val="001E0FB8"/>
    <w:rsid w:val="00215EDE"/>
    <w:rsid w:val="002355A4"/>
    <w:rsid w:val="00251B5B"/>
    <w:rsid w:val="002F3E7E"/>
    <w:rsid w:val="00346F88"/>
    <w:rsid w:val="003D69F3"/>
    <w:rsid w:val="003E4DD4"/>
    <w:rsid w:val="00474E87"/>
    <w:rsid w:val="0051307A"/>
    <w:rsid w:val="005755DA"/>
    <w:rsid w:val="005B433B"/>
    <w:rsid w:val="005C08EF"/>
    <w:rsid w:val="00600D9B"/>
    <w:rsid w:val="00611A6A"/>
    <w:rsid w:val="00671E96"/>
    <w:rsid w:val="006A7ED4"/>
    <w:rsid w:val="006F1D03"/>
    <w:rsid w:val="00710D3E"/>
    <w:rsid w:val="0071465A"/>
    <w:rsid w:val="007A2D0E"/>
    <w:rsid w:val="007C1A89"/>
    <w:rsid w:val="007D49DE"/>
    <w:rsid w:val="007E07FA"/>
    <w:rsid w:val="007E1175"/>
    <w:rsid w:val="00811AD0"/>
    <w:rsid w:val="008230E6"/>
    <w:rsid w:val="00864B9A"/>
    <w:rsid w:val="008705EC"/>
    <w:rsid w:val="009A6B22"/>
    <w:rsid w:val="00A842EA"/>
    <w:rsid w:val="00AB495A"/>
    <w:rsid w:val="00B15462"/>
    <w:rsid w:val="00B643CC"/>
    <w:rsid w:val="00B7504B"/>
    <w:rsid w:val="00B81210"/>
    <w:rsid w:val="00BB111B"/>
    <w:rsid w:val="00C02FF2"/>
    <w:rsid w:val="00C20CC4"/>
    <w:rsid w:val="00C3742B"/>
    <w:rsid w:val="00C45FA8"/>
    <w:rsid w:val="00C82D6E"/>
    <w:rsid w:val="00CC226F"/>
    <w:rsid w:val="00CC2D6F"/>
    <w:rsid w:val="00CF5C00"/>
    <w:rsid w:val="00D21A02"/>
    <w:rsid w:val="00D31DBA"/>
    <w:rsid w:val="00D40742"/>
    <w:rsid w:val="00D55B77"/>
    <w:rsid w:val="00E94FB5"/>
    <w:rsid w:val="00EF2542"/>
    <w:rsid w:val="00F16304"/>
    <w:rsid w:val="00F16D29"/>
    <w:rsid w:val="00FA6701"/>
    <w:rsid w:val="00FB41B6"/>
    <w:rsid w:val="00FE2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2FF182"/>
  <w14:defaultImageDpi w14:val="32767"/>
  <w15:chartTrackingRefBased/>
  <w15:docId w15:val="{62A03072-DD94-6048-84AE-42781794B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C226F"/>
    <w:rPr>
      <w:sz w:val="20"/>
      <w:szCs w:val="20"/>
    </w:rPr>
  </w:style>
  <w:style w:type="character" w:customStyle="1" w:styleId="FootnoteTextChar">
    <w:name w:val="Footnote Text Char"/>
    <w:basedOn w:val="DefaultParagraphFont"/>
    <w:link w:val="FootnoteText"/>
    <w:uiPriority w:val="99"/>
    <w:semiHidden/>
    <w:rsid w:val="00CC226F"/>
    <w:rPr>
      <w:sz w:val="20"/>
      <w:szCs w:val="20"/>
    </w:rPr>
  </w:style>
  <w:style w:type="character" w:styleId="FootnoteReference">
    <w:name w:val="footnote reference"/>
    <w:basedOn w:val="DefaultParagraphFont"/>
    <w:uiPriority w:val="99"/>
    <w:semiHidden/>
    <w:unhideWhenUsed/>
    <w:rsid w:val="00CC226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216310">
      <w:bodyDiv w:val="1"/>
      <w:marLeft w:val="0"/>
      <w:marRight w:val="0"/>
      <w:marTop w:val="0"/>
      <w:marBottom w:val="0"/>
      <w:divBdr>
        <w:top w:val="none" w:sz="0" w:space="0" w:color="auto"/>
        <w:left w:val="none" w:sz="0" w:space="0" w:color="auto"/>
        <w:bottom w:val="none" w:sz="0" w:space="0" w:color="auto"/>
        <w:right w:val="none" w:sz="0" w:space="0" w:color="auto"/>
      </w:divBdr>
    </w:div>
    <w:div w:id="707872925">
      <w:bodyDiv w:val="1"/>
      <w:marLeft w:val="0"/>
      <w:marRight w:val="0"/>
      <w:marTop w:val="0"/>
      <w:marBottom w:val="0"/>
      <w:divBdr>
        <w:top w:val="none" w:sz="0" w:space="0" w:color="auto"/>
        <w:left w:val="none" w:sz="0" w:space="0" w:color="auto"/>
        <w:bottom w:val="none" w:sz="0" w:space="0" w:color="auto"/>
        <w:right w:val="none" w:sz="0" w:space="0" w:color="auto"/>
      </w:divBdr>
    </w:div>
    <w:div w:id="787940571">
      <w:bodyDiv w:val="1"/>
      <w:marLeft w:val="0"/>
      <w:marRight w:val="0"/>
      <w:marTop w:val="0"/>
      <w:marBottom w:val="0"/>
      <w:divBdr>
        <w:top w:val="none" w:sz="0" w:space="0" w:color="auto"/>
        <w:left w:val="none" w:sz="0" w:space="0" w:color="auto"/>
        <w:bottom w:val="none" w:sz="0" w:space="0" w:color="auto"/>
        <w:right w:val="none" w:sz="0" w:space="0" w:color="auto"/>
      </w:divBdr>
    </w:div>
    <w:div w:id="1937899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5EA73D-A45D-9146-8638-4D402AE2F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TotalTime>
  <Pages>9</Pages>
  <Words>2186</Words>
  <Characters>11435</Characters>
  <Application>Microsoft Office Word</Application>
  <DocSecurity>0</DocSecurity>
  <Lines>170</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29</cp:revision>
  <dcterms:created xsi:type="dcterms:W3CDTF">2018-12-20T10:02:00Z</dcterms:created>
  <dcterms:modified xsi:type="dcterms:W3CDTF">2018-12-20T16:47:00Z</dcterms:modified>
</cp:coreProperties>
</file>