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B35B7C" w14:textId="77777777" w:rsidR="00F97169" w:rsidRDefault="00F97169" w:rsidP="000116F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36C99364" w14:textId="77777777" w:rsidR="00F97169" w:rsidRDefault="00F97169">
      <w:pPr>
        <w:rPr>
          <w:rFonts w:ascii="Times New Roman" w:eastAsia="Times New Roman" w:hAnsi="Times New Roman" w:cs="Times New Roman"/>
          <w:b/>
          <w:bCs/>
          <w:kern w:val="36"/>
          <w:sz w:val="48"/>
          <w:szCs w:val="48"/>
          <w:lang w:eastAsia="en-GB"/>
          <w14:ligatures w14:val="none"/>
        </w:rPr>
      </w:pPr>
    </w:p>
    <w:p w14:paraId="6E283A2B" w14:textId="77777777" w:rsidR="00EC35EA" w:rsidRDefault="00F97169">
      <w:pPr>
        <w:rPr>
          <w:rFonts w:ascii="Arial" w:hAnsi="Arial" w:cs="Arial"/>
          <w:b/>
          <w:bCs/>
          <w:sz w:val="36"/>
          <w:szCs w:val="36"/>
        </w:rPr>
      </w:pPr>
      <w:r w:rsidRPr="00EC35EA">
        <w:rPr>
          <w:rFonts w:ascii="Arial" w:hAnsi="Arial" w:cs="Arial"/>
          <w:b/>
          <w:bCs/>
          <w:sz w:val="36"/>
          <w:szCs w:val="36"/>
        </w:rPr>
        <w:t xml:space="preserve">Programme: BA (Hons) Business Management </w:t>
      </w:r>
    </w:p>
    <w:p w14:paraId="184C7178" w14:textId="77777777" w:rsidR="00EC35EA" w:rsidRDefault="00F97169">
      <w:pPr>
        <w:rPr>
          <w:rFonts w:ascii="Arial" w:hAnsi="Arial" w:cs="Arial"/>
          <w:b/>
          <w:bCs/>
          <w:sz w:val="36"/>
          <w:szCs w:val="36"/>
        </w:rPr>
      </w:pPr>
      <w:r w:rsidRPr="00EC35EA">
        <w:rPr>
          <w:rFonts w:ascii="Arial" w:hAnsi="Arial" w:cs="Arial"/>
          <w:b/>
          <w:bCs/>
          <w:sz w:val="36"/>
          <w:szCs w:val="36"/>
        </w:rPr>
        <w:t xml:space="preserve">Module: Management Accounting for Managers </w:t>
      </w:r>
    </w:p>
    <w:p w14:paraId="47A9C729" w14:textId="77777777" w:rsidR="00F97169" w:rsidRPr="00EC35EA" w:rsidRDefault="00F97169">
      <w:pPr>
        <w:rPr>
          <w:rFonts w:ascii="Arial" w:hAnsi="Arial" w:cs="Arial"/>
          <w:b/>
          <w:bCs/>
          <w:sz w:val="36"/>
          <w:szCs w:val="36"/>
        </w:rPr>
      </w:pPr>
      <w:r w:rsidRPr="00EC35EA">
        <w:rPr>
          <w:rFonts w:ascii="Arial" w:hAnsi="Arial" w:cs="Arial"/>
          <w:b/>
          <w:bCs/>
          <w:sz w:val="36"/>
          <w:szCs w:val="36"/>
        </w:rPr>
        <w:t>Module code: LCBB5010</w:t>
      </w:r>
    </w:p>
    <w:p w14:paraId="574A3D12" w14:textId="77777777" w:rsidR="00F97169" w:rsidRPr="00EC35EA" w:rsidRDefault="00F97169">
      <w:pPr>
        <w:rPr>
          <w:rFonts w:ascii="Arial" w:eastAsia="Times New Roman" w:hAnsi="Arial" w:cs="Arial"/>
          <w:b/>
          <w:bCs/>
          <w:kern w:val="36"/>
          <w:sz w:val="36"/>
          <w:szCs w:val="36"/>
          <w:lang w:eastAsia="en-GB"/>
          <w14:ligatures w14:val="none"/>
        </w:rPr>
      </w:pPr>
      <w:r w:rsidRPr="00EC35EA">
        <w:rPr>
          <w:rFonts w:ascii="Arial" w:hAnsi="Arial" w:cs="Arial"/>
          <w:b/>
          <w:bCs/>
          <w:sz w:val="36"/>
          <w:szCs w:val="36"/>
        </w:rPr>
        <w:t xml:space="preserve"> Lecturer/Module Leader:</w:t>
      </w:r>
    </w:p>
    <w:p w14:paraId="47A048CD" w14:textId="77777777" w:rsidR="002C3F2A" w:rsidRDefault="00F97169">
      <w:pPr>
        <w:rPr>
          <w:rFonts w:ascii="Arial" w:eastAsia="Times New Roman" w:hAnsi="Arial" w:cs="Arial"/>
          <w:b/>
          <w:bCs/>
          <w:kern w:val="36"/>
          <w:sz w:val="36"/>
          <w:szCs w:val="36"/>
          <w:lang w:eastAsia="en-GB"/>
          <w14:ligatures w14:val="none"/>
        </w:rPr>
      </w:pPr>
      <w:r w:rsidRPr="00EC35EA">
        <w:rPr>
          <w:rFonts w:ascii="Arial" w:eastAsia="Times New Roman" w:hAnsi="Arial" w:cs="Arial"/>
          <w:b/>
          <w:bCs/>
          <w:kern w:val="36"/>
          <w:sz w:val="36"/>
          <w:szCs w:val="36"/>
          <w:lang w:eastAsia="en-GB"/>
          <w14:ligatures w14:val="none"/>
        </w:rPr>
        <w:t>Student Name: Andrea Helen Walker</w:t>
      </w:r>
    </w:p>
    <w:p w14:paraId="1A6055F7" w14:textId="7EF118EE" w:rsidR="00F97169" w:rsidRPr="002C3F2A" w:rsidRDefault="002C3F2A">
      <w:pPr>
        <w:rPr>
          <w:rFonts w:ascii="Arial" w:eastAsia="Times New Roman" w:hAnsi="Arial" w:cs="Arial"/>
          <w:b/>
          <w:bCs/>
          <w:kern w:val="36"/>
          <w:sz w:val="36"/>
          <w:szCs w:val="36"/>
          <w:lang w:eastAsia="en-GB"/>
          <w14:ligatures w14:val="none"/>
        </w:rPr>
      </w:pPr>
      <w:r>
        <w:rPr>
          <w:rFonts w:ascii="Arial" w:eastAsia="Times New Roman" w:hAnsi="Arial" w:cs="Arial"/>
          <w:b/>
          <w:bCs/>
          <w:kern w:val="36"/>
          <w:sz w:val="36"/>
          <w:szCs w:val="36"/>
          <w:lang w:eastAsia="en-GB"/>
          <w14:ligatures w14:val="none"/>
        </w:rPr>
        <w:t>Student Number: 2308953</w:t>
      </w:r>
      <w:r w:rsidR="00F97169" w:rsidRPr="00EC35EA">
        <w:rPr>
          <w:rFonts w:ascii="Times New Roman" w:eastAsia="Times New Roman" w:hAnsi="Times New Roman" w:cs="Times New Roman"/>
          <w:b/>
          <w:bCs/>
          <w:kern w:val="36"/>
          <w:sz w:val="36"/>
          <w:szCs w:val="36"/>
          <w:lang w:eastAsia="en-GB"/>
          <w14:ligatures w14:val="none"/>
        </w:rPr>
        <w:br w:type="page"/>
      </w:r>
    </w:p>
    <w:p w14:paraId="7CCE9A00" w14:textId="77777777" w:rsidR="00420FAC" w:rsidRDefault="008A5B16">
      <w:r>
        <w:rPr>
          <w:b/>
        </w:rPr>
        <w:lastRenderedPageBreak/>
        <w:t>Table of Contents</w:t>
      </w:r>
    </w:p>
    <w:p w14:paraId="1CF6F7D3" w14:textId="77777777" w:rsidR="00420FAC" w:rsidRDefault="008A5B16">
      <w:r>
        <w:t>References ................................ 16</w:t>
      </w:r>
    </w:p>
    <w:p w14:paraId="498E1D03" w14:textId="77777777" w:rsidR="00420FAC" w:rsidRDefault="008A5B16">
      <w:r>
        <w:t>Recommendations ................................ 15</w:t>
      </w:r>
    </w:p>
    <w:p w14:paraId="6BFBE13E" w14:textId="77777777" w:rsidR="00420FAC" w:rsidRDefault="008A5B16">
      <w:r>
        <w:t>Conclusion ................................ 14</w:t>
      </w:r>
    </w:p>
    <w:p w14:paraId="38FCE99B" w14:textId="77777777" w:rsidR="00420FAC" w:rsidRDefault="008A5B16">
      <w:r>
        <w:t>6. Conclusion and Recommendations ................................ 14</w:t>
      </w:r>
    </w:p>
    <w:p w14:paraId="599AB04E" w14:textId="77777777" w:rsidR="00420FAC" w:rsidRDefault="008A5B16">
      <w:r>
        <w:t>Ethical Issues in Cost Management ................................ 13</w:t>
      </w:r>
    </w:p>
    <w:p w14:paraId="1E6A87BD" w14:textId="77777777" w:rsidR="00420FAC" w:rsidRDefault="008A5B16">
      <w:r>
        <w:t>Sustainability in Financial Decision-Making ................................ 12</w:t>
      </w:r>
    </w:p>
    <w:p w14:paraId="77E62A9C" w14:textId="77777777" w:rsidR="00420FAC" w:rsidRDefault="008A5B16">
      <w:r>
        <w:t>5. Sustainability and Ethical Considerations ................................ 12</w:t>
      </w:r>
    </w:p>
    <w:p w14:paraId="53FD916A" w14:textId="77777777" w:rsidR="00420FAC" w:rsidRDefault="008A5B16">
      <w:r>
        <w:t>Strategic Decisions Supported by Management Accounting ................................ 11</w:t>
      </w:r>
    </w:p>
    <w:p w14:paraId="41C07B54" w14:textId="77777777" w:rsidR="00420FAC" w:rsidRDefault="008A5B16">
      <w:r>
        <w:t>Key Performance Indicators (KPIs) ................................ 10</w:t>
      </w:r>
    </w:p>
    <w:p w14:paraId="10482DF8" w14:textId="77777777" w:rsidR="00420FAC" w:rsidRDefault="008A5B16">
      <w:r>
        <w:t>4. Performance Measurement and Strategic Decision-Making ................................ 10</w:t>
      </w:r>
    </w:p>
    <w:p w14:paraId="3C183E83" w14:textId="77777777" w:rsidR="00420FAC" w:rsidRDefault="008A5B16">
      <w:r>
        <w:t>Variance Analysis and Budgetary Control ................................ 9</w:t>
      </w:r>
    </w:p>
    <w:p w14:paraId="09230302" w14:textId="77777777" w:rsidR="00420FAC" w:rsidRDefault="008A5B16">
      <w:r>
        <w:t>External Economic Factors ................................ 9</w:t>
      </w:r>
    </w:p>
    <w:p w14:paraId="1F3707EB" w14:textId="77777777" w:rsidR="00420FAC" w:rsidRDefault="008A5B16">
      <w:r>
        <w:t>Internal Strategic Factors ................................ 8</w:t>
      </w:r>
    </w:p>
    <w:p w14:paraId="1D3791F3" w14:textId="77777777" w:rsidR="00420FAC" w:rsidRDefault="008A5B16">
      <w:r>
        <w:t>Operating Expense Analysis ................................ 8</w:t>
      </w:r>
    </w:p>
    <w:p w14:paraId="77E6C701" w14:textId="77777777" w:rsidR="00420FAC" w:rsidRDefault="008A5B16">
      <w:r>
        <w:t>Capital Investment and Infrastructure Expansion ................................ 7</w:t>
      </w:r>
    </w:p>
    <w:p w14:paraId="6B6D6640" w14:textId="77777777" w:rsidR="00420FAC" w:rsidRDefault="008A5B16">
      <w:r>
        <w:t>Strategic Importance of Budgeting ................................ 6</w:t>
      </w:r>
    </w:p>
    <w:p w14:paraId="5EF88CE0" w14:textId="77777777" w:rsidR="00420FAC" w:rsidRDefault="008A5B16">
      <w:r>
        <w:t>3. Budgeting and Financial Planning ................................ 6</w:t>
      </w:r>
    </w:p>
    <w:p w14:paraId="00414F4F" w14:textId="77777777" w:rsidR="00420FAC" w:rsidRDefault="008A5B16">
      <w:r>
        <w:t>Activity-Based Costing and Cost Management ................................ 6</w:t>
      </w:r>
    </w:p>
    <w:p w14:paraId="648C4CAF" w14:textId="77777777" w:rsidR="00420FAC" w:rsidRDefault="008A5B16">
      <w:r>
        <w:t>Variable Costs ................................ 5</w:t>
      </w:r>
    </w:p>
    <w:p w14:paraId="7566BE3F" w14:textId="77777777" w:rsidR="00420FAC" w:rsidRDefault="008A5B16">
      <w:r>
        <w:t>Fixed Costs ................................ 4</w:t>
      </w:r>
    </w:p>
    <w:p w14:paraId="019D7BF7" w14:textId="77777777" w:rsidR="00420FAC" w:rsidRDefault="008A5B16">
      <w:r>
        <w:t>Cost Structure Analysis ................................ 4</w:t>
      </w:r>
    </w:p>
    <w:p w14:paraId="11A956A0" w14:textId="77777777" w:rsidR="00420FAC" w:rsidRDefault="008A5B16">
      <w:r>
        <w:t>Revenue Model ................................ 3</w:t>
      </w:r>
    </w:p>
    <w:p w14:paraId="286CEBD4" w14:textId="77777777" w:rsidR="00420FAC" w:rsidRDefault="008A5B16">
      <w:r>
        <w:t>2. Cost Analysis and Business Model ................................ 3</w:t>
      </w:r>
    </w:p>
    <w:p w14:paraId="759FEFBA" w14:textId="77777777" w:rsidR="00420FAC" w:rsidRDefault="008A5B16">
      <w:r>
        <w:t>1. Introduction ................................ 2</w:t>
      </w:r>
    </w:p>
    <w:p w14:paraId="13BCB49D" w14:textId="77777777" w:rsidR="00420FAC" w:rsidRDefault="008A5B16">
      <w:r>
        <w:t>Management Accounting and Financial Decision-Making at Amazon.com, Inc. ................................ 2</w:t>
      </w:r>
    </w:p>
    <w:p w14:paraId="49699478" w14:textId="77777777" w:rsidR="000116FB" w:rsidRPr="000116FB" w:rsidRDefault="000116FB" w:rsidP="000116F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0116FB">
        <w:rPr>
          <w:rFonts w:ascii="Times New Roman" w:eastAsia="Times New Roman" w:hAnsi="Times New Roman" w:cs="Times New Roman"/>
          <w:b/>
          <w:bCs/>
          <w:kern w:val="36"/>
          <w:sz w:val="48"/>
          <w:szCs w:val="48"/>
          <w:lang w:eastAsia="en-GB"/>
          <w14:ligatures w14:val="none"/>
        </w:rPr>
        <w:lastRenderedPageBreak/>
        <w:t>Management Accounting and Financial Decision-Making at Amazon.com, Inc.</w:t>
      </w:r>
    </w:p>
    <w:p w14:paraId="7271AA97" w14:textId="77777777" w:rsidR="000116FB" w:rsidRPr="000116FB" w:rsidRDefault="000116FB" w:rsidP="000116F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0116FB">
        <w:rPr>
          <w:rFonts w:ascii="Times New Roman" w:eastAsia="Times New Roman" w:hAnsi="Times New Roman" w:cs="Times New Roman"/>
          <w:b/>
          <w:bCs/>
          <w:kern w:val="0"/>
          <w:sz w:val="36"/>
          <w:szCs w:val="36"/>
          <w:lang w:eastAsia="en-GB"/>
          <w14:ligatures w14:val="none"/>
        </w:rPr>
        <w:t>1. Introduction</w:t>
      </w:r>
    </w:p>
    <w:p w14:paraId="0DAA4B62"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Amazon.com, Inc. is one of the most influential multinational corporations in the global digital economy. Founded by Jeff Bezos in 1994, the organisation initially operated as an online bookstore before diversifying into e-commerce, cloud computing, logistics, artificial intelligence, digital advertising, subscription services, and consumer electronics. Headquartered in Seattle, Amazon has developed a highly integrated business ecosystem that enables the company to achieve substantial economies of scale, operational efficiency, and market dominance.</w:t>
      </w:r>
    </w:p>
    <w:p w14:paraId="591AB110"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As of 2025, Amazon generated net sales exceeding $716 billion, making it one of the largest companies in the world by revenue. A significant proportion of its profitability is generated through Amazon Web Services (AWS), which remains the leading cloud computing platform globally. In addition, Amazon’s advertising division and subscription services continue to contribute strongly to overall financial performance. The company’s diversified business model reduces strategic dependence on any single revenue stream and strengthens long-term financial resilience.</w:t>
      </w:r>
    </w:p>
    <w:p w14:paraId="70079112"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Management accounting plays a central role in supporting Amazon’s strategic planning and operational decision-making. Modern multinational corporations operate within highly competitive and technologically dynamic environments where managers require accurate and timely financial information to support investment decisions, cost control, performance measurement, and risk management. Management accounting systems provide Amazon with the analytical tools necessary to evaluate operational efficiency, optimise resource allocation, forecast future demand, and maintain shareholder value.</w:t>
      </w:r>
      <w:r>
        <w:t xml:space="preserve"> (Atrill and McLaney, 2022; Drury, 2021)</w:t>
      </w:r>
    </w:p>
    <w:p w14:paraId="6D554CB5"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Furthermore, management accounting enables Amazon to align financial objectives with broader strategic goals such as innovation, customer satisfaction, sustainability, and long-term growth. Through advanced budgeting systems, cost-volume-profit analysis, activity-based costing, variance analysis, and performance measurement frameworks, Amazon can evaluate profitability across business segments while maintaining operational flexibility.</w:t>
      </w:r>
      <w:r>
        <w:t xml:space="preserve"> (Kaplan and Atkinson, 2020; Horngren et al., 2021)</w:t>
      </w:r>
    </w:p>
    <w:p w14:paraId="7C6CAE9E"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This report critically evaluates the role of management accounting in Amazon’s financial decision-making processes. The discussion examines the company’s cost structures, budgeting approaches, performance measurement systems, strategic investment decisions, and ethical considerations. The report also assesses how management accounting contributes to competitive advantage and sustainable growth within one of the world’s most complex digital enterprises.</w:t>
      </w:r>
      <w:r>
        <w:t xml:space="preserve"> (Otley and Emmanuel, 2021)</w:t>
      </w:r>
    </w:p>
    <w:p w14:paraId="7073CEC5" w14:textId="77777777" w:rsidR="000116FB" w:rsidRPr="000116FB" w:rsidRDefault="000116FB" w:rsidP="000116FB">
      <w:pPr>
        <w:spacing w:after="0" w:line="240" w:lineRule="auto"/>
        <w:rPr>
          <w:rFonts w:ascii="Arial" w:eastAsia="Times New Roman" w:hAnsi="Arial" w:cs="Arial"/>
          <w:kern w:val="0"/>
          <w:lang w:eastAsia="en-GB"/>
          <w14:ligatures w14:val="none"/>
        </w:rPr>
      </w:pPr>
    </w:p>
    <w:p w14:paraId="25D040A6" w14:textId="77777777" w:rsidR="000116FB" w:rsidRPr="000116FB" w:rsidRDefault="000116FB" w:rsidP="000116FB">
      <w:pPr>
        <w:spacing w:after="0" w:line="240" w:lineRule="auto"/>
        <w:rPr>
          <w:rFonts w:ascii="Arial" w:eastAsia="Times New Roman" w:hAnsi="Arial" w:cs="Arial"/>
          <w:kern w:val="0"/>
          <w:lang w:eastAsia="en-GB"/>
          <w14:ligatures w14:val="none"/>
        </w:rPr>
      </w:pPr>
    </w:p>
    <w:p w14:paraId="414CD521" w14:textId="77777777" w:rsidR="000116FB" w:rsidRPr="000116FB" w:rsidRDefault="000116FB" w:rsidP="000116FB">
      <w:pPr>
        <w:spacing w:after="0" w:line="240" w:lineRule="auto"/>
        <w:rPr>
          <w:rFonts w:ascii="Arial" w:eastAsia="Times New Roman" w:hAnsi="Arial" w:cs="Arial"/>
          <w:kern w:val="0"/>
          <w:lang w:eastAsia="en-GB"/>
          <w14:ligatures w14:val="none"/>
        </w:rPr>
      </w:pPr>
    </w:p>
    <w:p w14:paraId="3B992F00" w14:textId="77777777" w:rsidR="000116FB" w:rsidRPr="000116FB" w:rsidRDefault="000116FB" w:rsidP="000116FB">
      <w:pPr>
        <w:spacing w:before="100" w:beforeAutospacing="1" w:after="100" w:afterAutospacing="1" w:line="240" w:lineRule="auto"/>
        <w:outlineLvl w:val="0"/>
        <w:rPr>
          <w:rFonts w:ascii="Arial" w:eastAsia="Times New Roman" w:hAnsi="Arial" w:cs="Arial"/>
          <w:b/>
          <w:bCs/>
          <w:kern w:val="36"/>
          <w:sz w:val="48"/>
          <w:szCs w:val="48"/>
          <w:lang w:eastAsia="en-GB"/>
          <w14:ligatures w14:val="none"/>
        </w:rPr>
      </w:pPr>
      <w:r w:rsidRPr="000116FB">
        <w:rPr>
          <w:rFonts w:ascii="Arial" w:eastAsia="Times New Roman" w:hAnsi="Arial" w:cs="Arial"/>
          <w:b/>
          <w:bCs/>
          <w:kern w:val="36"/>
          <w:sz w:val="48"/>
          <w:szCs w:val="48"/>
          <w:lang w:eastAsia="en-GB"/>
          <w14:ligatures w14:val="none"/>
        </w:rPr>
        <w:t>2. Cost Analysis and Business Model</w:t>
      </w:r>
    </w:p>
    <w:p w14:paraId="7EACEEEF" w14:textId="77777777" w:rsidR="000116FB" w:rsidRPr="000116FB" w:rsidRDefault="000116FB" w:rsidP="000116FB">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0116FB">
        <w:rPr>
          <w:rFonts w:ascii="Arial" w:eastAsia="Times New Roman" w:hAnsi="Arial" w:cs="Arial"/>
          <w:b/>
          <w:bCs/>
          <w:kern w:val="0"/>
          <w:sz w:val="36"/>
          <w:szCs w:val="36"/>
          <w:lang w:eastAsia="en-GB"/>
          <w14:ligatures w14:val="none"/>
        </w:rPr>
        <w:t>Revenue Model</w:t>
      </w:r>
    </w:p>
    <w:p w14:paraId="4B574228"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Amazon operates a highly diversified revenue model that enhances both profitability and strategic stability. Unlike traditional retailers that rely primarily on product sales, Amazon generates income from multiple interrelated business segments. The company’s major revenue streams include:</w:t>
      </w:r>
      <w:r>
        <w:t xml:space="preserve"> (Amazon.com, Inc., 2025)</w:t>
      </w:r>
    </w:p>
    <w:p w14:paraId="6D91D1C5" w14:textId="77777777" w:rsidR="000116FB" w:rsidRPr="000116FB" w:rsidRDefault="000116FB" w:rsidP="000116FB">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Online retail sales</w:t>
      </w:r>
    </w:p>
    <w:p w14:paraId="0E295939" w14:textId="77777777" w:rsidR="000116FB" w:rsidRPr="000116FB" w:rsidRDefault="000116FB" w:rsidP="000116FB">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Third-party seller services</w:t>
      </w:r>
    </w:p>
    <w:p w14:paraId="63508D7D" w14:textId="77777777" w:rsidR="000116FB" w:rsidRPr="000116FB" w:rsidRDefault="000116FB" w:rsidP="000116FB">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Amazon Web Services (AWS)</w:t>
      </w:r>
    </w:p>
    <w:p w14:paraId="2450CD94" w14:textId="77777777" w:rsidR="000116FB" w:rsidRPr="000116FB" w:rsidRDefault="000116FB" w:rsidP="000116FB">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Subscription services such as Amazon Prime</w:t>
      </w:r>
    </w:p>
    <w:p w14:paraId="4AEB6016" w14:textId="77777777" w:rsidR="000116FB" w:rsidRPr="000116FB" w:rsidRDefault="000116FB" w:rsidP="000116FB">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Digital advertising services</w:t>
      </w:r>
    </w:p>
    <w:p w14:paraId="42D2041C" w14:textId="77777777" w:rsidR="000116FB" w:rsidRPr="000116FB" w:rsidRDefault="000116FB" w:rsidP="000116FB">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Licensing and media services</w:t>
      </w:r>
    </w:p>
    <w:p w14:paraId="0DF47107"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The diversification of revenue sources significantly reduces business risk because weaker performance in one division may be offset by stronger performance elsewhere. For example, during periods of reduced consumer spending, AWS and advertising services often continue generating strong cash flows due to long-term enterprise demand for cloud infrastructure and digital marketing.</w:t>
      </w:r>
    </w:p>
    <w:p w14:paraId="75A0DEA0" w14:textId="77777777" w:rsidR="006726F7" w:rsidRDefault="000D1EF3">
      <w:pPr>
        <w:jc w:val="center"/>
      </w:pPr>
      <w:r>
        <w:rPr>
          <w:noProof/>
        </w:rPr>
        <w:drawing>
          <wp:inline distT="0" distB="0" distL="0" distR="0" wp14:anchorId="7D7874E8" wp14:editId="1129E5B7">
            <wp:extent cx="4389120" cy="392904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venue_mix_inline.png"/>
                    <pic:cNvPicPr/>
                  </pic:nvPicPr>
                  <pic:blipFill>
                    <a:blip r:embed="rId7"/>
                    <a:stretch>
                      <a:fillRect/>
                    </a:stretch>
                  </pic:blipFill>
                  <pic:spPr>
                    <a:xfrm>
                      <a:off x="0" y="0"/>
                      <a:ext cx="4389120" cy="3929044"/>
                    </a:xfrm>
                    <a:prstGeom prst="rect">
                      <a:avLst/>
                    </a:prstGeom>
                  </pic:spPr>
                </pic:pic>
              </a:graphicData>
            </a:graphic>
          </wp:inline>
        </w:drawing>
      </w:r>
    </w:p>
    <w:p w14:paraId="37898C19" w14:textId="77777777" w:rsidR="00863E0A" w:rsidRDefault="00863E0A">
      <w:pPr>
        <w:jc w:val="center"/>
      </w:pPr>
    </w:p>
    <w:p w14:paraId="32D06B2E" w14:textId="77777777" w:rsidR="006726F7" w:rsidRDefault="000D1EF3">
      <w:pPr>
        <w:jc w:val="center"/>
      </w:pPr>
      <w:r>
        <w:t>Figure 1: Amazon Revenue Mix by Business Segment</w:t>
      </w:r>
    </w:p>
    <w:p w14:paraId="00ACA439"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AWS represents Amazon’s most profitable business segment because cloud computing services typically generate substantially higher operating margins than retail operations. Retail activities are characterised by intense price competition, low margins, and high fulfilment costs, whereas cloud computing benefits from scalability, recurring contracts, and lower marginal servicing costs. Consequently, management accounting information is essential in helping executives prioritise investment toward higher-margin business divisions.</w:t>
      </w:r>
      <w:r>
        <w:t xml:space="preserve"> (Amazon.com, Inc., 2025; Kaplan and Atkinson, 2020)</w:t>
      </w:r>
    </w:p>
    <w:p w14:paraId="7A24D062"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Amazon’s advertising business has also emerged as a major contributor to operating income. Through sponsored listings, data-driven advertising algorithms, and marketplace analytics, Amazon monetises its extensive customer data and digital traffic. This strategic expansion demonstrates how management accounting data can identify profitable growth opportunities beyond core retail activities.</w:t>
      </w:r>
    </w:p>
    <w:p w14:paraId="715B29D9" w14:textId="77777777" w:rsidR="000116FB" w:rsidRPr="000116FB" w:rsidRDefault="000116FB" w:rsidP="000116FB">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0116FB">
        <w:rPr>
          <w:rFonts w:ascii="Arial" w:eastAsia="Times New Roman" w:hAnsi="Arial" w:cs="Arial"/>
          <w:b/>
          <w:bCs/>
          <w:kern w:val="0"/>
          <w:sz w:val="36"/>
          <w:szCs w:val="36"/>
          <w:lang w:eastAsia="en-GB"/>
          <w14:ligatures w14:val="none"/>
        </w:rPr>
        <w:t>Cost Structure Analysis</w:t>
      </w:r>
      <w:r>
        <w:t xml:space="preserve"> (Drury, 2021; Bhimani et al., 2023)</w:t>
      </w:r>
    </w:p>
    <w:p w14:paraId="516164F0"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 xml:space="preserve">Effective management accounting requires organisations to distinguish between fixed costs and variable costs </w:t>
      </w:r>
      <w:r w:rsidR="00270331" w:rsidRPr="000116FB">
        <w:rPr>
          <w:rFonts w:ascii="Arial" w:eastAsia="Times New Roman" w:hAnsi="Arial" w:cs="Arial"/>
          <w:kern w:val="0"/>
          <w:lang w:eastAsia="en-GB"/>
          <w14:ligatures w14:val="none"/>
        </w:rPr>
        <w:t>to</w:t>
      </w:r>
      <w:r w:rsidRPr="000116FB">
        <w:rPr>
          <w:rFonts w:ascii="Arial" w:eastAsia="Times New Roman" w:hAnsi="Arial" w:cs="Arial"/>
          <w:kern w:val="0"/>
          <w:lang w:eastAsia="en-GB"/>
          <w14:ligatures w14:val="none"/>
        </w:rPr>
        <w:t xml:space="preserve"> improve planning, forecasting, and profitability analysis.</w:t>
      </w:r>
      <w:r>
        <w:t xml:space="preserve"> (Drury, 2021; Bhimani et al., 2023)</w:t>
      </w:r>
    </w:p>
    <w:p w14:paraId="206A35D0" w14:textId="77777777" w:rsidR="000116FB" w:rsidRPr="000116FB" w:rsidRDefault="000116FB" w:rsidP="000116FB">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0116FB">
        <w:rPr>
          <w:rFonts w:ascii="Arial" w:eastAsia="Times New Roman" w:hAnsi="Arial" w:cs="Arial"/>
          <w:b/>
          <w:bCs/>
          <w:kern w:val="0"/>
          <w:sz w:val="27"/>
          <w:szCs w:val="27"/>
          <w:lang w:eastAsia="en-GB"/>
          <w14:ligatures w14:val="none"/>
        </w:rPr>
        <w:t>Fixed Costs</w:t>
      </w:r>
    </w:p>
    <w:p w14:paraId="259F323F" w14:textId="77777777" w:rsid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Amazon incurs substantial fixed costs associated with maintaining its global infrastructure. These include:</w:t>
      </w:r>
    </w:p>
    <w:p w14:paraId="675771E0" w14:textId="77777777" w:rsidR="00270331" w:rsidRPr="000116FB" w:rsidRDefault="00270331" w:rsidP="000116FB">
      <w:pPr>
        <w:spacing w:before="100" w:beforeAutospacing="1" w:after="100" w:afterAutospacing="1" w:line="240" w:lineRule="auto"/>
        <w:rPr>
          <w:rFonts w:ascii="Arial" w:eastAsia="Times New Roman" w:hAnsi="Arial" w:cs="Arial"/>
          <w:kern w:val="0"/>
          <w:lang w:eastAsia="en-GB"/>
          <w14:ligatures w14:val="none"/>
        </w:rPr>
      </w:pPr>
    </w:p>
    <w:p w14:paraId="20B89A29" w14:textId="77777777" w:rsidR="000116FB" w:rsidRPr="000116FB" w:rsidRDefault="000116FB" w:rsidP="000116FB">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AWS data centres and cloud infrastructure</w:t>
      </w:r>
    </w:p>
    <w:p w14:paraId="64FECD11" w14:textId="77777777" w:rsidR="000116FB" w:rsidRPr="000116FB" w:rsidRDefault="000116FB" w:rsidP="000116FB">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Fulfilment centres and warehouse facilities</w:t>
      </w:r>
    </w:p>
    <w:p w14:paraId="1E0DEB88" w14:textId="77777777" w:rsidR="000116FB" w:rsidRPr="000116FB" w:rsidRDefault="000116FB" w:rsidP="000116FB">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Software development and technological infrastructure</w:t>
      </w:r>
    </w:p>
    <w:p w14:paraId="17117888" w14:textId="77777777" w:rsidR="000116FB" w:rsidRPr="000116FB" w:rsidRDefault="000116FB" w:rsidP="000116FB">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Long-term lease obligations</w:t>
      </w:r>
    </w:p>
    <w:p w14:paraId="1449AEC2" w14:textId="77777777" w:rsidR="000116FB" w:rsidRPr="000116FB" w:rsidRDefault="000116FB" w:rsidP="000116FB">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Administrative and corporate management expenses</w:t>
      </w:r>
    </w:p>
    <w:p w14:paraId="69C2088A" w14:textId="77777777" w:rsidR="000116FB" w:rsidRPr="000116FB" w:rsidRDefault="000116FB" w:rsidP="000116FB">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Research and development expenditure</w:t>
      </w:r>
    </w:p>
    <w:p w14:paraId="53CE7B96"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These costs remain relatively stable regardless of short-term fluctuations in sales volume. Amazon’s significant investment in infrastructure creates high operational leverage, meaning profitability can increase substantially once revenues exceed fixed cost thresholds.</w:t>
      </w:r>
    </w:p>
    <w:p w14:paraId="33680116" w14:textId="77777777" w:rsid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For example, AWS requires enormous upfront capital investment in servers, cooling systems, cybersecurity, and data management infrastructure. However, once established, additional customers can often be serviced at comparatively lower incremental costs. This scalability contributes significantly to AWS profitability.</w:t>
      </w:r>
    </w:p>
    <w:p w14:paraId="37FE696E" w14:textId="77777777" w:rsidR="000E3EA9" w:rsidRDefault="000E3EA9" w:rsidP="000116FB">
      <w:pPr>
        <w:spacing w:before="100" w:beforeAutospacing="1" w:after="100" w:afterAutospacing="1" w:line="240" w:lineRule="auto"/>
        <w:rPr>
          <w:rFonts w:ascii="Arial" w:eastAsia="Times New Roman" w:hAnsi="Arial" w:cs="Arial"/>
          <w:kern w:val="0"/>
          <w:lang w:eastAsia="en-GB"/>
          <w14:ligatures w14:val="none"/>
        </w:rPr>
      </w:pPr>
    </w:p>
    <w:p w14:paraId="361F82E5" w14:textId="77777777" w:rsidR="000E3EA9" w:rsidRDefault="000E3EA9" w:rsidP="000116FB">
      <w:pPr>
        <w:spacing w:before="100" w:beforeAutospacing="1" w:after="100" w:afterAutospacing="1" w:line="240" w:lineRule="auto"/>
        <w:rPr>
          <w:rFonts w:ascii="Arial" w:eastAsia="Times New Roman" w:hAnsi="Arial" w:cs="Arial"/>
          <w:kern w:val="0"/>
          <w:lang w:eastAsia="en-GB"/>
          <w14:ligatures w14:val="none"/>
        </w:rPr>
      </w:pPr>
    </w:p>
    <w:p w14:paraId="71ED4E2D" w14:textId="77777777" w:rsidR="000E3EA9" w:rsidRPr="000116FB" w:rsidRDefault="000E3EA9" w:rsidP="000116FB">
      <w:pPr>
        <w:spacing w:before="100" w:beforeAutospacing="1" w:after="100" w:afterAutospacing="1" w:line="240" w:lineRule="auto"/>
        <w:rPr>
          <w:rFonts w:ascii="Arial" w:eastAsia="Times New Roman" w:hAnsi="Arial" w:cs="Arial"/>
          <w:kern w:val="0"/>
          <w:lang w:eastAsia="en-GB"/>
          <w14:ligatures w14:val="none"/>
        </w:rPr>
      </w:pPr>
    </w:p>
    <w:p w14:paraId="37DCFD06" w14:textId="77777777" w:rsidR="000116FB" w:rsidRPr="000116FB" w:rsidRDefault="000116FB" w:rsidP="000116FB">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0116FB">
        <w:rPr>
          <w:rFonts w:ascii="Arial" w:eastAsia="Times New Roman" w:hAnsi="Arial" w:cs="Arial"/>
          <w:b/>
          <w:bCs/>
          <w:kern w:val="0"/>
          <w:sz w:val="27"/>
          <w:szCs w:val="27"/>
          <w:lang w:eastAsia="en-GB"/>
          <w14:ligatures w14:val="none"/>
        </w:rPr>
        <w:t>Variable Costs</w:t>
      </w:r>
    </w:p>
    <w:p w14:paraId="33E39F94"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Variable costs fluctuate according to sales volume and operational activity. Amazon’s key variable costs include:</w:t>
      </w:r>
    </w:p>
    <w:p w14:paraId="3E6DC6C9" w14:textId="77777777" w:rsidR="006726F7" w:rsidRDefault="000D1EF3">
      <w:pPr>
        <w:jc w:val="center"/>
      </w:pPr>
      <w:r>
        <w:rPr>
          <w:noProof/>
        </w:rPr>
        <w:drawing>
          <wp:inline distT="0" distB="0" distL="0" distR="0" wp14:anchorId="0F5E53A8" wp14:editId="30BC1405">
            <wp:extent cx="5303520" cy="303058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st_drivers_inline.png"/>
                    <pic:cNvPicPr/>
                  </pic:nvPicPr>
                  <pic:blipFill>
                    <a:blip r:embed="rId8"/>
                    <a:stretch>
                      <a:fillRect/>
                    </a:stretch>
                  </pic:blipFill>
                  <pic:spPr>
                    <a:xfrm>
                      <a:off x="0" y="0"/>
                      <a:ext cx="5303520" cy="3030583"/>
                    </a:xfrm>
                    <a:prstGeom prst="rect">
                      <a:avLst/>
                    </a:prstGeom>
                  </pic:spPr>
                </pic:pic>
              </a:graphicData>
            </a:graphic>
          </wp:inline>
        </w:drawing>
      </w:r>
    </w:p>
    <w:p w14:paraId="146FD494" w14:textId="77777777" w:rsidR="006726F7" w:rsidRDefault="000D1EF3">
      <w:pPr>
        <w:jc w:val="center"/>
      </w:pPr>
      <w:r>
        <w:t>Figure 2: Amazon Fixed and Variable Cost Drivers</w:t>
      </w:r>
    </w:p>
    <w:p w14:paraId="213AF727" w14:textId="77777777" w:rsidR="000116FB" w:rsidRPr="000116FB" w:rsidRDefault="000116FB" w:rsidP="000116FB">
      <w:pPr>
        <w:numPr>
          <w:ilvl w:val="0"/>
          <w:numId w:val="3"/>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Shipping and transportation expenses</w:t>
      </w:r>
    </w:p>
    <w:p w14:paraId="6E284E49" w14:textId="77777777" w:rsidR="000116FB" w:rsidRPr="000116FB" w:rsidRDefault="000116FB" w:rsidP="000116FB">
      <w:pPr>
        <w:numPr>
          <w:ilvl w:val="0"/>
          <w:numId w:val="3"/>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Packaging materials</w:t>
      </w:r>
    </w:p>
    <w:p w14:paraId="1B502C6D" w14:textId="77777777" w:rsidR="000116FB" w:rsidRPr="000116FB" w:rsidRDefault="000116FB" w:rsidP="000116FB">
      <w:pPr>
        <w:numPr>
          <w:ilvl w:val="0"/>
          <w:numId w:val="3"/>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Inventory procurement</w:t>
      </w:r>
    </w:p>
    <w:p w14:paraId="6DC50645" w14:textId="77777777" w:rsidR="000116FB" w:rsidRPr="000116FB" w:rsidRDefault="000116FB" w:rsidP="000116FB">
      <w:pPr>
        <w:numPr>
          <w:ilvl w:val="0"/>
          <w:numId w:val="3"/>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Sales commissions</w:t>
      </w:r>
    </w:p>
    <w:p w14:paraId="3A8E7981" w14:textId="77777777" w:rsidR="000116FB" w:rsidRPr="000116FB" w:rsidRDefault="000116FB" w:rsidP="000116FB">
      <w:pPr>
        <w:numPr>
          <w:ilvl w:val="0"/>
          <w:numId w:val="3"/>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Delivery labour costs</w:t>
      </w:r>
    </w:p>
    <w:p w14:paraId="06D82E32" w14:textId="77777777" w:rsidR="000116FB" w:rsidRPr="000116FB" w:rsidRDefault="000116FB" w:rsidP="000116FB">
      <w:pPr>
        <w:numPr>
          <w:ilvl w:val="0"/>
          <w:numId w:val="3"/>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Customer service operations</w:t>
      </w:r>
    </w:p>
    <w:p w14:paraId="2E70EFF5"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Amazon’s logistics network represents one of the company’s largest cost drivers. Rising customer demand increases transportation, warehousing, and delivery expenses. Consequently, management accounting systems are critical in monitoring operational efficiency and identifying opportunities for cost reduction.</w:t>
      </w:r>
    </w:p>
    <w:p w14:paraId="3DB261E5" w14:textId="77777777" w:rsid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The company increasingly relies on automation and artificial intelligence to reduce variable costs over time. Robotics within fulfilment centres improve inventory handling efficiency, while AI-powered route optimisation systems reduce fuel consumption and delivery times. These investments demonstrate how management accounting supports long-term strategic cost management rather than merely short-term cost reduction.</w:t>
      </w:r>
    </w:p>
    <w:p w14:paraId="7F626A80" w14:textId="77777777" w:rsidR="000E3EA9" w:rsidRDefault="000E3EA9" w:rsidP="000116FB">
      <w:pPr>
        <w:spacing w:before="100" w:beforeAutospacing="1" w:after="100" w:afterAutospacing="1" w:line="240" w:lineRule="auto"/>
        <w:rPr>
          <w:rFonts w:ascii="Arial" w:eastAsia="Times New Roman" w:hAnsi="Arial" w:cs="Arial"/>
          <w:kern w:val="0"/>
          <w:lang w:eastAsia="en-GB"/>
          <w14:ligatures w14:val="none"/>
        </w:rPr>
      </w:pPr>
    </w:p>
    <w:p w14:paraId="7D9CA84F" w14:textId="77777777" w:rsidR="000E3EA9" w:rsidRDefault="000E3EA9" w:rsidP="000116FB">
      <w:pPr>
        <w:spacing w:before="100" w:beforeAutospacing="1" w:after="100" w:afterAutospacing="1" w:line="240" w:lineRule="auto"/>
        <w:rPr>
          <w:rFonts w:ascii="Arial" w:eastAsia="Times New Roman" w:hAnsi="Arial" w:cs="Arial"/>
          <w:kern w:val="0"/>
          <w:lang w:eastAsia="en-GB"/>
          <w14:ligatures w14:val="none"/>
        </w:rPr>
      </w:pPr>
    </w:p>
    <w:p w14:paraId="7DF1C99E" w14:textId="77777777" w:rsidR="000E3EA9" w:rsidRPr="000116FB" w:rsidRDefault="000E3EA9" w:rsidP="000116FB">
      <w:pPr>
        <w:spacing w:before="100" w:beforeAutospacing="1" w:after="100" w:afterAutospacing="1" w:line="240" w:lineRule="auto"/>
        <w:rPr>
          <w:rFonts w:ascii="Arial" w:eastAsia="Times New Roman" w:hAnsi="Arial" w:cs="Arial"/>
          <w:kern w:val="0"/>
          <w:lang w:eastAsia="en-GB"/>
          <w14:ligatures w14:val="none"/>
        </w:rPr>
      </w:pPr>
    </w:p>
    <w:p w14:paraId="3FD0BA65" w14:textId="77777777" w:rsidR="007E0916" w:rsidRDefault="000116FB" w:rsidP="000116FB">
      <w:pPr>
        <w:spacing w:before="100" w:beforeAutospacing="1" w:after="100" w:afterAutospacing="1" w:line="240" w:lineRule="auto"/>
        <w:outlineLvl w:val="1"/>
      </w:pPr>
      <w:r w:rsidRPr="000116FB">
        <w:rPr>
          <w:rFonts w:ascii="Arial" w:eastAsia="Times New Roman" w:hAnsi="Arial" w:cs="Arial"/>
          <w:b/>
          <w:bCs/>
          <w:kern w:val="0"/>
          <w:sz w:val="36"/>
          <w:szCs w:val="36"/>
          <w:lang w:eastAsia="en-GB"/>
          <w14:ligatures w14:val="none"/>
        </w:rPr>
        <w:t>Activity-Based Costing and Cost Management</w:t>
      </w:r>
      <w:r>
        <w:t xml:space="preserve"> </w:t>
      </w:r>
    </w:p>
    <w:p w14:paraId="458B823E" w14:textId="77777777" w:rsidR="000116FB" w:rsidRPr="000116FB" w:rsidRDefault="000116FB" w:rsidP="000116FB">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t>(Kaplan and Atkinson, 2020; Horngren et al., 2021)</w:t>
      </w:r>
    </w:p>
    <w:p w14:paraId="14105E4A"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Amazon applies principles consistent with activity-based costing (ABC) to identify cost drivers more accurately across its diverse operations. Traditional costing systems often allocate overheads using broad averages, which may distort profitability analysis in complex multinational organisations.</w:t>
      </w:r>
      <w:r>
        <w:t xml:space="preserve"> (Kaplan and Atkinson, 2020; Horngren et al., 2021)</w:t>
      </w:r>
    </w:p>
    <w:p w14:paraId="52FE0796"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Activity-based costing improves managerial decision-making by allocating indirect costs according to operational activities such as order processing, warehousing, cloud storage utilisation, and customer support interactions. This enables Amazon to identify which products, services, or customer segments generate the highest contribution margins.</w:t>
      </w:r>
      <w:r>
        <w:t xml:space="preserve"> (Kaplan and Atkinson, 2020; Horngren et al., 2021)</w:t>
      </w:r>
    </w:p>
    <w:p w14:paraId="7675E300"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For example, low-cost retail products may generate significant revenue but relatively low profit margins due to fulfilment and delivery costs. Conversely, AWS services typically involve lower servicing costs relative to revenue generation, producing substantially higher profitability. Management accounting information therefore enables executives to allocate capital toward activities that maximise shareholder value.</w:t>
      </w:r>
    </w:p>
    <w:p w14:paraId="23926B37"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Furthermore, contribution margin analysis assists Amazon in evaluating pricing strategies, promotional campaigns, and expansion opportunities. Managers can assess whether strategic initiatives contribute positively toward covering fixed costs and generating long-term profitability.</w:t>
      </w:r>
    </w:p>
    <w:p w14:paraId="4327EC54" w14:textId="77777777" w:rsidR="000116FB" w:rsidRPr="000116FB" w:rsidRDefault="000116FB" w:rsidP="000116FB">
      <w:pPr>
        <w:spacing w:after="0" w:line="240" w:lineRule="auto"/>
        <w:rPr>
          <w:rFonts w:ascii="Arial" w:eastAsia="Times New Roman" w:hAnsi="Arial" w:cs="Arial"/>
          <w:kern w:val="0"/>
          <w:lang w:eastAsia="en-GB"/>
          <w14:ligatures w14:val="none"/>
        </w:rPr>
      </w:pPr>
    </w:p>
    <w:p w14:paraId="6DA23A10" w14:textId="77777777" w:rsidR="000116FB" w:rsidRPr="000116FB" w:rsidRDefault="000116FB" w:rsidP="000116FB">
      <w:pPr>
        <w:spacing w:before="100" w:beforeAutospacing="1" w:after="100" w:afterAutospacing="1" w:line="240" w:lineRule="auto"/>
        <w:outlineLvl w:val="0"/>
        <w:rPr>
          <w:rFonts w:ascii="Arial" w:eastAsia="Times New Roman" w:hAnsi="Arial" w:cs="Arial"/>
          <w:b/>
          <w:bCs/>
          <w:kern w:val="36"/>
          <w:sz w:val="48"/>
          <w:szCs w:val="48"/>
          <w:lang w:eastAsia="en-GB"/>
          <w14:ligatures w14:val="none"/>
        </w:rPr>
      </w:pPr>
      <w:r w:rsidRPr="000116FB">
        <w:rPr>
          <w:rFonts w:ascii="Arial" w:eastAsia="Times New Roman" w:hAnsi="Arial" w:cs="Arial"/>
          <w:b/>
          <w:bCs/>
          <w:kern w:val="36"/>
          <w:sz w:val="48"/>
          <w:szCs w:val="48"/>
          <w:lang w:eastAsia="en-GB"/>
          <w14:ligatures w14:val="none"/>
        </w:rPr>
        <w:t>3. Budgeting and Financial Planning</w:t>
      </w:r>
    </w:p>
    <w:p w14:paraId="039A7911" w14:textId="77777777" w:rsidR="000116FB" w:rsidRPr="000116FB" w:rsidRDefault="000116FB" w:rsidP="000116FB">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0116FB">
        <w:rPr>
          <w:rFonts w:ascii="Arial" w:eastAsia="Times New Roman" w:hAnsi="Arial" w:cs="Arial"/>
          <w:b/>
          <w:bCs/>
          <w:kern w:val="0"/>
          <w:sz w:val="36"/>
          <w:szCs w:val="36"/>
          <w:lang w:eastAsia="en-GB"/>
          <w14:ligatures w14:val="none"/>
        </w:rPr>
        <w:t>Strategic Importance of Budgeting</w:t>
      </w:r>
    </w:p>
    <w:p w14:paraId="58234163"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Budgeting is a fundamental component of Amazon’s management control system. Given the scale and complexity of its global operations, budgeting enables the organisation to coordinate resources, forecast future demand, manage investment expenditure, and monitor financial performance.</w:t>
      </w:r>
      <w:r>
        <w:t xml:space="preserve"> (Merchant and Van der Stede, 2022; Hilton and Platt, 2022)</w:t>
      </w:r>
    </w:p>
    <w:p w14:paraId="5B90665A" w14:textId="77777777" w:rsid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 xml:space="preserve">Amazon adopts a flexible budgeting approach that allows management to adjust expenditure according to changing market conditions, technological developments, </w:t>
      </w:r>
      <w:r w:rsidRPr="000116FB">
        <w:rPr>
          <w:rFonts w:ascii="Arial" w:eastAsia="Times New Roman" w:hAnsi="Arial" w:cs="Arial"/>
          <w:kern w:val="0"/>
          <w:lang w:eastAsia="en-GB"/>
          <w14:ligatures w14:val="none"/>
        </w:rPr>
        <w:lastRenderedPageBreak/>
        <w:t>and customer demand patterns. Flexible budgeting is particularly important in rapidly evolving industries where rigid financial planning may reduce organisational responsiveness.</w:t>
      </w:r>
      <w:r>
        <w:t xml:space="preserve"> (Merchant and Van der Stede, 2022; Hilton and Platt, 2022)</w:t>
      </w:r>
    </w:p>
    <w:p w14:paraId="4DB38068" w14:textId="77777777" w:rsidR="00F62DC7" w:rsidRPr="000116FB" w:rsidRDefault="00F62DC7" w:rsidP="000116FB">
      <w:pPr>
        <w:spacing w:before="100" w:beforeAutospacing="1" w:after="100" w:afterAutospacing="1" w:line="240" w:lineRule="auto"/>
        <w:rPr>
          <w:rFonts w:ascii="Arial" w:eastAsia="Times New Roman" w:hAnsi="Arial" w:cs="Arial"/>
          <w:kern w:val="0"/>
          <w:lang w:eastAsia="en-GB"/>
          <w14:ligatures w14:val="none"/>
        </w:rPr>
      </w:pPr>
    </w:p>
    <w:p w14:paraId="7A51FD54" w14:textId="77777777" w:rsidR="006A7889"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Budgets are prepared across several operational divisions including:</w:t>
      </w:r>
    </w:p>
    <w:p w14:paraId="367080C5" w14:textId="77777777" w:rsidR="000116FB" w:rsidRPr="000116FB" w:rsidRDefault="000116FB" w:rsidP="000116FB">
      <w:pPr>
        <w:numPr>
          <w:ilvl w:val="0"/>
          <w:numId w:val="4"/>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Technology and infrastructure</w:t>
      </w:r>
    </w:p>
    <w:p w14:paraId="1508C5C8" w14:textId="77777777" w:rsidR="000116FB" w:rsidRPr="000116FB" w:rsidRDefault="000116FB" w:rsidP="000116FB">
      <w:pPr>
        <w:numPr>
          <w:ilvl w:val="0"/>
          <w:numId w:val="4"/>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Logistics and fulfilment</w:t>
      </w:r>
    </w:p>
    <w:p w14:paraId="0C9856B0" w14:textId="77777777" w:rsidR="000116FB" w:rsidRPr="000116FB" w:rsidRDefault="000116FB" w:rsidP="000116FB">
      <w:pPr>
        <w:numPr>
          <w:ilvl w:val="0"/>
          <w:numId w:val="4"/>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Marketing and advertising</w:t>
      </w:r>
    </w:p>
    <w:p w14:paraId="4B4246EC" w14:textId="77777777" w:rsidR="000116FB" w:rsidRPr="000116FB" w:rsidRDefault="000116FB" w:rsidP="000116FB">
      <w:pPr>
        <w:numPr>
          <w:ilvl w:val="0"/>
          <w:numId w:val="4"/>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Research and development</w:t>
      </w:r>
    </w:p>
    <w:p w14:paraId="48A7B349" w14:textId="77777777" w:rsidR="000116FB" w:rsidRPr="000116FB" w:rsidRDefault="000116FB" w:rsidP="000116FB">
      <w:pPr>
        <w:numPr>
          <w:ilvl w:val="0"/>
          <w:numId w:val="4"/>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Human resource management</w:t>
      </w:r>
    </w:p>
    <w:p w14:paraId="6495D268" w14:textId="77777777" w:rsidR="000116FB" w:rsidRPr="000116FB" w:rsidRDefault="000116FB" w:rsidP="000116FB">
      <w:pPr>
        <w:numPr>
          <w:ilvl w:val="0"/>
          <w:numId w:val="4"/>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International expansion projects</w:t>
      </w:r>
    </w:p>
    <w:p w14:paraId="62B5C648" w14:textId="77777777" w:rsid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Unlike static budgets, flexible budgeting enables Amazon to revise operational spending when business activity levels change significantly. This approach improves managerial adaptability and enhances decision-making accuracy.</w:t>
      </w:r>
      <w:r>
        <w:t xml:space="preserve"> (Merchant and Van der Stede, 2022; Hilton and Platt, 2022)</w:t>
      </w:r>
    </w:p>
    <w:p w14:paraId="7284A493"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p>
    <w:p w14:paraId="65AA953C" w14:textId="77777777" w:rsidR="000116FB" w:rsidRPr="000116FB" w:rsidRDefault="000116FB" w:rsidP="000116FB">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0116FB">
        <w:rPr>
          <w:rFonts w:ascii="Arial" w:eastAsia="Times New Roman" w:hAnsi="Arial" w:cs="Arial"/>
          <w:b/>
          <w:bCs/>
          <w:kern w:val="0"/>
          <w:sz w:val="36"/>
          <w:szCs w:val="36"/>
          <w:lang w:eastAsia="en-GB"/>
          <w14:ligatures w14:val="none"/>
        </w:rPr>
        <w:t>Capital Investment and Infrastructure Expansion</w:t>
      </w:r>
    </w:p>
    <w:p w14:paraId="5C2C061F"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Amazon invests heavily in long-term capital projects designed to strengthen operational efficiency and market competitiveness. Significant expenditure has been directed toward:</w:t>
      </w:r>
    </w:p>
    <w:p w14:paraId="1FF3BF9C" w14:textId="77777777" w:rsidR="000116FB" w:rsidRPr="000116FB" w:rsidRDefault="000116FB" w:rsidP="000116FB">
      <w:pPr>
        <w:numPr>
          <w:ilvl w:val="0"/>
          <w:numId w:val="5"/>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Artificial intelligence infrastructure</w:t>
      </w:r>
    </w:p>
    <w:p w14:paraId="650A902C" w14:textId="77777777" w:rsidR="000116FB" w:rsidRPr="000116FB" w:rsidRDefault="000116FB" w:rsidP="000116FB">
      <w:pPr>
        <w:numPr>
          <w:ilvl w:val="0"/>
          <w:numId w:val="5"/>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Data centre expansion</w:t>
      </w:r>
    </w:p>
    <w:p w14:paraId="6149D348" w14:textId="77777777" w:rsidR="000116FB" w:rsidRPr="000116FB" w:rsidRDefault="000116FB" w:rsidP="000116FB">
      <w:pPr>
        <w:numPr>
          <w:ilvl w:val="0"/>
          <w:numId w:val="5"/>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Warehouse automation systems</w:t>
      </w:r>
    </w:p>
    <w:p w14:paraId="683B4F30" w14:textId="77777777" w:rsidR="000116FB" w:rsidRPr="000116FB" w:rsidRDefault="000116FB" w:rsidP="000116FB">
      <w:pPr>
        <w:numPr>
          <w:ilvl w:val="0"/>
          <w:numId w:val="5"/>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Same-day delivery capabilities</w:t>
      </w:r>
    </w:p>
    <w:p w14:paraId="4659E311" w14:textId="77777777" w:rsidR="000116FB" w:rsidRPr="000116FB" w:rsidRDefault="000116FB" w:rsidP="000116FB">
      <w:pPr>
        <w:numPr>
          <w:ilvl w:val="0"/>
          <w:numId w:val="5"/>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Renewable energy projects</w:t>
      </w:r>
    </w:p>
    <w:p w14:paraId="0168DBF8" w14:textId="77777777" w:rsidR="000116FB" w:rsidRPr="000116FB" w:rsidRDefault="000116FB" w:rsidP="000116FB">
      <w:pPr>
        <w:numPr>
          <w:ilvl w:val="0"/>
          <w:numId w:val="5"/>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Robotics and machine learning technologies</w:t>
      </w:r>
    </w:p>
    <w:p w14:paraId="2ECB75F0"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Management accounting techniques such as investment appraisal, net present value (NPV), internal rate of return (IRR), and payback analysis support these strategic investment decisions. These techniques enable managers to assess expected future cash flows and evaluate whether projects will generate acceptable returns.</w:t>
      </w:r>
      <w:r>
        <w:t xml:space="preserve"> (Noreen et al., 2022; Zimmerman, 2021)</w:t>
      </w:r>
    </w:p>
    <w:p w14:paraId="4E783E8C" w14:textId="77777777" w:rsid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For example, Amazon’s investment in AI technologies is expected to improve logistics forecasting, customer recommendations, cybersecurity, and operational automation. Although such investments involve substantial short-term expenditure, management accounting analysis focuses on long-term profitability and strategic positioning.</w:t>
      </w:r>
    </w:p>
    <w:p w14:paraId="76045557" w14:textId="77777777" w:rsidR="000E3EA9" w:rsidRDefault="000E3EA9" w:rsidP="000116FB">
      <w:pPr>
        <w:spacing w:before="100" w:beforeAutospacing="1" w:after="100" w:afterAutospacing="1" w:line="240" w:lineRule="auto"/>
        <w:rPr>
          <w:rFonts w:ascii="Arial" w:eastAsia="Times New Roman" w:hAnsi="Arial" w:cs="Arial"/>
          <w:kern w:val="0"/>
          <w:lang w:eastAsia="en-GB"/>
          <w14:ligatures w14:val="none"/>
        </w:rPr>
      </w:pPr>
    </w:p>
    <w:p w14:paraId="1F4ACFE9" w14:textId="77777777" w:rsidR="000E3EA9" w:rsidRDefault="000E3EA9" w:rsidP="000116FB">
      <w:pPr>
        <w:spacing w:before="100" w:beforeAutospacing="1" w:after="100" w:afterAutospacing="1" w:line="240" w:lineRule="auto"/>
        <w:rPr>
          <w:rFonts w:ascii="Arial" w:eastAsia="Times New Roman" w:hAnsi="Arial" w:cs="Arial"/>
          <w:kern w:val="0"/>
          <w:lang w:eastAsia="en-GB"/>
          <w14:ligatures w14:val="none"/>
        </w:rPr>
      </w:pPr>
    </w:p>
    <w:p w14:paraId="1416E74D" w14:textId="77777777" w:rsidR="000E3EA9" w:rsidRDefault="000E3EA9" w:rsidP="000116FB">
      <w:pPr>
        <w:spacing w:before="100" w:beforeAutospacing="1" w:after="100" w:afterAutospacing="1" w:line="240" w:lineRule="auto"/>
        <w:rPr>
          <w:rFonts w:ascii="Arial" w:eastAsia="Times New Roman" w:hAnsi="Arial" w:cs="Arial"/>
          <w:kern w:val="0"/>
          <w:lang w:eastAsia="en-GB"/>
          <w14:ligatures w14:val="none"/>
        </w:rPr>
      </w:pPr>
    </w:p>
    <w:p w14:paraId="4DB43DA7" w14:textId="77777777" w:rsidR="000E3EA9" w:rsidRPr="000116FB" w:rsidRDefault="000E3EA9" w:rsidP="000116FB">
      <w:pPr>
        <w:spacing w:before="100" w:beforeAutospacing="1" w:after="100" w:afterAutospacing="1" w:line="240" w:lineRule="auto"/>
        <w:rPr>
          <w:rFonts w:ascii="Arial" w:eastAsia="Times New Roman" w:hAnsi="Arial" w:cs="Arial"/>
          <w:kern w:val="0"/>
          <w:lang w:eastAsia="en-GB"/>
          <w14:ligatures w14:val="none"/>
        </w:rPr>
      </w:pPr>
    </w:p>
    <w:p w14:paraId="16AE10DA" w14:textId="77777777" w:rsidR="000116FB" w:rsidRPr="000116FB" w:rsidRDefault="000116FB" w:rsidP="000116FB">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0116FB">
        <w:rPr>
          <w:rFonts w:ascii="Arial" w:eastAsia="Times New Roman" w:hAnsi="Arial" w:cs="Arial"/>
          <w:b/>
          <w:bCs/>
          <w:kern w:val="0"/>
          <w:sz w:val="36"/>
          <w:szCs w:val="36"/>
          <w:lang w:eastAsia="en-GB"/>
          <w14:ligatures w14:val="none"/>
        </w:rPr>
        <w:t>Operating Expense Analysis</w:t>
      </w:r>
    </w:p>
    <w:p w14:paraId="2EC9453A"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Amazon’s operating expenses increased substantially between 2024 and 2025 due to both internal strategic decisions and external macroeconomic pressures.</w:t>
      </w:r>
      <w:r>
        <w:t xml:space="preserve"> (Amazon.com, Inc., 2025; Macrotrends, 2026)</w:t>
      </w:r>
    </w:p>
    <w:p w14:paraId="7A71873A" w14:textId="77777777" w:rsidR="006726F7" w:rsidRDefault="000D1EF3">
      <w:pPr>
        <w:jc w:val="center"/>
      </w:pPr>
      <w:r>
        <w:rPr>
          <w:noProof/>
        </w:rPr>
        <w:drawing>
          <wp:inline distT="0" distB="0" distL="0" distR="0" wp14:anchorId="3A58E24D" wp14:editId="7EEE7FAE">
            <wp:extent cx="5029200" cy="3352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xpense_growth_inline.png"/>
                    <pic:cNvPicPr/>
                  </pic:nvPicPr>
                  <pic:blipFill>
                    <a:blip r:embed="rId9"/>
                    <a:stretch>
                      <a:fillRect/>
                    </a:stretch>
                  </pic:blipFill>
                  <pic:spPr>
                    <a:xfrm>
                      <a:off x="0" y="0"/>
                      <a:ext cx="5029200" cy="3352800"/>
                    </a:xfrm>
                    <a:prstGeom prst="rect">
                      <a:avLst/>
                    </a:prstGeom>
                  </pic:spPr>
                </pic:pic>
              </a:graphicData>
            </a:graphic>
          </wp:inline>
        </w:drawing>
      </w:r>
    </w:p>
    <w:p w14:paraId="705DAF02" w14:textId="77777777" w:rsidR="006726F7" w:rsidRDefault="000D1EF3">
      <w:pPr>
        <w:jc w:val="center"/>
      </w:pPr>
      <w:r>
        <w:t>Figure 3: Amazon Operating Expense Growth</w:t>
      </w:r>
    </w:p>
    <w:p w14:paraId="550FD224" w14:textId="77777777" w:rsidR="000116FB" w:rsidRPr="000116FB" w:rsidRDefault="000116FB" w:rsidP="000116FB">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0116FB">
        <w:rPr>
          <w:rFonts w:ascii="Arial" w:eastAsia="Times New Roman" w:hAnsi="Arial" w:cs="Arial"/>
          <w:b/>
          <w:bCs/>
          <w:kern w:val="0"/>
          <w:sz w:val="27"/>
          <w:szCs w:val="27"/>
          <w:lang w:eastAsia="en-GB"/>
          <w14:ligatures w14:val="none"/>
        </w:rPr>
        <w:t>Internal Strategic Factors</w:t>
      </w:r>
    </w:p>
    <w:p w14:paraId="5AFD9701" w14:textId="77777777" w:rsidR="000116FB" w:rsidRPr="000116FB" w:rsidRDefault="000116FB" w:rsidP="000116FB">
      <w:pPr>
        <w:spacing w:before="100" w:beforeAutospacing="1" w:after="100" w:afterAutospacing="1" w:line="240" w:lineRule="auto"/>
        <w:outlineLvl w:val="3"/>
        <w:rPr>
          <w:rFonts w:ascii="Arial" w:eastAsia="Times New Roman" w:hAnsi="Arial" w:cs="Arial"/>
          <w:b/>
          <w:bCs/>
          <w:kern w:val="0"/>
          <w:lang w:eastAsia="en-GB"/>
          <w14:ligatures w14:val="none"/>
        </w:rPr>
      </w:pPr>
      <w:r w:rsidRPr="000116FB">
        <w:rPr>
          <w:rFonts w:ascii="Arial" w:eastAsia="Times New Roman" w:hAnsi="Arial" w:cs="Arial"/>
          <w:b/>
          <w:bCs/>
          <w:kern w:val="0"/>
          <w:lang w:eastAsia="en-GB"/>
          <w14:ligatures w14:val="none"/>
        </w:rPr>
        <w:t>Investment in Artificial Intelligence and AWS</w:t>
      </w:r>
    </w:p>
    <w:p w14:paraId="4D96D8BB"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Amazon significantly increased spending on AI infrastructure and cloud computing capacity. The rapid growth of generative AI technologies increased demand for advanced computing services, requiring substantial investment in servers, semiconductors, and data centre infrastructure.</w:t>
      </w:r>
    </w:p>
    <w:p w14:paraId="2F054FD5" w14:textId="77777777" w:rsid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Management accounting systems assist executives in evaluating whether these investments generate sufficient long-term strategic value through improved margins and market share growth.</w:t>
      </w:r>
    </w:p>
    <w:p w14:paraId="79D4664F" w14:textId="77777777" w:rsidR="00F62DC7" w:rsidRDefault="00F62DC7" w:rsidP="000116FB">
      <w:pPr>
        <w:spacing w:before="100" w:beforeAutospacing="1" w:after="100" w:afterAutospacing="1" w:line="240" w:lineRule="auto"/>
        <w:rPr>
          <w:rFonts w:ascii="Arial" w:eastAsia="Times New Roman" w:hAnsi="Arial" w:cs="Arial"/>
          <w:kern w:val="0"/>
          <w:lang w:eastAsia="en-GB"/>
          <w14:ligatures w14:val="none"/>
        </w:rPr>
      </w:pPr>
    </w:p>
    <w:p w14:paraId="6465CCEC" w14:textId="77777777" w:rsidR="00F62DC7" w:rsidRPr="000116FB" w:rsidRDefault="00F62DC7" w:rsidP="000116FB">
      <w:pPr>
        <w:spacing w:before="100" w:beforeAutospacing="1" w:after="100" w:afterAutospacing="1" w:line="240" w:lineRule="auto"/>
        <w:rPr>
          <w:rFonts w:ascii="Arial" w:eastAsia="Times New Roman" w:hAnsi="Arial" w:cs="Arial"/>
          <w:kern w:val="0"/>
          <w:lang w:eastAsia="en-GB"/>
          <w14:ligatures w14:val="none"/>
        </w:rPr>
      </w:pPr>
    </w:p>
    <w:p w14:paraId="30736D0D" w14:textId="77777777" w:rsidR="000116FB" w:rsidRPr="000116FB" w:rsidRDefault="000116FB" w:rsidP="000116FB">
      <w:pPr>
        <w:spacing w:before="100" w:beforeAutospacing="1" w:after="100" w:afterAutospacing="1" w:line="240" w:lineRule="auto"/>
        <w:outlineLvl w:val="3"/>
        <w:rPr>
          <w:rFonts w:ascii="Arial" w:eastAsia="Times New Roman" w:hAnsi="Arial" w:cs="Arial"/>
          <w:b/>
          <w:bCs/>
          <w:kern w:val="0"/>
          <w:lang w:eastAsia="en-GB"/>
          <w14:ligatures w14:val="none"/>
        </w:rPr>
      </w:pPr>
      <w:r w:rsidRPr="000116FB">
        <w:rPr>
          <w:rFonts w:ascii="Arial" w:eastAsia="Times New Roman" w:hAnsi="Arial" w:cs="Arial"/>
          <w:b/>
          <w:bCs/>
          <w:kern w:val="0"/>
          <w:lang w:eastAsia="en-GB"/>
          <w14:ligatures w14:val="none"/>
        </w:rPr>
        <w:t>Expansion of Logistics Infrastructure</w:t>
      </w:r>
    </w:p>
    <w:p w14:paraId="572B541A" w14:textId="77777777" w:rsid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Amazon continued expanding regional fulfilment centres and same-day delivery networks. Although these initiatives increased operating costs in the short term, they improved customer satisfaction, delivery speed, and operational efficiency.</w:t>
      </w:r>
    </w:p>
    <w:p w14:paraId="3446551E" w14:textId="77777777" w:rsidR="000E3EA9" w:rsidRDefault="000E3EA9" w:rsidP="000116FB">
      <w:pPr>
        <w:spacing w:before="100" w:beforeAutospacing="1" w:after="100" w:afterAutospacing="1" w:line="240" w:lineRule="auto"/>
        <w:rPr>
          <w:rFonts w:ascii="Arial" w:eastAsia="Times New Roman" w:hAnsi="Arial" w:cs="Arial"/>
          <w:kern w:val="0"/>
          <w:lang w:eastAsia="en-GB"/>
          <w14:ligatures w14:val="none"/>
        </w:rPr>
      </w:pPr>
    </w:p>
    <w:p w14:paraId="093C3A6A" w14:textId="77777777" w:rsidR="000E3EA9" w:rsidRPr="000116FB" w:rsidRDefault="000E3EA9" w:rsidP="000116FB">
      <w:pPr>
        <w:spacing w:before="100" w:beforeAutospacing="1" w:after="100" w:afterAutospacing="1" w:line="240" w:lineRule="auto"/>
        <w:rPr>
          <w:rFonts w:ascii="Arial" w:eastAsia="Times New Roman" w:hAnsi="Arial" w:cs="Arial"/>
          <w:kern w:val="0"/>
          <w:lang w:eastAsia="en-GB"/>
          <w14:ligatures w14:val="none"/>
        </w:rPr>
      </w:pPr>
    </w:p>
    <w:p w14:paraId="6699B82B" w14:textId="77777777" w:rsidR="000116FB" w:rsidRPr="000116FB" w:rsidRDefault="000116FB" w:rsidP="000116FB">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0116FB">
        <w:rPr>
          <w:rFonts w:ascii="Arial" w:eastAsia="Times New Roman" w:hAnsi="Arial" w:cs="Arial"/>
          <w:b/>
          <w:bCs/>
          <w:kern w:val="0"/>
          <w:sz w:val="27"/>
          <w:szCs w:val="27"/>
          <w:lang w:eastAsia="en-GB"/>
          <w14:ligatures w14:val="none"/>
        </w:rPr>
        <w:t>External Economic Factors</w:t>
      </w:r>
    </w:p>
    <w:p w14:paraId="323B2449" w14:textId="77777777" w:rsidR="000116FB" w:rsidRPr="000116FB" w:rsidRDefault="000116FB" w:rsidP="000116FB">
      <w:pPr>
        <w:spacing w:before="100" w:beforeAutospacing="1" w:after="100" w:afterAutospacing="1" w:line="240" w:lineRule="auto"/>
        <w:outlineLvl w:val="3"/>
        <w:rPr>
          <w:rFonts w:ascii="Arial" w:eastAsia="Times New Roman" w:hAnsi="Arial" w:cs="Arial"/>
          <w:b/>
          <w:bCs/>
          <w:kern w:val="0"/>
          <w:lang w:eastAsia="en-GB"/>
          <w14:ligatures w14:val="none"/>
        </w:rPr>
      </w:pPr>
      <w:r w:rsidRPr="000116FB">
        <w:rPr>
          <w:rFonts w:ascii="Arial" w:eastAsia="Times New Roman" w:hAnsi="Arial" w:cs="Arial"/>
          <w:b/>
          <w:bCs/>
          <w:kern w:val="0"/>
          <w:lang w:eastAsia="en-GB"/>
          <w14:ligatures w14:val="none"/>
        </w:rPr>
        <w:t>Inflationary Pressures</w:t>
      </w:r>
      <w:r>
        <w:t xml:space="preserve"> (Amazon.com, Inc., 2025; Macrotrends, 2026)</w:t>
      </w:r>
    </w:p>
    <w:p w14:paraId="21EBD61E"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Global inflation significantly increased labour, transportation, and utility costs. Rising wages particularly affected warehouse operations and delivery services. Higher fuel costs also increased transportation expenditure across Amazon’s logistics network.</w:t>
      </w:r>
    </w:p>
    <w:p w14:paraId="6F820F51" w14:textId="77777777" w:rsidR="000116FB" w:rsidRPr="000116FB" w:rsidRDefault="000116FB" w:rsidP="000116FB">
      <w:pPr>
        <w:spacing w:before="100" w:beforeAutospacing="1" w:after="100" w:afterAutospacing="1" w:line="240" w:lineRule="auto"/>
        <w:outlineLvl w:val="3"/>
        <w:rPr>
          <w:rFonts w:ascii="Arial" w:eastAsia="Times New Roman" w:hAnsi="Arial" w:cs="Arial"/>
          <w:b/>
          <w:bCs/>
          <w:kern w:val="0"/>
          <w:lang w:eastAsia="en-GB"/>
          <w14:ligatures w14:val="none"/>
        </w:rPr>
      </w:pPr>
      <w:r w:rsidRPr="000116FB">
        <w:rPr>
          <w:rFonts w:ascii="Arial" w:eastAsia="Times New Roman" w:hAnsi="Arial" w:cs="Arial"/>
          <w:b/>
          <w:bCs/>
          <w:kern w:val="0"/>
          <w:lang w:eastAsia="en-GB"/>
          <w14:ligatures w14:val="none"/>
        </w:rPr>
        <w:t>Technological Demand Growth</w:t>
      </w:r>
    </w:p>
    <w:p w14:paraId="6B928F22"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Rapid expansion in cloud computing and AI markets increased demand for AWS infrastructure, requiring additional operational and capital expenditure.</w:t>
      </w:r>
    </w:p>
    <w:p w14:paraId="7089FD2A" w14:textId="77777777" w:rsidR="000116FB" w:rsidRPr="000116FB" w:rsidRDefault="000116FB" w:rsidP="000116FB">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0116FB">
        <w:rPr>
          <w:rFonts w:ascii="Arial" w:eastAsia="Times New Roman" w:hAnsi="Arial" w:cs="Arial"/>
          <w:b/>
          <w:bCs/>
          <w:kern w:val="0"/>
          <w:sz w:val="36"/>
          <w:szCs w:val="36"/>
          <w:lang w:eastAsia="en-GB"/>
          <w14:ligatures w14:val="none"/>
        </w:rPr>
        <w:t>Variance Analysis and Budgetary Control</w:t>
      </w:r>
    </w:p>
    <w:p w14:paraId="78C23129"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 xml:space="preserve">Variance analysis enables Amazon to compare actual financial performance against budgeted expectations. Management investigates significant deviations </w:t>
      </w:r>
      <w:r w:rsidR="002C45BA" w:rsidRPr="000116FB">
        <w:rPr>
          <w:rFonts w:ascii="Arial" w:eastAsia="Times New Roman" w:hAnsi="Arial" w:cs="Arial"/>
          <w:kern w:val="0"/>
          <w:lang w:eastAsia="en-GB"/>
          <w14:ligatures w14:val="none"/>
        </w:rPr>
        <w:t>to</w:t>
      </w:r>
      <w:r w:rsidRPr="000116FB">
        <w:rPr>
          <w:rFonts w:ascii="Arial" w:eastAsia="Times New Roman" w:hAnsi="Arial" w:cs="Arial"/>
          <w:kern w:val="0"/>
          <w:lang w:eastAsia="en-GB"/>
          <w14:ligatures w14:val="none"/>
        </w:rPr>
        <w:t xml:space="preserve"> identify operational inefficiencies, unexpected market changes, or forecasting inaccuracies.</w:t>
      </w:r>
      <w:r>
        <w:t xml:space="preserve"> (Drury, 2021; Merchant and Van der Stede, 2022)</w:t>
      </w:r>
    </w:p>
    <w:p w14:paraId="4CE4EA4E"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Favourable variances may indicate improved operational efficiency, whereas adverse variances could suggest overspending, declining productivity, or supply chain disruptions. Corrective actions are then implemented to improve future performance.</w:t>
      </w:r>
    </w:p>
    <w:p w14:paraId="04FD8848" w14:textId="77777777" w:rsid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This process strengthens managerial accountability and supports continuous performance improvement throughout the organisation.</w:t>
      </w:r>
    </w:p>
    <w:p w14:paraId="0D61F2BF" w14:textId="77777777" w:rsidR="009B4BEA" w:rsidRDefault="009B4BEA" w:rsidP="000116FB">
      <w:pPr>
        <w:spacing w:before="100" w:beforeAutospacing="1" w:after="100" w:afterAutospacing="1" w:line="240" w:lineRule="auto"/>
        <w:rPr>
          <w:rFonts w:ascii="Arial" w:eastAsia="Times New Roman" w:hAnsi="Arial" w:cs="Arial"/>
          <w:kern w:val="0"/>
          <w:lang w:eastAsia="en-GB"/>
          <w14:ligatures w14:val="none"/>
        </w:rPr>
      </w:pPr>
    </w:p>
    <w:p w14:paraId="01AA52E5" w14:textId="77777777" w:rsidR="009B4BEA" w:rsidRDefault="009B4BEA" w:rsidP="000116FB">
      <w:pPr>
        <w:spacing w:before="100" w:beforeAutospacing="1" w:after="100" w:afterAutospacing="1" w:line="240" w:lineRule="auto"/>
        <w:rPr>
          <w:rFonts w:ascii="Arial" w:eastAsia="Times New Roman" w:hAnsi="Arial" w:cs="Arial"/>
          <w:kern w:val="0"/>
          <w:lang w:eastAsia="en-GB"/>
          <w14:ligatures w14:val="none"/>
        </w:rPr>
      </w:pPr>
    </w:p>
    <w:p w14:paraId="7E3AD5EF" w14:textId="77777777" w:rsidR="009B4BEA" w:rsidRPr="000116FB" w:rsidRDefault="009B4BEA" w:rsidP="000116FB">
      <w:pPr>
        <w:spacing w:before="100" w:beforeAutospacing="1" w:after="100" w:afterAutospacing="1" w:line="240" w:lineRule="auto"/>
        <w:rPr>
          <w:rFonts w:ascii="Arial" w:eastAsia="Times New Roman" w:hAnsi="Arial" w:cs="Arial"/>
          <w:kern w:val="0"/>
          <w:lang w:eastAsia="en-GB"/>
          <w14:ligatures w14:val="none"/>
        </w:rPr>
      </w:pPr>
    </w:p>
    <w:p w14:paraId="322E1B40" w14:textId="77777777" w:rsidR="000116FB" w:rsidRPr="000116FB" w:rsidRDefault="000116FB" w:rsidP="000116FB">
      <w:pPr>
        <w:spacing w:after="0" w:line="240" w:lineRule="auto"/>
        <w:rPr>
          <w:rFonts w:ascii="Arial" w:eastAsia="Times New Roman" w:hAnsi="Arial" w:cs="Arial"/>
          <w:kern w:val="0"/>
          <w:lang w:eastAsia="en-GB"/>
          <w14:ligatures w14:val="none"/>
        </w:rPr>
      </w:pPr>
    </w:p>
    <w:p w14:paraId="2DD83B25" w14:textId="77777777" w:rsidR="000116FB" w:rsidRPr="000116FB" w:rsidRDefault="000116FB" w:rsidP="000116FB">
      <w:pPr>
        <w:spacing w:before="100" w:beforeAutospacing="1" w:after="100" w:afterAutospacing="1" w:line="240" w:lineRule="auto"/>
        <w:outlineLvl w:val="0"/>
        <w:rPr>
          <w:rFonts w:ascii="Arial" w:eastAsia="Times New Roman" w:hAnsi="Arial" w:cs="Arial"/>
          <w:b/>
          <w:bCs/>
          <w:kern w:val="36"/>
          <w:sz w:val="48"/>
          <w:szCs w:val="48"/>
          <w:lang w:eastAsia="en-GB"/>
          <w14:ligatures w14:val="none"/>
        </w:rPr>
      </w:pPr>
      <w:r w:rsidRPr="000116FB">
        <w:rPr>
          <w:rFonts w:ascii="Arial" w:eastAsia="Times New Roman" w:hAnsi="Arial" w:cs="Arial"/>
          <w:b/>
          <w:bCs/>
          <w:kern w:val="36"/>
          <w:sz w:val="48"/>
          <w:szCs w:val="48"/>
          <w:lang w:eastAsia="en-GB"/>
          <w14:ligatures w14:val="none"/>
        </w:rPr>
        <w:lastRenderedPageBreak/>
        <w:t>4. Performance Measurement and Strategic Decision-Making</w:t>
      </w:r>
    </w:p>
    <w:p w14:paraId="5B61CC90" w14:textId="77777777" w:rsidR="007E0916" w:rsidRDefault="000116FB" w:rsidP="000116FB">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0116FB">
        <w:rPr>
          <w:rFonts w:ascii="Arial" w:eastAsia="Times New Roman" w:hAnsi="Arial" w:cs="Arial"/>
          <w:b/>
          <w:bCs/>
          <w:kern w:val="0"/>
          <w:sz w:val="36"/>
          <w:szCs w:val="36"/>
          <w:lang w:eastAsia="en-GB"/>
          <w14:ligatures w14:val="none"/>
        </w:rPr>
        <w:t>Key Performance Indicators (KPIs)</w:t>
      </w:r>
    </w:p>
    <w:p w14:paraId="51F18D26" w14:textId="77777777" w:rsidR="000116FB" w:rsidRPr="000116FB" w:rsidRDefault="000116FB" w:rsidP="000116FB">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t xml:space="preserve"> (Otley and Emmanuel, 2021; Merchant and Van der Stede, 2022)</w:t>
      </w:r>
    </w:p>
    <w:p w14:paraId="3AC0C6AB" w14:textId="77777777" w:rsidR="006726F7" w:rsidRDefault="006726F7"/>
    <w:p w14:paraId="10925C20"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Performance measurement systems provide managers with essential information for evaluating operational effectiveness and supporting strategic decision-making.</w:t>
      </w:r>
      <w:r>
        <w:t xml:space="preserve"> (Otley and Emmanuel, 2021)</w:t>
      </w:r>
    </w:p>
    <w:p w14:paraId="59E4EE79" w14:textId="77777777" w:rsidR="000116FB" w:rsidRPr="000116FB" w:rsidRDefault="000116FB" w:rsidP="000116FB">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0116FB">
        <w:rPr>
          <w:rFonts w:ascii="Arial" w:eastAsia="Times New Roman" w:hAnsi="Arial" w:cs="Arial"/>
          <w:b/>
          <w:bCs/>
          <w:kern w:val="0"/>
          <w:sz w:val="27"/>
          <w:szCs w:val="27"/>
          <w:lang w:eastAsia="en-GB"/>
          <w14:ligatures w14:val="none"/>
        </w:rPr>
        <w:t>Revenue Growth</w:t>
      </w:r>
    </w:p>
    <w:p w14:paraId="3E9D704C"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Revenue growth reflects Amazon’s ability to expand market share and attract consumers across multiple business segments. Strong revenue growth often indicates successful strategic execution and effective customer acquisition.</w:t>
      </w:r>
    </w:p>
    <w:p w14:paraId="38E9F35E" w14:textId="77777777" w:rsidR="000116FB" w:rsidRPr="000116FB" w:rsidRDefault="000116FB" w:rsidP="000116FB">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0116FB">
        <w:rPr>
          <w:rFonts w:ascii="Arial" w:eastAsia="Times New Roman" w:hAnsi="Arial" w:cs="Arial"/>
          <w:b/>
          <w:bCs/>
          <w:kern w:val="0"/>
          <w:sz w:val="27"/>
          <w:szCs w:val="27"/>
          <w:lang w:eastAsia="en-GB"/>
          <w14:ligatures w14:val="none"/>
        </w:rPr>
        <w:t>Operating Income</w:t>
      </w:r>
    </w:p>
    <w:p w14:paraId="022A3C3D"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Operating income measures profitability generated from core operations before financing and taxation costs. This KPI is particularly important because it reflects operational efficiency and cost management effectiveness.</w:t>
      </w:r>
    </w:p>
    <w:p w14:paraId="29559088" w14:textId="77777777" w:rsidR="000116FB" w:rsidRPr="000116FB" w:rsidRDefault="000116FB" w:rsidP="000116FB">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0116FB">
        <w:rPr>
          <w:rFonts w:ascii="Arial" w:eastAsia="Times New Roman" w:hAnsi="Arial" w:cs="Arial"/>
          <w:b/>
          <w:bCs/>
          <w:kern w:val="0"/>
          <w:sz w:val="27"/>
          <w:szCs w:val="27"/>
          <w:lang w:eastAsia="en-GB"/>
          <w14:ligatures w14:val="none"/>
        </w:rPr>
        <w:t>AWS Revenue and Margin Growth</w:t>
      </w:r>
    </w:p>
    <w:p w14:paraId="529676DE"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AWS is Amazon’s highest-margin division and therefore receives significant managerial attention. Growth in AWS revenue directly influences overall corporate profitability and investor confidence.</w:t>
      </w:r>
    </w:p>
    <w:p w14:paraId="715AFBBC" w14:textId="77777777" w:rsidR="000116FB" w:rsidRPr="000116FB" w:rsidRDefault="000116FB" w:rsidP="000116FB">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0116FB">
        <w:rPr>
          <w:rFonts w:ascii="Arial" w:eastAsia="Times New Roman" w:hAnsi="Arial" w:cs="Arial"/>
          <w:b/>
          <w:bCs/>
          <w:kern w:val="0"/>
          <w:sz w:val="27"/>
          <w:szCs w:val="27"/>
          <w:lang w:eastAsia="en-GB"/>
          <w14:ligatures w14:val="none"/>
        </w:rPr>
        <w:t>Free Cash Flow</w:t>
      </w:r>
    </w:p>
    <w:p w14:paraId="4A785A60"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Free cash flow measures the amount of cash remaining after capital expenditure. Strong free cash flow enables Amazon to finance innovation, acquisitions, debt obligations, and shareholder returns without excessive external borrowing.</w:t>
      </w:r>
    </w:p>
    <w:p w14:paraId="062FF11E" w14:textId="77777777" w:rsidR="000116FB" w:rsidRPr="000116FB" w:rsidRDefault="000116FB" w:rsidP="000116FB">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0116FB">
        <w:rPr>
          <w:rFonts w:ascii="Arial" w:eastAsia="Times New Roman" w:hAnsi="Arial" w:cs="Arial"/>
          <w:b/>
          <w:bCs/>
          <w:kern w:val="0"/>
          <w:sz w:val="27"/>
          <w:szCs w:val="27"/>
          <w:lang w:eastAsia="en-GB"/>
          <w14:ligatures w14:val="none"/>
        </w:rPr>
        <w:t>Customer Satisfaction and Delivery Performance</w:t>
      </w:r>
    </w:p>
    <w:p w14:paraId="7841B003" w14:textId="77777777" w:rsidR="00EF02F2"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Non-financial performance indicators are equally important within Amazon’s business model. Delivery speed, order accuracy, customer retention, and satisfaction scores significantly influence long-term revenue growth and brand loyalty.</w:t>
      </w:r>
    </w:p>
    <w:p w14:paraId="0B0A5210"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lastRenderedPageBreak/>
        <w:t>Amazon’s emphasis on customer-centric performance measurement reflects modern management accounting theory, which recognises that financial performance alone cannot fully capture organisational success.</w:t>
      </w:r>
    </w:p>
    <w:p w14:paraId="25FAE3BD" w14:textId="77777777" w:rsidR="000116FB" w:rsidRPr="000116FB" w:rsidRDefault="000116FB" w:rsidP="000116FB">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0116FB">
        <w:rPr>
          <w:rFonts w:ascii="Arial" w:eastAsia="Times New Roman" w:hAnsi="Arial" w:cs="Arial"/>
          <w:b/>
          <w:bCs/>
          <w:kern w:val="0"/>
          <w:sz w:val="36"/>
          <w:szCs w:val="36"/>
          <w:lang w:eastAsia="en-GB"/>
          <w14:ligatures w14:val="none"/>
        </w:rPr>
        <w:t>Strategic Decisions Supported by Management Accounting</w:t>
      </w:r>
    </w:p>
    <w:p w14:paraId="24FF9EC8" w14:textId="77777777" w:rsidR="000116FB" w:rsidRPr="000116FB" w:rsidRDefault="000116FB" w:rsidP="000116FB">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0116FB">
        <w:rPr>
          <w:rFonts w:ascii="Arial" w:eastAsia="Times New Roman" w:hAnsi="Arial" w:cs="Arial"/>
          <w:b/>
          <w:bCs/>
          <w:kern w:val="0"/>
          <w:sz w:val="27"/>
          <w:szCs w:val="27"/>
          <w:lang w:eastAsia="en-GB"/>
          <w14:ligatures w14:val="none"/>
        </w:rPr>
        <w:t>Expansion of AWS</w:t>
      </w:r>
    </w:p>
    <w:p w14:paraId="7D7B1F51"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Financial analysis consistently demonstrated that AWS generated superior profit margins compared with retail operations. Consequently, Amazon increased investment in cloud computing infrastructure, cybersecurity, and AI capabilities to strengthen its competitive advantage.</w:t>
      </w:r>
    </w:p>
    <w:p w14:paraId="776D5D42" w14:textId="77777777" w:rsidR="000116FB" w:rsidRPr="000116FB" w:rsidRDefault="000116FB" w:rsidP="000116FB">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0116FB">
        <w:rPr>
          <w:rFonts w:ascii="Arial" w:eastAsia="Times New Roman" w:hAnsi="Arial" w:cs="Arial"/>
          <w:b/>
          <w:bCs/>
          <w:kern w:val="0"/>
          <w:sz w:val="27"/>
          <w:szCs w:val="27"/>
          <w:lang w:eastAsia="en-GB"/>
          <w14:ligatures w14:val="none"/>
        </w:rPr>
        <w:t>Growth of Advertising Services</w:t>
      </w:r>
    </w:p>
    <w:p w14:paraId="399FB07A" w14:textId="77777777" w:rsid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Performance data identified advertising as a rapidly growing and highly profitable business segment. Management therefore expanded advertising technologies and data analytics capabilities to compete more effectively against major digital advertising firms.</w:t>
      </w:r>
    </w:p>
    <w:p w14:paraId="3E4209C5" w14:textId="77777777" w:rsidR="000E3EA9" w:rsidRPr="000116FB" w:rsidRDefault="000E3EA9" w:rsidP="000116FB">
      <w:pPr>
        <w:spacing w:before="100" w:beforeAutospacing="1" w:after="100" w:afterAutospacing="1" w:line="240" w:lineRule="auto"/>
        <w:rPr>
          <w:rFonts w:ascii="Arial" w:eastAsia="Times New Roman" w:hAnsi="Arial" w:cs="Arial"/>
          <w:kern w:val="0"/>
          <w:lang w:eastAsia="en-GB"/>
          <w14:ligatures w14:val="none"/>
        </w:rPr>
      </w:pPr>
    </w:p>
    <w:p w14:paraId="067D8F0E" w14:textId="77777777" w:rsidR="000116FB" w:rsidRPr="000116FB" w:rsidRDefault="000116FB" w:rsidP="000116FB">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0116FB">
        <w:rPr>
          <w:rFonts w:ascii="Arial" w:eastAsia="Times New Roman" w:hAnsi="Arial" w:cs="Arial"/>
          <w:b/>
          <w:bCs/>
          <w:kern w:val="0"/>
          <w:sz w:val="27"/>
          <w:szCs w:val="27"/>
          <w:lang w:eastAsia="en-GB"/>
          <w14:ligatures w14:val="none"/>
        </w:rPr>
        <w:t>Operational Efficiency Programmes</w:t>
      </w:r>
    </w:p>
    <w:p w14:paraId="19E5C050"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Amazon implemented cost reduction strategies including robotics, warehouse automation, predictive analytics, and workforce optimisation initiatives. These programmes aimed to reduce fulfilment costs while maintaining service quality.</w:t>
      </w:r>
    </w:p>
    <w:p w14:paraId="1E0F87B2" w14:textId="77777777" w:rsidR="000116FB" w:rsidRPr="000116FB" w:rsidRDefault="000116FB" w:rsidP="000116FB">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0116FB">
        <w:rPr>
          <w:rFonts w:ascii="Arial" w:eastAsia="Times New Roman" w:hAnsi="Arial" w:cs="Arial"/>
          <w:b/>
          <w:bCs/>
          <w:kern w:val="0"/>
          <w:sz w:val="27"/>
          <w:szCs w:val="27"/>
          <w:lang w:eastAsia="en-GB"/>
          <w14:ligatures w14:val="none"/>
        </w:rPr>
        <w:t>AI Integration Across Operations</w:t>
      </w:r>
    </w:p>
    <w:p w14:paraId="54D567D8"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Artificial intelligence has become central to Amazon’s operational strategy. AI technologies support recommendation systems, fraud detection, inventory forecasting, voice recognition, and logistics optimisation.</w:t>
      </w:r>
    </w:p>
    <w:p w14:paraId="19FD9B71" w14:textId="77777777" w:rsid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Management accounting information enables executives to evaluate whether AI investments improve productivity, reduce costs, and generate sustainable competitive advantages.</w:t>
      </w:r>
    </w:p>
    <w:p w14:paraId="31410CF4" w14:textId="77777777" w:rsidR="009B4BEA" w:rsidRDefault="009B4BEA" w:rsidP="000116FB">
      <w:pPr>
        <w:spacing w:before="100" w:beforeAutospacing="1" w:after="100" w:afterAutospacing="1" w:line="240" w:lineRule="auto"/>
        <w:rPr>
          <w:rFonts w:ascii="Arial" w:eastAsia="Times New Roman" w:hAnsi="Arial" w:cs="Arial"/>
          <w:kern w:val="0"/>
          <w:lang w:eastAsia="en-GB"/>
          <w14:ligatures w14:val="none"/>
        </w:rPr>
      </w:pPr>
    </w:p>
    <w:p w14:paraId="279AAA62" w14:textId="77777777" w:rsidR="009B4BEA" w:rsidRDefault="009B4BEA" w:rsidP="000116FB">
      <w:pPr>
        <w:spacing w:before="100" w:beforeAutospacing="1" w:after="100" w:afterAutospacing="1" w:line="240" w:lineRule="auto"/>
        <w:rPr>
          <w:rFonts w:ascii="Arial" w:eastAsia="Times New Roman" w:hAnsi="Arial" w:cs="Arial"/>
          <w:kern w:val="0"/>
          <w:lang w:eastAsia="en-GB"/>
          <w14:ligatures w14:val="none"/>
        </w:rPr>
      </w:pPr>
    </w:p>
    <w:p w14:paraId="73873EDA" w14:textId="77777777" w:rsidR="009B4BEA" w:rsidRDefault="009B4BEA" w:rsidP="000116FB">
      <w:pPr>
        <w:spacing w:before="100" w:beforeAutospacing="1" w:after="100" w:afterAutospacing="1" w:line="240" w:lineRule="auto"/>
        <w:rPr>
          <w:rFonts w:ascii="Arial" w:eastAsia="Times New Roman" w:hAnsi="Arial" w:cs="Arial"/>
          <w:kern w:val="0"/>
          <w:lang w:eastAsia="en-GB"/>
          <w14:ligatures w14:val="none"/>
        </w:rPr>
      </w:pPr>
    </w:p>
    <w:p w14:paraId="26831574" w14:textId="77777777" w:rsidR="009B4BEA" w:rsidRDefault="009B4BEA" w:rsidP="000116FB">
      <w:pPr>
        <w:spacing w:before="100" w:beforeAutospacing="1" w:after="100" w:afterAutospacing="1" w:line="240" w:lineRule="auto"/>
        <w:rPr>
          <w:rFonts w:ascii="Arial" w:eastAsia="Times New Roman" w:hAnsi="Arial" w:cs="Arial"/>
          <w:kern w:val="0"/>
          <w:lang w:eastAsia="en-GB"/>
          <w14:ligatures w14:val="none"/>
        </w:rPr>
      </w:pPr>
    </w:p>
    <w:p w14:paraId="0DDAB81E" w14:textId="77777777" w:rsidR="000D22B6" w:rsidRPr="000116FB" w:rsidRDefault="000D22B6" w:rsidP="000116FB">
      <w:pPr>
        <w:spacing w:before="100" w:beforeAutospacing="1" w:after="100" w:afterAutospacing="1" w:line="240" w:lineRule="auto"/>
        <w:rPr>
          <w:rFonts w:ascii="Arial" w:eastAsia="Times New Roman" w:hAnsi="Arial" w:cs="Arial"/>
          <w:kern w:val="0"/>
          <w:lang w:eastAsia="en-GB"/>
          <w14:ligatures w14:val="none"/>
        </w:rPr>
      </w:pPr>
    </w:p>
    <w:p w14:paraId="1AD61A7D" w14:textId="77777777" w:rsidR="000116FB" w:rsidRPr="000116FB" w:rsidRDefault="000116FB" w:rsidP="000116FB">
      <w:pPr>
        <w:spacing w:after="0" w:line="240" w:lineRule="auto"/>
        <w:rPr>
          <w:rFonts w:ascii="Arial" w:eastAsia="Times New Roman" w:hAnsi="Arial" w:cs="Arial"/>
          <w:kern w:val="0"/>
          <w:lang w:eastAsia="en-GB"/>
          <w14:ligatures w14:val="none"/>
        </w:rPr>
      </w:pPr>
    </w:p>
    <w:p w14:paraId="22C2DABE" w14:textId="77777777" w:rsidR="000116FB" w:rsidRPr="000116FB" w:rsidRDefault="000116FB" w:rsidP="000116FB">
      <w:pPr>
        <w:spacing w:before="100" w:beforeAutospacing="1" w:after="100" w:afterAutospacing="1" w:line="240" w:lineRule="auto"/>
        <w:outlineLvl w:val="0"/>
        <w:rPr>
          <w:rFonts w:ascii="Arial" w:eastAsia="Times New Roman" w:hAnsi="Arial" w:cs="Arial"/>
          <w:b/>
          <w:bCs/>
          <w:kern w:val="36"/>
          <w:sz w:val="48"/>
          <w:szCs w:val="48"/>
          <w:lang w:eastAsia="en-GB"/>
          <w14:ligatures w14:val="none"/>
        </w:rPr>
      </w:pPr>
      <w:r w:rsidRPr="000116FB">
        <w:rPr>
          <w:rFonts w:ascii="Arial" w:eastAsia="Times New Roman" w:hAnsi="Arial" w:cs="Arial"/>
          <w:b/>
          <w:bCs/>
          <w:kern w:val="36"/>
          <w:sz w:val="48"/>
          <w:szCs w:val="48"/>
          <w:lang w:eastAsia="en-GB"/>
          <w14:ligatures w14:val="none"/>
        </w:rPr>
        <w:t>5. Sustainability and Ethical Considerations</w:t>
      </w:r>
    </w:p>
    <w:p w14:paraId="284E80BE" w14:textId="77777777" w:rsidR="000116FB" w:rsidRPr="000116FB" w:rsidRDefault="000116FB" w:rsidP="000116FB">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0116FB">
        <w:rPr>
          <w:rFonts w:ascii="Arial" w:eastAsia="Times New Roman" w:hAnsi="Arial" w:cs="Arial"/>
          <w:b/>
          <w:bCs/>
          <w:kern w:val="0"/>
          <w:sz w:val="36"/>
          <w:szCs w:val="36"/>
          <w:lang w:eastAsia="en-GB"/>
          <w14:ligatures w14:val="none"/>
        </w:rPr>
        <w:t>Sustainability in Financial Decision-Making</w:t>
      </w:r>
    </w:p>
    <w:p w14:paraId="66ADCB11"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Sustainability has become increasingly integrated into Amazon’s strategic planning and financial decision-making processes. The company’s Climate Pledge commitment aims to achieve net-zero carbon emissions by 2040.</w:t>
      </w:r>
      <w:r>
        <w:t xml:space="preserve"> (Amazon.com, Inc., 2025; World Economic Forum, 2024)</w:t>
      </w:r>
    </w:p>
    <w:p w14:paraId="34544768"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Amazon invests heavily in:</w:t>
      </w:r>
    </w:p>
    <w:p w14:paraId="204440C4" w14:textId="77777777" w:rsidR="000116FB" w:rsidRPr="000116FB" w:rsidRDefault="000116FB" w:rsidP="000116FB">
      <w:pPr>
        <w:numPr>
          <w:ilvl w:val="0"/>
          <w:numId w:val="6"/>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Renewable energy infrastructure</w:t>
      </w:r>
    </w:p>
    <w:p w14:paraId="75756CD3" w14:textId="77777777" w:rsidR="000116FB" w:rsidRPr="000116FB" w:rsidRDefault="000116FB" w:rsidP="000116FB">
      <w:pPr>
        <w:numPr>
          <w:ilvl w:val="0"/>
          <w:numId w:val="6"/>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Electric delivery vehicles</w:t>
      </w:r>
    </w:p>
    <w:p w14:paraId="34DCE1C0" w14:textId="77777777" w:rsidR="000116FB" w:rsidRPr="000116FB" w:rsidRDefault="000116FB" w:rsidP="000116FB">
      <w:pPr>
        <w:numPr>
          <w:ilvl w:val="0"/>
          <w:numId w:val="6"/>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Sustainable packaging solutions</w:t>
      </w:r>
    </w:p>
    <w:p w14:paraId="18CD4969" w14:textId="77777777" w:rsidR="000116FB" w:rsidRPr="000116FB" w:rsidRDefault="000116FB" w:rsidP="000116FB">
      <w:pPr>
        <w:numPr>
          <w:ilvl w:val="0"/>
          <w:numId w:val="6"/>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Energy-efficient data centres</w:t>
      </w:r>
    </w:p>
    <w:p w14:paraId="1685FFA3" w14:textId="77777777" w:rsidR="000116FB" w:rsidRPr="000116FB" w:rsidRDefault="000116FB" w:rsidP="000116FB">
      <w:pPr>
        <w:numPr>
          <w:ilvl w:val="0"/>
          <w:numId w:val="6"/>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Carbon reduction technologies</w:t>
      </w:r>
    </w:p>
    <w:p w14:paraId="2DACD66D"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Although these investments increase short-term operational costs, management expects substantial long-term benefits including lower energy expenses, improved regulatory compliance, enhanced corporate reputation, and stronger stakeholder confidence.</w:t>
      </w:r>
    </w:p>
    <w:p w14:paraId="5AAACEA4"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Management accounting techniques such as lifecycle costing and environmental management accounting assist Amazon in evaluating the long-term financial implications of sustainability initiatives.</w:t>
      </w:r>
    </w:p>
    <w:p w14:paraId="65C64883" w14:textId="77777777" w:rsid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Furthermore, investors increasingly consider environmental, social, and governance (ESG) performance when assessing corporate value. Consequently, sustainability is no longer viewed purely as an ethical responsibility but also as a strategic financial consideration.</w:t>
      </w:r>
    </w:p>
    <w:p w14:paraId="02D8A8C1" w14:textId="77777777" w:rsidR="00B85DC1" w:rsidRDefault="00B85DC1" w:rsidP="000116FB">
      <w:pPr>
        <w:spacing w:before="100" w:beforeAutospacing="1" w:after="100" w:afterAutospacing="1" w:line="240" w:lineRule="auto"/>
        <w:rPr>
          <w:rFonts w:ascii="Arial" w:eastAsia="Times New Roman" w:hAnsi="Arial" w:cs="Arial"/>
          <w:kern w:val="0"/>
          <w:lang w:eastAsia="en-GB"/>
          <w14:ligatures w14:val="none"/>
        </w:rPr>
      </w:pPr>
    </w:p>
    <w:p w14:paraId="4CCE9B73" w14:textId="77777777" w:rsidR="00B85DC1" w:rsidRDefault="00B85DC1" w:rsidP="000116FB">
      <w:pPr>
        <w:spacing w:before="100" w:beforeAutospacing="1" w:after="100" w:afterAutospacing="1" w:line="240" w:lineRule="auto"/>
        <w:rPr>
          <w:rFonts w:ascii="Arial" w:eastAsia="Times New Roman" w:hAnsi="Arial" w:cs="Arial"/>
          <w:kern w:val="0"/>
          <w:lang w:eastAsia="en-GB"/>
          <w14:ligatures w14:val="none"/>
        </w:rPr>
      </w:pPr>
    </w:p>
    <w:p w14:paraId="2D2E727B" w14:textId="77777777" w:rsidR="00B85DC1" w:rsidRDefault="00B85DC1" w:rsidP="000116FB">
      <w:pPr>
        <w:spacing w:before="100" w:beforeAutospacing="1" w:after="100" w:afterAutospacing="1" w:line="240" w:lineRule="auto"/>
        <w:rPr>
          <w:rFonts w:ascii="Arial" w:eastAsia="Times New Roman" w:hAnsi="Arial" w:cs="Arial"/>
          <w:kern w:val="0"/>
          <w:lang w:eastAsia="en-GB"/>
          <w14:ligatures w14:val="none"/>
        </w:rPr>
      </w:pPr>
    </w:p>
    <w:p w14:paraId="69EAB225" w14:textId="77777777" w:rsidR="00B85DC1" w:rsidRDefault="00B85DC1" w:rsidP="000116FB">
      <w:pPr>
        <w:spacing w:before="100" w:beforeAutospacing="1" w:after="100" w:afterAutospacing="1" w:line="240" w:lineRule="auto"/>
        <w:rPr>
          <w:rFonts w:ascii="Arial" w:eastAsia="Times New Roman" w:hAnsi="Arial" w:cs="Arial"/>
          <w:kern w:val="0"/>
          <w:lang w:eastAsia="en-GB"/>
          <w14:ligatures w14:val="none"/>
        </w:rPr>
      </w:pPr>
    </w:p>
    <w:p w14:paraId="6BC130FF" w14:textId="77777777" w:rsidR="00B85DC1" w:rsidRDefault="00B85DC1" w:rsidP="000116FB">
      <w:pPr>
        <w:spacing w:before="100" w:beforeAutospacing="1" w:after="100" w:afterAutospacing="1" w:line="240" w:lineRule="auto"/>
        <w:rPr>
          <w:rFonts w:ascii="Arial" w:eastAsia="Times New Roman" w:hAnsi="Arial" w:cs="Arial"/>
          <w:kern w:val="0"/>
          <w:lang w:eastAsia="en-GB"/>
          <w14:ligatures w14:val="none"/>
        </w:rPr>
      </w:pPr>
    </w:p>
    <w:p w14:paraId="6D8194A1" w14:textId="77777777" w:rsid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p>
    <w:p w14:paraId="1F2FD735" w14:textId="77777777" w:rsid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p>
    <w:p w14:paraId="095FC354"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p>
    <w:p w14:paraId="39D53466" w14:textId="77777777" w:rsidR="000116FB" w:rsidRPr="000116FB" w:rsidRDefault="000116FB" w:rsidP="000116FB">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0116FB">
        <w:rPr>
          <w:rFonts w:ascii="Arial" w:eastAsia="Times New Roman" w:hAnsi="Arial" w:cs="Arial"/>
          <w:b/>
          <w:bCs/>
          <w:kern w:val="0"/>
          <w:sz w:val="36"/>
          <w:szCs w:val="36"/>
          <w:lang w:eastAsia="en-GB"/>
          <w14:ligatures w14:val="none"/>
        </w:rPr>
        <w:t>Ethical Issues in Cost Management</w:t>
      </w:r>
    </w:p>
    <w:p w14:paraId="43480073"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Large multinational corporations frequently face ethical challenges when balancing profitability with stakeholder responsibilities.</w:t>
      </w:r>
      <w:r>
        <w:t xml:space="preserve"> (World Economic Forum, 2024; Merchant and Van der Stede, 2022)</w:t>
      </w:r>
    </w:p>
    <w:p w14:paraId="3C461BFC" w14:textId="77777777" w:rsidR="000116FB" w:rsidRPr="000116FB" w:rsidRDefault="000116FB" w:rsidP="000116FB">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0116FB">
        <w:rPr>
          <w:rFonts w:ascii="Arial" w:eastAsia="Times New Roman" w:hAnsi="Arial" w:cs="Arial"/>
          <w:b/>
          <w:bCs/>
          <w:kern w:val="0"/>
          <w:sz w:val="27"/>
          <w:szCs w:val="27"/>
          <w:lang w:eastAsia="en-GB"/>
          <w14:ligatures w14:val="none"/>
        </w:rPr>
        <w:t>Labour Practices</w:t>
      </w:r>
      <w:r>
        <w:t xml:space="preserve"> (World Economic Forum, 2024; Merchant and Van der Stede, 2022)</w:t>
      </w:r>
    </w:p>
    <w:p w14:paraId="68AC7513"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Amazon has faced criticism regarding warehouse working conditions, productivity targets, and employee welfare. Cost reduction initiatives must therefore be balanced against ethical responsibilities relating to workplace safety, fair wages, and employee wellbeing.</w:t>
      </w:r>
    </w:p>
    <w:p w14:paraId="3B1454A3" w14:textId="77777777" w:rsidR="000116FB" w:rsidRPr="000116FB" w:rsidRDefault="000116FB" w:rsidP="000116FB">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0116FB">
        <w:rPr>
          <w:rFonts w:ascii="Arial" w:eastAsia="Times New Roman" w:hAnsi="Arial" w:cs="Arial"/>
          <w:b/>
          <w:bCs/>
          <w:kern w:val="0"/>
          <w:sz w:val="27"/>
          <w:szCs w:val="27"/>
          <w:lang w:eastAsia="en-GB"/>
          <w14:ligatures w14:val="none"/>
        </w:rPr>
        <w:t>Dynamic Pricing Strategies</w:t>
      </w:r>
    </w:p>
    <w:p w14:paraId="15FFB8ED"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Amazon uses sophisticated dynamic pricing algorithms that adjust prices according to market conditions, competitor behaviour, and consumer demand patterns. While this strategy improves revenue optimisation, ethical concerns may arise if pricing practices appear exploitative or insufficiently transparent.</w:t>
      </w:r>
    </w:p>
    <w:p w14:paraId="0E66090F" w14:textId="77777777" w:rsidR="000116FB" w:rsidRPr="000116FB" w:rsidRDefault="000116FB" w:rsidP="000116FB">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0116FB">
        <w:rPr>
          <w:rFonts w:ascii="Arial" w:eastAsia="Times New Roman" w:hAnsi="Arial" w:cs="Arial"/>
          <w:b/>
          <w:bCs/>
          <w:kern w:val="0"/>
          <w:sz w:val="27"/>
          <w:szCs w:val="27"/>
          <w:lang w:eastAsia="en-GB"/>
          <w14:ligatures w14:val="none"/>
        </w:rPr>
        <w:t>Supplier Relationships</w:t>
      </w:r>
    </w:p>
    <w:p w14:paraId="7B763752"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Amazon possesses substantial bargaining power over smaller suppliers and third-party sellers. Ethical management requires maintaining fair contractual relationships and avoiding excessive pressure that could undermine supplier sustainability.</w:t>
      </w:r>
    </w:p>
    <w:p w14:paraId="013551CF" w14:textId="77777777" w:rsid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Strong ethical governance contributes significantly to long-term corporate reputation, stakeholder trust, and sustainable business performance.</w:t>
      </w:r>
    </w:p>
    <w:p w14:paraId="75901FFA" w14:textId="77777777" w:rsid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p>
    <w:p w14:paraId="3527B95A" w14:textId="77777777" w:rsid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p>
    <w:p w14:paraId="4FFE768E" w14:textId="77777777" w:rsid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p>
    <w:p w14:paraId="7016FCA6" w14:textId="77777777" w:rsid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p>
    <w:p w14:paraId="3CE76F0E" w14:textId="77777777" w:rsid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p>
    <w:p w14:paraId="159C4494" w14:textId="77777777" w:rsid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p>
    <w:p w14:paraId="26FFA919" w14:textId="77777777" w:rsid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p>
    <w:p w14:paraId="3906FAED" w14:textId="77777777" w:rsid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p>
    <w:p w14:paraId="5BD51D94"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p>
    <w:p w14:paraId="19DC9B8C" w14:textId="77777777" w:rsidR="000116FB" w:rsidRPr="000116FB" w:rsidRDefault="000116FB" w:rsidP="000116FB">
      <w:pPr>
        <w:spacing w:after="0" w:line="240" w:lineRule="auto"/>
        <w:rPr>
          <w:rFonts w:ascii="Arial" w:eastAsia="Times New Roman" w:hAnsi="Arial" w:cs="Arial"/>
          <w:kern w:val="0"/>
          <w:lang w:eastAsia="en-GB"/>
          <w14:ligatures w14:val="none"/>
        </w:rPr>
      </w:pPr>
    </w:p>
    <w:p w14:paraId="3F480919" w14:textId="77777777" w:rsidR="000116FB" w:rsidRPr="000116FB" w:rsidRDefault="000116FB" w:rsidP="000116FB">
      <w:pPr>
        <w:spacing w:before="100" w:beforeAutospacing="1" w:after="100" w:afterAutospacing="1" w:line="240" w:lineRule="auto"/>
        <w:outlineLvl w:val="0"/>
        <w:rPr>
          <w:rFonts w:ascii="Arial" w:eastAsia="Times New Roman" w:hAnsi="Arial" w:cs="Arial"/>
          <w:b/>
          <w:bCs/>
          <w:kern w:val="36"/>
          <w:sz w:val="48"/>
          <w:szCs w:val="48"/>
          <w:lang w:eastAsia="en-GB"/>
          <w14:ligatures w14:val="none"/>
        </w:rPr>
      </w:pPr>
      <w:r w:rsidRPr="000116FB">
        <w:rPr>
          <w:rFonts w:ascii="Arial" w:eastAsia="Times New Roman" w:hAnsi="Arial" w:cs="Arial"/>
          <w:b/>
          <w:bCs/>
          <w:kern w:val="36"/>
          <w:sz w:val="48"/>
          <w:szCs w:val="48"/>
          <w:lang w:eastAsia="en-GB"/>
          <w14:ligatures w14:val="none"/>
        </w:rPr>
        <w:t>6. Conclusion and Recommendations</w:t>
      </w:r>
    </w:p>
    <w:p w14:paraId="4991E99C" w14:textId="77777777" w:rsidR="000116FB" w:rsidRPr="000116FB" w:rsidRDefault="000116FB" w:rsidP="000116FB">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0116FB">
        <w:rPr>
          <w:rFonts w:ascii="Arial" w:eastAsia="Times New Roman" w:hAnsi="Arial" w:cs="Arial"/>
          <w:b/>
          <w:bCs/>
          <w:kern w:val="0"/>
          <w:sz w:val="36"/>
          <w:szCs w:val="36"/>
          <w:lang w:eastAsia="en-GB"/>
          <w14:ligatures w14:val="none"/>
        </w:rPr>
        <w:t>Conclusion</w:t>
      </w:r>
    </w:p>
    <w:p w14:paraId="7DBBE43A"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This report has critically evaluated the role of management accounting in supporting financial decision-making within Amazon.com, Inc. The analysis demonstrates that management accounting systems are fundamental to the organisation’s ability to manage complex global operations, maintain profitability, and achieve long-term strategic growth.</w:t>
      </w:r>
    </w:p>
    <w:p w14:paraId="2C2F8E1E"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Cost analysis techniques enable Amazon to understand profitability across diverse business segments, while activity-based costing improves visibility of operational cost drivers. Budgeting and financial planning systems support resource allocation, investment appraisal, and operational control within an increasingly competitive digital environment.</w:t>
      </w:r>
      <w:r>
        <w:t xml:space="preserve"> (Kaplan and Atkinson, 2020; Horngren et al., 2021)</w:t>
      </w:r>
    </w:p>
    <w:p w14:paraId="376BD0EB"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Furthermore, performance measurement frameworks provide management with essential financial and non-financial information necessary for evaluating organisational effectiveness and supporting strategic initiatives. The report also demonstrates that sustainability and ethical considerations are becoming increasingly integrated into financial decision-making processes.</w:t>
      </w:r>
    </w:p>
    <w:p w14:paraId="3E3A8DCE" w14:textId="77777777" w:rsid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Overall, Amazon’s success illustrates how advanced management accounting practices can support innovation, operational efficiency, competitive advantage, and sustainable corporate growth within a rapidly evolving global marketplace.</w:t>
      </w:r>
    </w:p>
    <w:p w14:paraId="675EE7C8" w14:textId="77777777" w:rsidR="000E3EA9" w:rsidRDefault="000E3EA9" w:rsidP="000116FB">
      <w:pPr>
        <w:spacing w:before="100" w:beforeAutospacing="1" w:after="100" w:afterAutospacing="1" w:line="240" w:lineRule="auto"/>
        <w:rPr>
          <w:rFonts w:ascii="Arial" w:eastAsia="Times New Roman" w:hAnsi="Arial" w:cs="Arial"/>
          <w:kern w:val="0"/>
          <w:lang w:eastAsia="en-GB"/>
          <w14:ligatures w14:val="none"/>
        </w:rPr>
      </w:pPr>
    </w:p>
    <w:p w14:paraId="3EEEDC97" w14:textId="77777777" w:rsidR="000E3EA9" w:rsidRDefault="000E3EA9" w:rsidP="000116FB">
      <w:pPr>
        <w:spacing w:before="100" w:beforeAutospacing="1" w:after="100" w:afterAutospacing="1" w:line="240" w:lineRule="auto"/>
        <w:rPr>
          <w:rFonts w:ascii="Arial" w:eastAsia="Times New Roman" w:hAnsi="Arial" w:cs="Arial"/>
          <w:kern w:val="0"/>
          <w:lang w:eastAsia="en-GB"/>
          <w14:ligatures w14:val="none"/>
        </w:rPr>
      </w:pPr>
    </w:p>
    <w:p w14:paraId="6C916D23" w14:textId="77777777" w:rsidR="000E3EA9" w:rsidRDefault="000E3EA9" w:rsidP="000116FB">
      <w:pPr>
        <w:spacing w:before="100" w:beforeAutospacing="1" w:after="100" w:afterAutospacing="1" w:line="240" w:lineRule="auto"/>
        <w:rPr>
          <w:rFonts w:ascii="Arial" w:eastAsia="Times New Roman" w:hAnsi="Arial" w:cs="Arial"/>
          <w:kern w:val="0"/>
          <w:lang w:eastAsia="en-GB"/>
          <w14:ligatures w14:val="none"/>
        </w:rPr>
      </w:pPr>
    </w:p>
    <w:p w14:paraId="2214C137" w14:textId="77777777" w:rsidR="000E3EA9" w:rsidRDefault="000E3EA9" w:rsidP="000116FB">
      <w:pPr>
        <w:spacing w:before="100" w:beforeAutospacing="1" w:after="100" w:afterAutospacing="1" w:line="240" w:lineRule="auto"/>
        <w:rPr>
          <w:rFonts w:ascii="Arial" w:eastAsia="Times New Roman" w:hAnsi="Arial" w:cs="Arial"/>
          <w:kern w:val="0"/>
          <w:lang w:eastAsia="en-GB"/>
          <w14:ligatures w14:val="none"/>
        </w:rPr>
      </w:pPr>
    </w:p>
    <w:p w14:paraId="11452B3B" w14:textId="77777777" w:rsidR="000E3EA9" w:rsidRDefault="000E3EA9" w:rsidP="000116FB">
      <w:pPr>
        <w:spacing w:before="100" w:beforeAutospacing="1" w:after="100" w:afterAutospacing="1" w:line="240" w:lineRule="auto"/>
        <w:rPr>
          <w:rFonts w:ascii="Arial" w:eastAsia="Times New Roman" w:hAnsi="Arial" w:cs="Arial"/>
          <w:kern w:val="0"/>
          <w:lang w:eastAsia="en-GB"/>
          <w14:ligatures w14:val="none"/>
        </w:rPr>
      </w:pPr>
    </w:p>
    <w:p w14:paraId="25983E84" w14:textId="77777777" w:rsidR="00B85DC1" w:rsidRDefault="00B85DC1" w:rsidP="000116FB">
      <w:pPr>
        <w:spacing w:before="100" w:beforeAutospacing="1" w:after="100" w:afterAutospacing="1" w:line="240" w:lineRule="auto"/>
        <w:rPr>
          <w:rFonts w:ascii="Arial" w:eastAsia="Times New Roman" w:hAnsi="Arial" w:cs="Arial"/>
          <w:kern w:val="0"/>
          <w:lang w:eastAsia="en-GB"/>
          <w14:ligatures w14:val="none"/>
        </w:rPr>
      </w:pPr>
    </w:p>
    <w:p w14:paraId="5CA31DC0" w14:textId="77777777" w:rsidR="00B85DC1" w:rsidRDefault="00B85DC1" w:rsidP="000116FB">
      <w:pPr>
        <w:spacing w:before="100" w:beforeAutospacing="1" w:after="100" w:afterAutospacing="1" w:line="240" w:lineRule="auto"/>
        <w:rPr>
          <w:rFonts w:ascii="Arial" w:eastAsia="Times New Roman" w:hAnsi="Arial" w:cs="Arial"/>
          <w:kern w:val="0"/>
          <w:lang w:eastAsia="en-GB"/>
          <w14:ligatures w14:val="none"/>
        </w:rPr>
      </w:pPr>
    </w:p>
    <w:p w14:paraId="78B939BF" w14:textId="77777777" w:rsidR="00B85DC1" w:rsidRDefault="00B85DC1" w:rsidP="000116FB">
      <w:pPr>
        <w:spacing w:before="100" w:beforeAutospacing="1" w:after="100" w:afterAutospacing="1" w:line="240" w:lineRule="auto"/>
        <w:rPr>
          <w:rFonts w:ascii="Arial" w:eastAsia="Times New Roman" w:hAnsi="Arial" w:cs="Arial"/>
          <w:kern w:val="0"/>
          <w:lang w:eastAsia="en-GB"/>
          <w14:ligatures w14:val="none"/>
        </w:rPr>
      </w:pPr>
    </w:p>
    <w:p w14:paraId="74E93CE9" w14:textId="77777777" w:rsidR="000E3EA9" w:rsidRDefault="000E3EA9" w:rsidP="000116FB">
      <w:pPr>
        <w:spacing w:before="100" w:beforeAutospacing="1" w:after="100" w:afterAutospacing="1" w:line="240" w:lineRule="auto"/>
        <w:rPr>
          <w:rFonts w:ascii="Arial" w:eastAsia="Times New Roman" w:hAnsi="Arial" w:cs="Arial"/>
          <w:kern w:val="0"/>
          <w:lang w:eastAsia="en-GB"/>
          <w14:ligatures w14:val="none"/>
        </w:rPr>
      </w:pPr>
    </w:p>
    <w:p w14:paraId="32D29F78" w14:textId="77777777" w:rsidR="000E3EA9" w:rsidRPr="000116FB" w:rsidRDefault="000E3EA9" w:rsidP="000116FB">
      <w:pPr>
        <w:spacing w:before="100" w:beforeAutospacing="1" w:after="100" w:afterAutospacing="1" w:line="240" w:lineRule="auto"/>
        <w:rPr>
          <w:rFonts w:ascii="Arial" w:eastAsia="Times New Roman" w:hAnsi="Arial" w:cs="Arial"/>
          <w:kern w:val="0"/>
          <w:lang w:eastAsia="en-GB"/>
          <w14:ligatures w14:val="none"/>
        </w:rPr>
      </w:pPr>
    </w:p>
    <w:p w14:paraId="553C9CED" w14:textId="77777777" w:rsidR="000116FB" w:rsidRPr="000116FB" w:rsidRDefault="000116FB" w:rsidP="000116FB">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0116FB">
        <w:rPr>
          <w:rFonts w:ascii="Arial" w:eastAsia="Times New Roman" w:hAnsi="Arial" w:cs="Arial"/>
          <w:b/>
          <w:bCs/>
          <w:kern w:val="0"/>
          <w:sz w:val="36"/>
          <w:szCs w:val="36"/>
          <w:lang w:eastAsia="en-GB"/>
          <w14:ligatures w14:val="none"/>
        </w:rPr>
        <w:lastRenderedPageBreak/>
        <w:t>Recommendations</w:t>
      </w:r>
    </w:p>
    <w:p w14:paraId="115D243D" w14:textId="77777777" w:rsidR="000116FB" w:rsidRPr="000116FB" w:rsidRDefault="000116FB" w:rsidP="000116FB">
      <w:pPr>
        <w:numPr>
          <w:ilvl w:val="0"/>
          <w:numId w:val="7"/>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Amazon should further expand the use of activity-based costing systems to improve cost transparency across fulfilment, logistics, and AI operations.</w:t>
      </w:r>
      <w:r>
        <w:t xml:space="preserve"> (Kaplan and Atkinson, 2020; Horngren et al., 2021)</w:t>
      </w:r>
    </w:p>
    <w:p w14:paraId="3D440077" w14:textId="77777777" w:rsidR="000116FB" w:rsidRPr="000116FB" w:rsidRDefault="000116FB" w:rsidP="000116FB">
      <w:pPr>
        <w:numPr>
          <w:ilvl w:val="0"/>
          <w:numId w:val="7"/>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Management should strengthen sustainability budgeting by integrating environmental performance indicators directly into strategic financial planning frameworks.</w:t>
      </w:r>
    </w:p>
    <w:p w14:paraId="74D2B9EE" w14:textId="77777777" w:rsidR="000116FB" w:rsidRPr="000116FB" w:rsidRDefault="000116FB" w:rsidP="000116FB">
      <w:pPr>
        <w:numPr>
          <w:ilvl w:val="0"/>
          <w:numId w:val="7"/>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Amazon should continue investing in automation and artificial intelligence to improve operational efficiency while ensuring ethical workforce management practices are maintained.</w:t>
      </w:r>
    </w:p>
    <w:p w14:paraId="5333E475" w14:textId="77777777" w:rsidR="000116FB" w:rsidRPr="000116FB" w:rsidRDefault="000116FB" w:rsidP="000116FB">
      <w:pPr>
        <w:numPr>
          <w:ilvl w:val="0"/>
          <w:numId w:val="7"/>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Greater transparency regarding pricing algorithms, labour standards, and supplier relationships would strengthen stakeholder trust and corporate reputation.</w:t>
      </w:r>
    </w:p>
    <w:p w14:paraId="08D0463B" w14:textId="77777777" w:rsidR="000116FB" w:rsidRPr="000116FB" w:rsidRDefault="000116FB" w:rsidP="000116FB">
      <w:pPr>
        <w:numPr>
          <w:ilvl w:val="0"/>
          <w:numId w:val="7"/>
        </w:num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The company should enhance predictive analytics and real-time performance monitoring systems to improve forecasting accuracy and strategic responsiveness in volatile market conditions.</w:t>
      </w:r>
    </w:p>
    <w:p w14:paraId="39230439" w14:textId="77777777" w:rsidR="000116FB" w:rsidRDefault="000116FB" w:rsidP="000116FB">
      <w:pPr>
        <w:spacing w:after="0" w:line="240" w:lineRule="auto"/>
        <w:rPr>
          <w:rFonts w:ascii="Arial" w:eastAsia="Times New Roman" w:hAnsi="Arial" w:cs="Arial"/>
          <w:kern w:val="0"/>
          <w:lang w:eastAsia="en-GB"/>
          <w14:ligatures w14:val="none"/>
        </w:rPr>
      </w:pPr>
    </w:p>
    <w:p w14:paraId="0F65E0CB" w14:textId="77777777" w:rsidR="000116FB" w:rsidRDefault="000116FB" w:rsidP="000116FB">
      <w:pPr>
        <w:spacing w:after="0" w:line="240" w:lineRule="auto"/>
        <w:rPr>
          <w:rFonts w:ascii="Arial" w:eastAsia="Times New Roman" w:hAnsi="Arial" w:cs="Arial"/>
          <w:kern w:val="0"/>
          <w:lang w:eastAsia="en-GB"/>
          <w14:ligatures w14:val="none"/>
        </w:rPr>
      </w:pPr>
    </w:p>
    <w:p w14:paraId="526D764E" w14:textId="77777777" w:rsidR="000E3EA9" w:rsidRDefault="000E3EA9" w:rsidP="000116FB">
      <w:pPr>
        <w:spacing w:after="0" w:line="240" w:lineRule="auto"/>
        <w:rPr>
          <w:rFonts w:ascii="Arial" w:eastAsia="Times New Roman" w:hAnsi="Arial" w:cs="Arial"/>
          <w:kern w:val="0"/>
          <w:lang w:eastAsia="en-GB"/>
          <w14:ligatures w14:val="none"/>
        </w:rPr>
      </w:pPr>
    </w:p>
    <w:p w14:paraId="4C606EC5" w14:textId="77777777" w:rsidR="000E3EA9" w:rsidRDefault="000E3EA9" w:rsidP="000116FB">
      <w:pPr>
        <w:spacing w:after="0" w:line="240" w:lineRule="auto"/>
        <w:rPr>
          <w:rFonts w:ascii="Arial" w:eastAsia="Times New Roman" w:hAnsi="Arial" w:cs="Arial"/>
          <w:kern w:val="0"/>
          <w:lang w:eastAsia="en-GB"/>
          <w14:ligatures w14:val="none"/>
        </w:rPr>
      </w:pPr>
    </w:p>
    <w:p w14:paraId="2A864CA4" w14:textId="77777777" w:rsidR="000E3EA9" w:rsidRDefault="000E3EA9" w:rsidP="000116FB">
      <w:pPr>
        <w:spacing w:after="0" w:line="240" w:lineRule="auto"/>
        <w:rPr>
          <w:rFonts w:ascii="Arial" w:eastAsia="Times New Roman" w:hAnsi="Arial" w:cs="Arial"/>
          <w:kern w:val="0"/>
          <w:lang w:eastAsia="en-GB"/>
          <w14:ligatures w14:val="none"/>
        </w:rPr>
      </w:pPr>
    </w:p>
    <w:p w14:paraId="7D36F795" w14:textId="77777777" w:rsidR="000E3EA9" w:rsidRDefault="000E3EA9" w:rsidP="000116FB">
      <w:pPr>
        <w:spacing w:after="0" w:line="240" w:lineRule="auto"/>
        <w:rPr>
          <w:rFonts w:ascii="Arial" w:eastAsia="Times New Roman" w:hAnsi="Arial" w:cs="Arial"/>
          <w:kern w:val="0"/>
          <w:lang w:eastAsia="en-GB"/>
          <w14:ligatures w14:val="none"/>
        </w:rPr>
      </w:pPr>
    </w:p>
    <w:p w14:paraId="40C4FE53" w14:textId="77777777" w:rsidR="000E3EA9" w:rsidRDefault="000E3EA9" w:rsidP="000116FB">
      <w:pPr>
        <w:spacing w:after="0" w:line="240" w:lineRule="auto"/>
        <w:rPr>
          <w:rFonts w:ascii="Arial" w:eastAsia="Times New Roman" w:hAnsi="Arial" w:cs="Arial"/>
          <w:kern w:val="0"/>
          <w:lang w:eastAsia="en-GB"/>
          <w14:ligatures w14:val="none"/>
        </w:rPr>
      </w:pPr>
    </w:p>
    <w:p w14:paraId="605D7EE8" w14:textId="77777777" w:rsidR="000E3EA9" w:rsidRDefault="000E3EA9" w:rsidP="000116FB">
      <w:pPr>
        <w:spacing w:after="0" w:line="240" w:lineRule="auto"/>
        <w:rPr>
          <w:rFonts w:ascii="Arial" w:eastAsia="Times New Roman" w:hAnsi="Arial" w:cs="Arial"/>
          <w:kern w:val="0"/>
          <w:lang w:eastAsia="en-GB"/>
          <w14:ligatures w14:val="none"/>
        </w:rPr>
      </w:pPr>
    </w:p>
    <w:p w14:paraId="7DDA726E" w14:textId="77777777" w:rsidR="000E3EA9" w:rsidRDefault="000E3EA9" w:rsidP="000116FB">
      <w:pPr>
        <w:spacing w:after="0" w:line="240" w:lineRule="auto"/>
        <w:rPr>
          <w:rFonts w:ascii="Arial" w:eastAsia="Times New Roman" w:hAnsi="Arial" w:cs="Arial"/>
          <w:kern w:val="0"/>
          <w:lang w:eastAsia="en-GB"/>
          <w14:ligatures w14:val="none"/>
        </w:rPr>
      </w:pPr>
    </w:p>
    <w:p w14:paraId="4064D23C" w14:textId="77777777" w:rsidR="000E3EA9" w:rsidRDefault="000E3EA9" w:rsidP="000116FB">
      <w:pPr>
        <w:spacing w:after="0" w:line="240" w:lineRule="auto"/>
        <w:rPr>
          <w:rFonts w:ascii="Arial" w:eastAsia="Times New Roman" w:hAnsi="Arial" w:cs="Arial"/>
          <w:kern w:val="0"/>
          <w:lang w:eastAsia="en-GB"/>
          <w14:ligatures w14:val="none"/>
        </w:rPr>
      </w:pPr>
    </w:p>
    <w:p w14:paraId="76E20D67" w14:textId="77777777" w:rsidR="000E3EA9" w:rsidRDefault="000E3EA9" w:rsidP="000116FB">
      <w:pPr>
        <w:spacing w:after="0" w:line="240" w:lineRule="auto"/>
        <w:rPr>
          <w:rFonts w:ascii="Arial" w:eastAsia="Times New Roman" w:hAnsi="Arial" w:cs="Arial"/>
          <w:kern w:val="0"/>
          <w:lang w:eastAsia="en-GB"/>
          <w14:ligatures w14:val="none"/>
        </w:rPr>
      </w:pPr>
    </w:p>
    <w:p w14:paraId="59291ECE" w14:textId="77777777" w:rsidR="000E3EA9" w:rsidRDefault="000E3EA9" w:rsidP="000116FB">
      <w:pPr>
        <w:spacing w:after="0" w:line="240" w:lineRule="auto"/>
        <w:rPr>
          <w:rFonts w:ascii="Arial" w:eastAsia="Times New Roman" w:hAnsi="Arial" w:cs="Arial"/>
          <w:kern w:val="0"/>
          <w:lang w:eastAsia="en-GB"/>
          <w14:ligatures w14:val="none"/>
        </w:rPr>
      </w:pPr>
    </w:p>
    <w:p w14:paraId="198F9E61" w14:textId="77777777" w:rsidR="000E3EA9" w:rsidRDefault="000E3EA9" w:rsidP="000116FB">
      <w:pPr>
        <w:spacing w:after="0" w:line="240" w:lineRule="auto"/>
        <w:rPr>
          <w:rFonts w:ascii="Arial" w:eastAsia="Times New Roman" w:hAnsi="Arial" w:cs="Arial"/>
          <w:kern w:val="0"/>
          <w:lang w:eastAsia="en-GB"/>
          <w14:ligatures w14:val="none"/>
        </w:rPr>
      </w:pPr>
    </w:p>
    <w:p w14:paraId="35BBA50A" w14:textId="77777777" w:rsidR="000E3EA9" w:rsidRDefault="000E3EA9" w:rsidP="000116FB">
      <w:pPr>
        <w:spacing w:after="0" w:line="240" w:lineRule="auto"/>
        <w:rPr>
          <w:rFonts w:ascii="Arial" w:eastAsia="Times New Roman" w:hAnsi="Arial" w:cs="Arial"/>
          <w:kern w:val="0"/>
          <w:lang w:eastAsia="en-GB"/>
          <w14:ligatures w14:val="none"/>
        </w:rPr>
      </w:pPr>
    </w:p>
    <w:p w14:paraId="7AB73424" w14:textId="77777777" w:rsidR="000E3EA9" w:rsidRDefault="000E3EA9" w:rsidP="000116FB">
      <w:pPr>
        <w:spacing w:after="0" w:line="240" w:lineRule="auto"/>
        <w:rPr>
          <w:rFonts w:ascii="Arial" w:eastAsia="Times New Roman" w:hAnsi="Arial" w:cs="Arial"/>
          <w:kern w:val="0"/>
          <w:lang w:eastAsia="en-GB"/>
          <w14:ligatures w14:val="none"/>
        </w:rPr>
      </w:pPr>
    </w:p>
    <w:p w14:paraId="61583C2B" w14:textId="77777777" w:rsidR="000E3EA9" w:rsidRDefault="000E3EA9" w:rsidP="000116FB">
      <w:pPr>
        <w:spacing w:after="0" w:line="240" w:lineRule="auto"/>
        <w:rPr>
          <w:rFonts w:ascii="Arial" w:eastAsia="Times New Roman" w:hAnsi="Arial" w:cs="Arial"/>
          <w:kern w:val="0"/>
          <w:lang w:eastAsia="en-GB"/>
          <w14:ligatures w14:val="none"/>
        </w:rPr>
      </w:pPr>
    </w:p>
    <w:p w14:paraId="11091777" w14:textId="77777777" w:rsidR="000E3EA9" w:rsidRDefault="000E3EA9" w:rsidP="000116FB">
      <w:pPr>
        <w:spacing w:after="0" w:line="240" w:lineRule="auto"/>
        <w:rPr>
          <w:rFonts w:ascii="Arial" w:eastAsia="Times New Roman" w:hAnsi="Arial" w:cs="Arial"/>
          <w:kern w:val="0"/>
          <w:lang w:eastAsia="en-GB"/>
          <w14:ligatures w14:val="none"/>
        </w:rPr>
      </w:pPr>
    </w:p>
    <w:p w14:paraId="24D5DB8A" w14:textId="77777777" w:rsidR="000E3EA9" w:rsidRDefault="000E3EA9" w:rsidP="000116FB">
      <w:pPr>
        <w:spacing w:after="0" w:line="240" w:lineRule="auto"/>
        <w:rPr>
          <w:rFonts w:ascii="Arial" w:eastAsia="Times New Roman" w:hAnsi="Arial" w:cs="Arial"/>
          <w:kern w:val="0"/>
          <w:lang w:eastAsia="en-GB"/>
          <w14:ligatures w14:val="none"/>
        </w:rPr>
      </w:pPr>
    </w:p>
    <w:p w14:paraId="3B541686" w14:textId="77777777" w:rsidR="000E3EA9" w:rsidRDefault="000E3EA9" w:rsidP="000116FB">
      <w:pPr>
        <w:spacing w:after="0" w:line="240" w:lineRule="auto"/>
        <w:rPr>
          <w:rFonts w:ascii="Arial" w:eastAsia="Times New Roman" w:hAnsi="Arial" w:cs="Arial"/>
          <w:kern w:val="0"/>
          <w:lang w:eastAsia="en-GB"/>
          <w14:ligatures w14:val="none"/>
        </w:rPr>
      </w:pPr>
    </w:p>
    <w:p w14:paraId="23F0E0E8" w14:textId="77777777" w:rsidR="000E3EA9" w:rsidRDefault="000E3EA9" w:rsidP="000116FB">
      <w:pPr>
        <w:spacing w:after="0" w:line="240" w:lineRule="auto"/>
        <w:rPr>
          <w:rFonts w:ascii="Arial" w:eastAsia="Times New Roman" w:hAnsi="Arial" w:cs="Arial"/>
          <w:kern w:val="0"/>
          <w:lang w:eastAsia="en-GB"/>
          <w14:ligatures w14:val="none"/>
        </w:rPr>
      </w:pPr>
    </w:p>
    <w:p w14:paraId="6AF0F008" w14:textId="77777777" w:rsidR="000E3EA9" w:rsidRDefault="000E3EA9" w:rsidP="000116FB">
      <w:pPr>
        <w:spacing w:after="0" w:line="240" w:lineRule="auto"/>
        <w:rPr>
          <w:rFonts w:ascii="Arial" w:eastAsia="Times New Roman" w:hAnsi="Arial" w:cs="Arial"/>
          <w:kern w:val="0"/>
          <w:lang w:eastAsia="en-GB"/>
          <w14:ligatures w14:val="none"/>
        </w:rPr>
      </w:pPr>
    </w:p>
    <w:p w14:paraId="3835553F" w14:textId="77777777" w:rsidR="000E3EA9" w:rsidRDefault="000E3EA9" w:rsidP="000116FB">
      <w:pPr>
        <w:spacing w:after="0" w:line="240" w:lineRule="auto"/>
        <w:rPr>
          <w:rFonts w:ascii="Arial" w:eastAsia="Times New Roman" w:hAnsi="Arial" w:cs="Arial"/>
          <w:kern w:val="0"/>
          <w:lang w:eastAsia="en-GB"/>
          <w14:ligatures w14:val="none"/>
        </w:rPr>
      </w:pPr>
    </w:p>
    <w:p w14:paraId="711432EB" w14:textId="77777777" w:rsidR="000E3EA9" w:rsidRDefault="000E3EA9" w:rsidP="000116FB">
      <w:pPr>
        <w:spacing w:after="0" w:line="240" w:lineRule="auto"/>
        <w:rPr>
          <w:rFonts w:ascii="Arial" w:eastAsia="Times New Roman" w:hAnsi="Arial" w:cs="Arial"/>
          <w:kern w:val="0"/>
          <w:lang w:eastAsia="en-GB"/>
          <w14:ligatures w14:val="none"/>
        </w:rPr>
      </w:pPr>
    </w:p>
    <w:p w14:paraId="2EF243D4" w14:textId="77777777" w:rsidR="000E3EA9" w:rsidRDefault="000E3EA9" w:rsidP="000116FB">
      <w:pPr>
        <w:spacing w:after="0" w:line="240" w:lineRule="auto"/>
        <w:rPr>
          <w:rFonts w:ascii="Arial" w:eastAsia="Times New Roman" w:hAnsi="Arial" w:cs="Arial"/>
          <w:kern w:val="0"/>
          <w:lang w:eastAsia="en-GB"/>
          <w14:ligatures w14:val="none"/>
        </w:rPr>
      </w:pPr>
    </w:p>
    <w:p w14:paraId="1F20E992" w14:textId="77777777" w:rsidR="000E3EA9" w:rsidRDefault="000E3EA9" w:rsidP="000116FB">
      <w:pPr>
        <w:spacing w:after="0" w:line="240" w:lineRule="auto"/>
        <w:rPr>
          <w:rFonts w:ascii="Arial" w:eastAsia="Times New Roman" w:hAnsi="Arial" w:cs="Arial"/>
          <w:kern w:val="0"/>
          <w:lang w:eastAsia="en-GB"/>
          <w14:ligatures w14:val="none"/>
        </w:rPr>
      </w:pPr>
    </w:p>
    <w:p w14:paraId="4CAD3970" w14:textId="77777777" w:rsidR="000E3EA9" w:rsidRDefault="000E3EA9" w:rsidP="000116FB">
      <w:pPr>
        <w:spacing w:after="0" w:line="240" w:lineRule="auto"/>
        <w:rPr>
          <w:rFonts w:ascii="Arial" w:eastAsia="Times New Roman" w:hAnsi="Arial" w:cs="Arial"/>
          <w:kern w:val="0"/>
          <w:lang w:eastAsia="en-GB"/>
          <w14:ligatures w14:val="none"/>
        </w:rPr>
      </w:pPr>
    </w:p>
    <w:p w14:paraId="2C816EC1" w14:textId="77777777" w:rsidR="000E3EA9" w:rsidRDefault="000E3EA9" w:rsidP="000116FB">
      <w:pPr>
        <w:spacing w:after="0" w:line="240" w:lineRule="auto"/>
        <w:rPr>
          <w:rFonts w:ascii="Arial" w:eastAsia="Times New Roman" w:hAnsi="Arial" w:cs="Arial"/>
          <w:kern w:val="0"/>
          <w:lang w:eastAsia="en-GB"/>
          <w14:ligatures w14:val="none"/>
        </w:rPr>
      </w:pPr>
    </w:p>
    <w:p w14:paraId="7C82BF9F" w14:textId="77777777" w:rsidR="000E3EA9" w:rsidRDefault="000E3EA9" w:rsidP="000116FB">
      <w:pPr>
        <w:spacing w:after="0" w:line="240" w:lineRule="auto"/>
        <w:rPr>
          <w:rFonts w:ascii="Arial" w:eastAsia="Times New Roman" w:hAnsi="Arial" w:cs="Arial"/>
          <w:kern w:val="0"/>
          <w:lang w:eastAsia="en-GB"/>
          <w14:ligatures w14:val="none"/>
        </w:rPr>
      </w:pPr>
    </w:p>
    <w:p w14:paraId="3EFE2AFA" w14:textId="77777777" w:rsidR="000E3EA9" w:rsidRDefault="000E3EA9" w:rsidP="000116FB">
      <w:pPr>
        <w:spacing w:after="0" w:line="240" w:lineRule="auto"/>
        <w:rPr>
          <w:rFonts w:ascii="Arial" w:eastAsia="Times New Roman" w:hAnsi="Arial" w:cs="Arial"/>
          <w:kern w:val="0"/>
          <w:lang w:eastAsia="en-GB"/>
          <w14:ligatures w14:val="none"/>
        </w:rPr>
      </w:pPr>
    </w:p>
    <w:p w14:paraId="37C3882C" w14:textId="77777777" w:rsidR="000E3EA9" w:rsidRDefault="000E3EA9" w:rsidP="000116FB">
      <w:pPr>
        <w:spacing w:after="0" w:line="240" w:lineRule="auto"/>
        <w:rPr>
          <w:rFonts w:ascii="Arial" w:eastAsia="Times New Roman" w:hAnsi="Arial" w:cs="Arial"/>
          <w:kern w:val="0"/>
          <w:lang w:eastAsia="en-GB"/>
          <w14:ligatures w14:val="none"/>
        </w:rPr>
      </w:pPr>
    </w:p>
    <w:p w14:paraId="634BC12C" w14:textId="77777777" w:rsidR="000116FB" w:rsidRPr="000116FB" w:rsidRDefault="000116FB" w:rsidP="000116FB">
      <w:pPr>
        <w:spacing w:after="0" w:line="240" w:lineRule="auto"/>
        <w:rPr>
          <w:rFonts w:ascii="Arial" w:eastAsia="Times New Roman" w:hAnsi="Arial" w:cs="Arial"/>
          <w:kern w:val="0"/>
          <w:lang w:eastAsia="en-GB"/>
          <w14:ligatures w14:val="none"/>
        </w:rPr>
      </w:pPr>
    </w:p>
    <w:p w14:paraId="6C3E8FDF" w14:textId="77777777" w:rsidR="000116FB" w:rsidRPr="000116FB" w:rsidRDefault="000116FB" w:rsidP="000116FB">
      <w:pPr>
        <w:spacing w:before="100" w:beforeAutospacing="1" w:after="100" w:afterAutospacing="1" w:line="240" w:lineRule="auto"/>
        <w:outlineLvl w:val="0"/>
        <w:rPr>
          <w:rFonts w:ascii="Arial" w:eastAsia="Times New Roman" w:hAnsi="Arial" w:cs="Arial"/>
          <w:b/>
          <w:bCs/>
          <w:kern w:val="36"/>
          <w:sz w:val="48"/>
          <w:szCs w:val="48"/>
          <w:lang w:eastAsia="en-GB"/>
          <w14:ligatures w14:val="none"/>
        </w:rPr>
      </w:pPr>
      <w:r w:rsidRPr="000116FB">
        <w:rPr>
          <w:rFonts w:ascii="Arial" w:eastAsia="Times New Roman" w:hAnsi="Arial" w:cs="Arial"/>
          <w:b/>
          <w:bCs/>
          <w:kern w:val="36"/>
          <w:sz w:val="48"/>
          <w:szCs w:val="48"/>
          <w:lang w:eastAsia="en-GB"/>
          <w14:ligatures w14:val="none"/>
        </w:rPr>
        <w:lastRenderedPageBreak/>
        <w:t>References</w:t>
      </w:r>
    </w:p>
    <w:p w14:paraId="37224484"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 xml:space="preserve">Amazon.com, Inc. (2025) </w:t>
      </w:r>
      <w:r w:rsidRPr="000116FB">
        <w:rPr>
          <w:rFonts w:ascii="Arial" w:eastAsia="Times New Roman" w:hAnsi="Arial" w:cs="Arial"/>
          <w:i/>
          <w:iCs/>
          <w:kern w:val="0"/>
          <w:lang w:eastAsia="en-GB"/>
          <w14:ligatures w14:val="none"/>
        </w:rPr>
        <w:t>Annual Report 2025</w:t>
      </w:r>
      <w:r w:rsidRPr="000116FB">
        <w:rPr>
          <w:rFonts w:ascii="Arial" w:eastAsia="Times New Roman" w:hAnsi="Arial" w:cs="Arial"/>
          <w:kern w:val="0"/>
          <w:lang w:eastAsia="en-GB"/>
          <w14:ligatures w14:val="none"/>
        </w:rPr>
        <w:t>. Seattle: Amazon Investor Relations.</w:t>
      </w:r>
    </w:p>
    <w:p w14:paraId="38AB4203"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 xml:space="preserve">Atrill, P. and McLaney, E. (2022) </w:t>
      </w:r>
      <w:r w:rsidRPr="000116FB">
        <w:rPr>
          <w:rFonts w:ascii="Arial" w:eastAsia="Times New Roman" w:hAnsi="Arial" w:cs="Arial"/>
          <w:i/>
          <w:iCs/>
          <w:kern w:val="0"/>
          <w:lang w:eastAsia="en-GB"/>
          <w14:ligatures w14:val="none"/>
        </w:rPr>
        <w:t>Management Accounting for Decision Makers</w:t>
      </w:r>
      <w:r w:rsidRPr="000116FB">
        <w:rPr>
          <w:rFonts w:ascii="Arial" w:eastAsia="Times New Roman" w:hAnsi="Arial" w:cs="Arial"/>
          <w:kern w:val="0"/>
          <w:lang w:eastAsia="en-GB"/>
          <w14:ligatures w14:val="none"/>
        </w:rPr>
        <w:t>. 10th ed. Harlow: Pearson.</w:t>
      </w:r>
    </w:p>
    <w:p w14:paraId="1D104090"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 xml:space="preserve">Bhimani, A., Horngren, C., Datar, S. and Rajan, M. (2023) </w:t>
      </w:r>
      <w:r w:rsidRPr="000116FB">
        <w:rPr>
          <w:rFonts w:ascii="Arial" w:eastAsia="Times New Roman" w:hAnsi="Arial" w:cs="Arial"/>
          <w:i/>
          <w:iCs/>
          <w:kern w:val="0"/>
          <w:lang w:eastAsia="en-GB"/>
          <w14:ligatures w14:val="none"/>
        </w:rPr>
        <w:t>Management and Cost Accounting</w:t>
      </w:r>
      <w:r w:rsidRPr="000116FB">
        <w:rPr>
          <w:rFonts w:ascii="Arial" w:eastAsia="Times New Roman" w:hAnsi="Arial" w:cs="Arial"/>
          <w:kern w:val="0"/>
          <w:lang w:eastAsia="en-GB"/>
          <w14:ligatures w14:val="none"/>
        </w:rPr>
        <w:t>. 8th ed. Harlow: Pearson.</w:t>
      </w:r>
    </w:p>
    <w:p w14:paraId="13899521"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 xml:space="preserve">Drury, C. (2021) </w:t>
      </w:r>
      <w:r w:rsidRPr="000116FB">
        <w:rPr>
          <w:rFonts w:ascii="Arial" w:eastAsia="Times New Roman" w:hAnsi="Arial" w:cs="Arial"/>
          <w:i/>
          <w:iCs/>
          <w:kern w:val="0"/>
          <w:lang w:eastAsia="en-GB"/>
          <w14:ligatures w14:val="none"/>
        </w:rPr>
        <w:t>Management and Cost Accounting</w:t>
      </w:r>
      <w:r w:rsidRPr="000116FB">
        <w:rPr>
          <w:rFonts w:ascii="Arial" w:eastAsia="Times New Roman" w:hAnsi="Arial" w:cs="Arial"/>
          <w:kern w:val="0"/>
          <w:lang w:eastAsia="en-GB"/>
          <w14:ligatures w14:val="none"/>
        </w:rPr>
        <w:t>. 11th ed. London: Cengage.</w:t>
      </w:r>
    </w:p>
    <w:p w14:paraId="202ACB09"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 xml:space="preserve">Google Finance (2026) </w:t>
      </w:r>
      <w:r w:rsidRPr="000116FB">
        <w:rPr>
          <w:rFonts w:ascii="Arial" w:eastAsia="Times New Roman" w:hAnsi="Arial" w:cs="Arial"/>
          <w:i/>
          <w:iCs/>
          <w:kern w:val="0"/>
          <w:lang w:eastAsia="en-GB"/>
          <w14:ligatures w14:val="none"/>
        </w:rPr>
        <w:t>Amazon.com Inc. Financial Statements</w:t>
      </w:r>
      <w:r w:rsidRPr="000116FB">
        <w:rPr>
          <w:rFonts w:ascii="Arial" w:eastAsia="Times New Roman" w:hAnsi="Arial" w:cs="Arial"/>
          <w:kern w:val="0"/>
          <w:lang w:eastAsia="en-GB"/>
          <w14:ligatures w14:val="none"/>
        </w:rPr>
        <w:t>.</w:t>
      </w:r>
    </w:p>
    <w:p w14:paraId="24BBED04"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 xml:space="preserve">Hilton, R. and Platt, D. (2022) </w:t>
      </w:r>
      <w:r w:rsidRPr="000116FB">
        <w:rPr>
          <w:rFonts w:ascii="Arial" w:eastAsia="Times New Roman" w:hAnsi="Arial" w:cs="Arial"/>
          <w:i/>
          <w:iCs/>
          <w:kern w:val="0"/>
          <w:lang w:eastAsia="en-GB"/>
          <w14:ligatures w14:val="none"/>
        </w:rPr>
        <w:t>Managerial Accounting</w:t>
      </w:r>
      <w:r w:rsidRPr="000116FB">
        <w:rPr>
          <w:rFonts w:ascii="Arial" w:eastAsia="Times New Roman" w:hAnsi="Arial" w:cs="Arial"/>
          <w:kern w:val="0"/>
          <w:lang w:eastAsia="en-GB"/>
          <w14:ligatures w14:val="none"/>
        </w:rPr>
        <w:t>. 13th ed. New York: McGraw-Hill.</w:t>
      </w:r>
    </w:p>
    <w:p w14:paraId="588076A3"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 xml:space="preserve">Horngren, C., Datar, S. and Rajan, M. (2021) </w:t>
      </w:r>
      <w:r w:rsidRPr="000116FB">
        <w:rPr>
          <w:rFonts w:ascii="Arial" w:eastAsia="Times New Roman" w:hAnsi="Arial" w:cs="Arial"/>
          <w:i/>
          <w:iCs/>
          <w:kern w:val="0"/>
          <w:lang w:eastAsia="en-GB"/>
          <w14:ligatures w14:val="none"/>
        </w:rPr>
        <w:t>Cost Accounting: A Managerial Emphasis</w:t>
      </w:r>
      <w:r w:rsidRPr="000116FB">
        <w:rPr>
          <w:rFonts w:ascii="Arial" w:eastAsia="Times New Roman" w:hAnsi="Arial" w:cs="Arial"/>
          <w:kern w:val="0"/>
          <w:lang w:eastAsia="en-GB"/>
          <w14:ligatures w14:val="none"/>
        </w:rPr>
        <w:t>. 17th ed. Harlow: Pearson.</w:t>
      </w:r>
    </w:p>
    <w:p w14:paraId="5354304B"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 xml:space="preserve">Kaplan, R. and Atkinson, A. (2020) </w:t>
      </w:r>
      <w:r w:rsidRPr="000116FB">
        <w:rPr>
          <w:rFonts w:ascii="Arial" w:eastAsia="Times New Roman" w:hAnsi="Arial" w:cs="Arial"/>
          <w:i/>
          <w:iCs/>
          <w:kern w:val="0"/>
          <w:lang w:eastAsia="en-GB"/>
          <w14:ligatures w14:val="none"/>
        </w:rPr>
        <w:t>Advanced Management Accounting</w:t>
      </w:r>
      <w:r w:rsidRPr="000116FB">
        <w:rPr>
          <w:rFonts w:ascii="Arial" w:eastAsia="Times New Roman" w:hAnsi="Arial" w:cs="Arial"/>
          <w:kern w:val="0"/>
          <w:lang w:eastAsia="en-GB"/>
          <w14:ligatures w14:val="none"/>
        </w:rPr>
        <w:t>. London: Pearson.</w:t>
      </w:r>
    </w:p>
    <w:p w14:paraId="5FCD885B"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 xml:space="preserve">Macrotrends (2026) </w:t>
      </w:r>
      <w:r w:rsidRPr="000116FB">
        <w:rPr>
          <w:rFonts w:ascii="Arial" w:eastAsia="Times New Roman" w:hAnsi="Arial" w:cs="Arial"/>
          <w:i/>
          <w:iCs/>
          <w:kern w:val="0"/>
          <w:lang w:eastAsia="en-GB"/>
          <w14:ligatures w14:val="none"/>
        </w:rPr>
        <w:t>Amazon Operating Expenses Historical Data</w:t>
      </w:r>
      <w:r w:rsidRPr="000116FB">
        <w:rPr>
          <w:rFonts w:ascii="Arial" w:eastAsia="Times New Roman" w:hAnsi="Arial" w:cs="Arial"/>
          <w:kern w:val="0"/>
          <w:lang w:eastAsia="en-GB"/>
          <w14:ligatures w14:val="none"/>
        </w:rPr>
        <w:t>.</w:t>
      </w:r>
    </w:p>
    <w:p w14:paraId="6AF50677"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 xml:space="preserve">Merchant, K. and Van der Stede, W. (2022) </w:t>
      </w:r>
      <w:r w:rsidRPr="000116FB">
        <w:rPr>
          <w:rFonts w:ascii="Arial" w:eastAsia="Times New Roman" w:hAnsi="Arial" w:cs="Arial"/>
          <w:i/>
          <w:iCs/>
          <w:kern w:val="0"/>
          <w:lang w:eastAsia="en-GB"/>
          <w14:ligatures w14:val="none"/>
        </w:rPr>
        <w:t>Management Control Systems</w:t>
      </w:r>
      <w:r w:rsidRPr="000116FB">
        <w:rPr>
          <w:rFonts w:ascii="Arial" w:eastAsia="Times New Roman" w:hAnsi="Arial" w:cs="Arial"/>
          <w:kern w:val="0"/>
          <w:lang w:eastAsia="en-GB"/>
          <w14:ligatures w14:val="none"/>
        </w:rPr>
        <w:t>. 5th ed. Harlow: Pearson.</w:t>
      </w:r>
    </w:p>
    <w:p w14:paraId="5505E34A"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 xml:space="preserve">Noreen, E., Brewer, P. and Garrison, R. (2022) </w:t>
      </w:r>
      <w:r w:rsidRPr="000116FB">
        <w:rPr>
          <w:rFonts w:ascii="Arial" w:eastAsia="Times New Roman" w:hAnsi="Arial" w:cs="Arial"/>
          <w:i/>
          <w:iCs/>
          <w:kern w:val="0"/>
          <w:lang w:eastAsia="en-GB"/>
          <w14:ligatures w14:val="none"/>
        </w:rPr>
        <w:t>Managerial Accounting</w:t>
      </w:r>
      <w:r w:rsidRPr="000116FB">
        <w:rPr>
          <w:rFonts w:ascii="Arial" w:eastAsia="Times New Roman" w:hAnsi="Arial" w:cs="Arial"/>
          <w:kern w:val="0"/>
          <w:lang w:eastAsia="en-GB"/>
          <w14:ligatures w14:val="none"/>
        </w:rPr>
        <w:t>. 18th ed. New York: McGraw-Hill.</w:t>
      </w:r>
    </w:p>
    <w:p w14:paraId="5DED62A0"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 xml:space="preserve">Otley, D. and Emmanuel, C. (2021) </w:t>
      </w:r>
      <w:r w:rsidRPr="000116FB">
        <w:rPr>
          <w:rFonts w:ascii="Arial" w:eastAsia="Times New Roman" w:hAnsi="Arial" w:cs="Arial"/>
          <w:i/>
          <w:iCs/>
          <w:kern w:val="0"/>
          <w:lang w:eastAsia="en-GB"/>
          <w14:ligatures w14:val="none"/>
        </w:rPr>
        <w:t>Accounting for Management Control</w:t>
      </w:r>
      <w:r w:rsidRPr="000116FB">
        <w:rPr>
          <w:rFonts w:ascii="Arial" w:eastAsia="Times New Roman" w:hAnsi="Arial" w:cs="Arial"/>
          <w:kern w:val="0"/>
          <w:lang w:eastAsia="en-GB"/>
          <w14:ligatures w14:val="none"/>
        </w:rPr>
        <w:t>. London: Routledge.</w:t>
      </w:r>
    </w:p>
    <w:p w14:paraId="76ED7EAC"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 xml:space="preserve">Yahoo Finance (2026) </w:t>
      </w:r>
      <w:r w:rsidRPr="000116FB">
        <w:rPr>
          <w:rFonts w:ascii="Arial" w:eastAsia="Times New Roman" w:hAnsi="Arial" w:cs="Arial"/>
          <w:i/>
          <w:iCs/>
          <w:kern w:val="0"/>
          <w:lang w:eastAsia="en-GB"/>
          <w14:ligatures w14:val="none"/>
        </w:rPr>
        <w:t>Amazon Financial Data</w:t>
      </w:r>
      <w:r w:rsidRPr="000116FB">
        <w:rPr>
          <w:rFonts w:ascii="Arial" w:eastAsia="Times New Roman" w:hAnsi="Arial" w:cs="Arial"/>
          <w:kern w:val="0"/>
          <w:lang w:eastAsia="en-GB"/>
          <w14:ligatures w14:val="none"/>
        </w:rPr>
        <w:t>.</w:t>
      </w:r>
    </w:p>
    <w:p w14:paraId="10217191" w14:textId="77777777" w:rsidR="000116FB" w:rsidRP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 xml:space="preserve">Zimmerman, J. (2021) </w:t>
      </w:r>
      <w:r w:rsidRPr="000116FB">
        <w:rPr>
          <w:rFonts w:ascii="Arial" w:eastAsia="Times New Roman" w:hAnsi="Arial" w:cs="Arial"/>
          <w:i/>
          <w:iCs/>
          <w:kern w:val="0"/>
          <w:lang w:eastAsia="en-GB"/>
          <w14:ligatures w14:val="none"/>
        </w:rPr>
        <w:t>Accounting for Decision Making and Control</w:t>
      </w:r>
      <w:r w:rsidRPr="000116FB">
        <w:rPr>
          <w:rFonts w:ascii="Arial" w:eastAsia="Times New Roman" w:hAnsi="Arial" w:cs="Arial"/>
          <w:kern w:val="0"/>
          <w:lang w:eastAsia="en-GB"/>
          <w14:ligatures w14:val="none"/>
        </w:rPr>
        <w:t>. 10th ed. New York: McGraw-Hill.</w:t>
      </w:r>
    </w:p>
    <w:p w14:paraId="6E0E7C7F" w14:textId="77777777" w:rsidR="000116FB" w:rsidRDefault="000116FB" w:rsidP="000116FB">
      <w:pPr>
        <w:spacing w:before="100" w:beforeAutospacing="1" w:after="100" w:afterAutospacing="1" w:line="240" w:lineRule="auto"/>
        <w:rPr>
          <w:rFonts w:ascii="Arial" w:eastAsia="Times New Roman" w:hAnsi="Arial" w:cs="Arial"/>
          <w:kern w:val="0"/>
          <w:lang w:eastAsia="en-GB"/>
          <w14:ligatures w14:val="none"/>
        </w:rPr>
      </w:pPr>
      <w:r w:rsidRPr="000116FB">
        <w:rPr>
          <w:rFonts w:ascii="Arial" w:eastAsia="Times New Roman" w:hAnsi="Arial" w:cs="Arial"/>
          <w:kern w:val="0"/>
          <w:lang w:eastAsia="en-GB"/>
          <w14:ligatures w14:val="none"/>
        </w:rPr>
        <w:t xml:space="preserve">World Economic Forum (2024) </w:t>
      </w:r>
      <w:r w:rsidRPr="000116FB">
        <w:rPr>
          <w:rFonts w:ascii="Arial" w:eastAsia="Times New Roman" w:hAnsi="Arial" w:cs="Arial"/>
          <w:i/>
          <w:iCs/>
          <w:kern w:val="0"/>
          <w:lang w:eastAsia="en-GB"/>
          <w14:ligatures w14:val="none"/>
        </w:rPr>
        <w:t>Sustainable Business Practices and Corporate Governance</w:t>
      </w:r>
      <w:r w:rsidRPr="000116FB">
        <w:rPr>
          <w:rFonts w:ascii="Arial" w:eastAsia="Times New Roman" w:hAnsi="Arial" w:cs="Arial"/>
          <w:kern w:val="0"/>
          <w:lang w:eastAsia="en-GB"/>
          <w14:ligatures w14:val="none"/>
        </w:rPr>
        <w:t>.</w:t>
      </w:r>
    </w:p>
    <w:p w14:paraId="3CCB1683" w14:textId="77777777" w:rsidR="00810FCB" w:rsidRPr="000116FB" w:rsidRDefault="00810FCB">
      <w:pPr>
        <w:rPr>
          <w:rFonts w:ascii="Arial" w:hAnsi="Arial" w:cs="Arial"/>
        </w:rPr>
      </w:pPr>
    </w:p>
    <w:tbl>
      <w:tblPr>
        <w:tblW w:w="0" w:type="auto"/>
        <w:tblLook w:val="04A0" w:firstRow="1" w:lastRow="0" w:firstColumn="1" w:lastColumn="0" w:noHBand="0" w:noVBand="1"/>
      </w:tblPr>
      <w:tblGrid>
        <w:gridCol w:w="4513"/>
        <w:gridCol w:w="4513"/>
      </w:tblGrid>
      <w:tr w:rsidR="006726F7" w14:paraId="6562AF2D" w14:textId="77777777">
        <w:tc>
          <w:tcPr>
            <w:tcW w:w="4513" w:type="dxa"/>
          </w:tcPr>
          <w:p w14:paraId="562B7B87" w14:textId="77777777" w:rsidR="006726F7" w:rsidRDefault="006726F7"/>
        </w:tc>
        <w:tc>
          <w:tcPr>
            <w:tcW w:w="4513" w:type="dxa"/>
          </w:tcPr>
          <w:p w14:paraId="5D2EBF03" w14:textId="77777777" w:rsidR="006726F7" w:rsidRDefault="006726F7"/>
        </w:tc>
      </w:tr>
      <w:tr w:rsidR="006726F7" w14:paraId="72BB7938" w14:textId="77777777">
        <w:tc>
          <w:tcPr>
            <w:tcW w:w="4513" w:type="dxa"/>
          </w:tcPr>
          <w:p w14:paraId="15E7506E" w14:textId="77777777" w:rsidR="006726F7" w:rsidRDefault="006726F7"/>
        </w:tc>
        <w:tc>
          <w:tcPr>
            <w:tcW w:w="4513" w:type="dxa"/>
          </w:tcPr>
          <w:p w14:paraId="660541D5" w14:textId="77777777" w:rsidR="006726F7" w:rsidRDefault="006726F7"/>
        </w:tc>
      </w:tr>
      <w:tr w:rsidR="006726F7" w14:paraId="0140F4D1" w14:textId="77777777">
        <w:tc>
          <w:tcPr>
            <w:tcW w:w="4513" w:type="dxa"/>
          </w:tcPr>
          <w:p w14:paraId="1D264851" w14:textId="77777777" w:rsidR="0012486E" w:rsidRDefault="0012486E"/>
        </w:tc>
        <w:tc>
          <w:tcPr>
            <w:tcW w:w="4513" w:type="dxa"/>
          </w:tcPr>
          <w:p w14:paraId="60B0FF59" w14:textId="77777777" w:rsidR="006726F7" w:rsidRDefault="006726F7"/>
        </w:tc>
      </w:tr>
      <w:tr w:rsidR="006726F7" w14:paraId="6FEFA772" w14:textId="77777777">
        <w:tc>
          <w:tcPr>
            <w:tcW w:w="4513" w:type="dxa"/>
          </w:tcPr>
          <w:p w14:paraId="33FCB697" w14:textId="77777777" w:rsidR="006726F7" w:rsidRDefault="006726F7"/>
          <w:p w14:paraId="00F58F55" w14:textId="77777777" w:rsidR="0012486E" w:rsidRDefault="0012486E"/>
          <w:p w14:paraId="67887200" w14:textId="77777777" w:rsidR="0012486E" w:rsidRDefault="0012486E"/>
        </w:tc>
        <w:tc>
          <w:tcPr>
            <w:tcW w:w="4513" w:type="dxa"/>
          </w:tcPr>
          <w:p w14:paraId="788A6272" w14:textId="77777777" w:rsidR="006726F7" w:rsidRDefault="006726F7"/>
        </w:tc>
      </w:tr>
      <w:tr w:rsidR="006726F7" w14:paraId="635AA73C" w14:textId="77777777">
        <w:tc>
          <w:tcPr>
            <w:tcW w:w="4513" w:type="dxa"/>
          </w:tcPr>
          <w:p w14:paraId="57F7C051" w14:textId="77777777" w:rsidR="006726F7" w:rsidRDefault="006726F7"/>
        </w:tc>
        <w:tc>
          <w:tcPr>
            <w:tcW w:w="4513" w:type="dxa"/>
          </w:tcPr>
          <w:p w14:paraId="5699BFA9" w14:textId="77777777" w:rsidR="006726F7" w:rsidRDefault="006726F7"/>
        </w:tc>
      </w:tr>
      <w:tr w:rsidR="006726F7" w14:paraId="2D991B06" w14:textId="77777777">
        <w:tc>
          <w:tcPr>
            <w:tcW w:w="4513" w:type="dxa"/>
          </w:tcPr>
          <w:p w14:paraId="27CE97C4" w14:textId="77777777" w:rsidR="006726F7" w:rsidRDefault="006726F7"/>
        </w:tc>
        <w:tc>
          <w:tcPr>
            <w:tcW w:w="4513" w:type="dxa"/>
          </w:tcPr>
          <w:p w14:paraId="3BA1146B" w14:textId="77777777" w:rsidR="006726F7" w:rsidRDefault="006726F7"/>
        </w:tc>
      </w:tr>
    </w:tbl>
    <w:p w14:paraId="65AE79F6" w14:textId="77777777" w:rsidR="000D1EF3" w:rsidRDefault="000D1EF3"/>
    <w:p w14:paraId="7189C8D3" w14:textId="77777777" w:rsidR="00420FAC" w:rsidRDefault="00420FAC"/>
    <w:p w14:paraId="4DEA4D86" w14:textId="77777777" w:rsidR="00420FAC" w:rsidRDefault="00420FAC"/>
    <w:p w14:paraId="30ACE5B9" w14:textId="77777777" w:rsidR="00420FAC" w:rsidRDefault="00420FAC"/>
    <w:p w14:paraId="73F5AE17" w14:textId="77777777" w:rsidR="00420FAC" w:rsidRDefault="00420FAC"/>
    <w:p w14:paraId="332497ED" w14:textId="77777777" w:rsidR="00420FAC" w:rsidRDefault="00420FAC"/>
    <w:p w14:paraId="1DE52469" w14:textId="77777777" w:rsidR="00420FAC" w:rsidRDefault="00420FAC"/>
    <w:p w14:paraId="7AB2844B" w14:textId="77777777" w:rsidR="00420FAC" w:rsidRDefault="00420FAC"/>
    <w:p w14:paraId="2D8A1B45" w14:textId="77777777" w:rsidR="00420FAC" w:rsidRDefault="00420FAC"/>
    <w:p w14:paraId="264500CE" w14:textId="77777777" w:rsidR="00420FAC" w:rsidRDefault="00420FAC"/>
    <w:p w14:paraId="403CB767" w14:textId="77777777" w:rsidR="00420FAC" w:rsidRDefault="00420FAC"/>
    <w:p w14:paraId="7454B8B7" w14:textId="77777777" w:rsidR="00420FAC" w:rsidRDefault="00420FAC"/>
    <w:p w14:paraId="713F3D90" w14:textId="77777777" w:rsidR="00420FAC" w:rsidRDefault="00420FAC"/>
    <w:p w14:paraId="2229AB89" w14:textId="77777777" w:rsidR="00420FAC" w:rsidRDefault="00420FAC"/>
    <w:p w14:paraId="33A661BD" w14:textId="77777777" w:rsidR="00420FAC" w:rsidRDefault="00420FAC"/>
    <w:p w14:paraId="110067A1" w14:textId="77777777" w:rsidR="00420FAC" w:rsidRDefault="00420FAC"/>
    <w:p w14:paraId="57944867" w14:textId="77777777" w:rsidR="00420FAC" w:rsidRDefault="00420FAC"/>
    <w:p w14:paraId="6EAA8B1B" w14:textId="77777777" w:rsidR="00420FAC" w:rsidRDefault="00420FAC"/>
    <w:p w14:paraId="1FA77609" w14:textId="77777777" w:rsidR="00420FAC" w:rsidRDefault="00420FAC"/>
    <w:p w14:paraId="7667E80B" w14:textId="77777777" w:rsidR="00420FAC" w:rsidRDefault="00420FAC"/>
    <w:p w14:paraId="0B3DF7B8" w14:textId="77777777" w:rsidR="00420FAC" w:rsidRDefault="00420FAC"/>
    <w:p w14:paraId="6354FBEC" w14:textId="77777777" w:rsidR="00420FAC" w:rsidRDefault="00420FAC"/>
    <w:p w14:paraId="4E5181C6" w14:textId="77777777" w:rsidR="00420FAC" w:rsidRDefault="00420FAC"/>
    <w:p w14:paraId="27EC5821" w14:textId="77777777" w:rsidR="00420FAC" w:rsidRDefault="00420FAC"/>
    <w:p w14:paraId="30FDC39B" w14:textId="77777777" w:rsidR="00420FAC" w:rsidRDefault="00420FAC"/>
    <w:p w14:paraId="1245CE14" w14:textId="77777777" w:rsidR="00420FAC" w:rsidRDefault="00420FAC"/>
    <w:p w14:paraId="1AFF94A8" w14:textId="77777777" w:rsidR="00420FAC" w:rsidRDefault="00420FAC"/>
    <w:sectPr w:rsidR="00420FA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04820E" w14:textId="77777777" w:rsidR="008A5B16" w:rsidRDefault="008A5B16" w:rsidP="00BC27D7">
      <w:pPr>
        <w:spacing w:after="0" w:line="240" w:lineRule="auto"/>
      </w:pPr>
      <w:r>
        <w:separator/>
      </w:r>
    </w:p>
  </w:endnote>
  <w:endnote w:type="continuationSeparator" w:id="0">
    <w:p w14:paraId="053918D0" w14:textId="77777777" w:rsidR="008A5B16" w:rsidRDefault="008A5B16" w:rsidP="00BC27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11631"/>
      <w:docPartObj>
        <w:docPartGallery w:val="Page Numbers (Bottom of Page)"/>
        <w:docPartUnique/>
      </w:docPartObj>
    </w:sdtPr>
    <w:sdtEndPr/>
    <w:sdtContent>
      <w:p w14:paraId="59F302BE" w14:textId="77777777" w:rsidR="00BC27D7" w:rsidRDefault="00BC27D7">
        <w:pPr>
          <w:pStyle w:val="Footer"/>
          <w:jc w:val="right"/>
        </w:pPr>
        <w:r>
          <w:fldChar w:fldCharType="begin"/>
        </w:r>
        <w:r>
          <w:instrText>PAGE   \* MERGEFORMAT</w:instrText>
        </w:r>
        <w:r>
          <w:fldChar w:fldCharType="separate"/>
        </w:r>
        <w:r>
          <w:t>2</w:t>
        </w:r>
        <w:r>
          <w:fldChar w:fldCharType="end"/>
        </w:r>
      </w:p>
    </w:sdtContent>
  </w:sdt>
  <w:p w14:paraId="5ABD1242" w14:textId="77777777" w:rsidR="00BC27D7" w:rsidRDefault="00BC27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786404" w14:textId="77777777" w:rsidR="008A5B16" w:rsidRDefault="008A5B16" w:rsidP="00BC27D7">
      <w:pPr>
        <w:spacing w:after="0" w:line="240" w:lineRule="auto"/>
      </w:pPr>
      <w:r>
        <w:separator/>
      </w:r>
    </w:p>
  </w:footnote>
  <w:footnote w:type="continuationSeparator" w:id="0">
    <w:p w14:paraId="7987A688" w14:textId="77777777" w:rsidR="008A5B16" w:rsidRDefault="008A5B16" w:rsidP="00BC27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837151"/>
    <w:multiLevelType w:val="multilevel"/>
    <w:tmpl w:val="060C32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3E5A47"/>
    <w:multiLevelType w:val="multilevel"/>
    <w:tmpl w:val="495CA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776738"/>
    <w:multiLevelType w:val="multilevel"/>
    <w:tmpl w:val="3C3AE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9F6AA7"/>
    <w:multiLevelType w:val="multilevel"/>
    <w:tmpl w:val="C26AF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AEB047C"/>
    <w:multiLevelType w:val="multilevel"/>
    <w:tmpl w:val="6BA63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3B423A0"/>
    <w:multiLevelType w:val="multilevel"/>
    <w:tmpl w:val="D4A8D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4C31CF6"/>
    <w:multiLevelType w:val="multilevel"/>
    <w:tmpl w:val="9C88AA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60695774">
    <w:abstractNumId w:val="0"/>
  </w:num>
  <w:num w:numId="2" w16cid:durableId="420950824">
    <w:abstractNumId w:val="3"/>
  </w:num>
  <w:num w:numId="3" w16cid:durableId="707295540">
    <w:abstractNumId w:val="5"/>
  </w:num>
  <w:num w:numId="4" w16cid:durableId="1928464501">
    <w:abstractNumId w:val="1"/>
  </w:num>
  <w:num w:numId="5" w16cid:durableId="1992589251">
    <w:abstractNumId w:val="2"/>
  </w:num>
  <w:num w:numId="6" w16cid:durableId="2107266465">
    <w:abstractNumId w:val="4"/>
  </w:num>
  <w:num w:numId="7" w16cid:durableId="1889825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6FB"/>
    <w:rsid w:val="000000B6"/>
    <w:rsid w:val="000116FB"/>
    <w:rsid w:val="000549D2"/>
    <w:rsid w:val="000D1EF3"/>
    <w:rsid w:val="000D22B6"/>
    <w:rsid w:val="000E3EA9"/>
    <w:rsid w:val="0012486E"/>
    <w:rsid w:val="00267180"/>
    <w:rsid w:val="00270331"/>
    <w:rsid w:val="002C1AEB"/>
    <w:rsid w:val="002C3F2A"/>
    <w:rsid w:val="002C45BA"/>
    <w:rsid w:val="004179E9"/>
    <w:rsid w:val="00420FAC"/>
    <w:rsid w:val="00424676"/>
    <w:rsid w:val="00431BD0"/>
    <w:rsid w:val="005229F8"/>
    <w:rsid w:val="00547F65"/>
    <w:rsid w:val="005F66B8"/>
    <w:rsid w:val="00627265"/>
    <w:rsid w:val="006726F7"/>
    <w:rsid w:val="006A6314"/>
    <w:rsid w:val="006A75B4"/>
    <w:rsid w:val="006A7889"/>
    <w:rsid w:val="006D0E9D"/>
    <w:rsid w:val="00704AD2"/>
    <w:rsid w:val="007403CD"/>
    <w:rsid w:val="00781CA1"/>
    <w:rsid w:val="00786A1D"/>
    <w:rsid w:val="007E0916"/>
    <w:rsid w:val="00810FCB"/>
    <w:rsid w:val="00863E0A"/>
    <w:rsid w:val="008A5B16"/>
    <w:rsid w:val="009405E5"/>
    <w:rsid w:val="009A0D15"/>
    <w:rsid w:val="009B4BEA"/>
    <w:rsid w:val="00A1090C"/>
    <w:rsid w:val="00A3185D"/>
    <w:rsid w:val="00A73B56"/>
    <w:rsid w:val="00AE71B8"/>
    <w:rsid w:val="00B74CF7"/>
    <w:rsid w:val="00B76869"/>
    <w:rsid w:val="00B85DC1"/>
    <w:rsid w:val="00BC27D7"/>
    <w:rsid w:val="00C74867"/>
    <w:rsid w:val="00DF6C69"/>
    <w:rsid w:val="00E02B52"/>
    <w:rsid w:val="00EC35EA"/>
    <w:rsid w:val="00ED1257"/>
    <w:rsid w:val="00EF02F2"/>
    <w:rsid w:val="00F62DC7"/>
    <w:rsid w:val="00F971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354CB0"/>
  <w15:chartTrackingRefBased/>
  <w15:docId w15:val="{9F74AF9E-BE50-4B3A-8634-67BDFFD0B3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16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116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16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16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16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16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16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16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16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16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116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16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16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16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16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16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16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16FB"/>
    <w:rPr>
      <w:rFonts w:eastAsiaTheme="majorEastAsia" w:cstheme="majorBidi"/>
      <w:color w:val="272727" w:themeColor="text1" w:themeTint="D8"/>
    </w:rPr>
  </w:style>
  <w:style w:type="paragraph" w:styleId="Title">
    <w:name w:val="Title"/>
    <w:basedOn w:val="Normal"/>
    <w:next w:val="Normal"/>
    <w:link w:val="TitleChar"/>
    <w:uiPriority w:val="10"/>
    <w:qFormat/>
    <w:rsid w:val="000116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16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16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16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16FB"/>
    <w:pPr>
      <w:spacing w:before="160"/>
      <w:jc w:val="center"/>
    </w:pPr>
    <w:rPr>
      <w:i/>
      <w:iCs/>
      <w:color w:val="404040" w:themeColor="text1" w:themeTint="BF"/>
    </w:rPr>
  </w:style>
  <w:style w:type="character" w:customStyle="1" w:styleId="QuoteChar">
    <w:name w:val="Quote Char"/>
    <w:basedOn w:val="DefaultParagraphFont"/>
    <w:link w:val="Quote"/>
    <w:uiPriority w:val="29"/>
    <w:rsid w:val="000116FB"/>
    <w:rPr>
      <w:i/>
      <w:iCs/>
      <w:color w:val="404040" w:themeColor="text1" w:themeTint="BF"/>
    </w:rPr>
  </w:style>
  <w:style w:type="paragraph" w:styleId="ListParagraph">
    <w:name w:val="List Paragraph"/>
    <w:basedOn w:val="Normal"/>
    <w:uiPriority w:val="34"/>
    <w:qFormat/>
    <w:rsid w:val="000116FB"/>
    <w:pPr>
      <w:ind w:left="720"/>
      <w:contextualSpacing/>
    </w:pPr>
  </w:style>
  <w:style w:type="character" w:styleId="IntenseEmphasis">
    <w:name w:val="Intense Emphasis"/>
    <w:basedOn w:val="DefaultParagraphFont"/>
    <w:uiPriority w:val="21"/>
    <w:qFormat/>
    <w:rsid w:val="000116FB"/>
    <w:rPr>
      <w:i/>
      <w:iCs/>
      <w:color w:val="0F4761" w:themeColor="accent1" w:themeShade="BF"/>
    </w:rPr>
  </w:style>
  <w:style w:type="paragraph" w:styleId="IntenseQuote">
    <w:name w:val="Intense Quote"/>
    <w:basedOn w:val="Normal"/>
    <w:next w:val="Normal"/>
    <w:link w:val="IntenseQuoteChar"/>
    <w:uiPriority w:val="30"/>
    <w:qFormat/>
    <w:rsid w:val="000116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16FB"/>
    <w:rPr>
      <w:i/>
      <w:iCs/>
      <w:color w:val="0F4761" w:themeColor="accent1" w:themeShade="BF"/>
    </w:rPr>
  </w:style>
  <w:style w:type="character" w:styleId="IntenseReference">
    <w:name w:val="Intense Reference"/>
    <w:basedOn w:val="DefaultParagraphFont"/>
    <w:uiPriority w:val="32"/>
    <w:qFormat/>
    <w:rsid w:val="000116FB"/>
    <w:rPr>
      <w:b/>
      <w:bCs/>
      <w:smallCaps/>
      <w:color w:val="0F4761" w:themeColor="accent1" w:themeShade="BF"/>
      <w:spacing w:val="5"/>
    </w:rPr>
  </w:style>
  <w:style w:type="paragraph" w:styleId="Header">
    <w:name w:val="header"/>
    <w:basedOn w:val="Normal"/>
    <w:link w:val="HeaderChar"/>
    <w:uiPriority w:val="99"/>
    <w:unhideWhenUsed/>
    <w:rsid w:val="00BC27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27D7"/>
  </w:style>
  <w:style w:type="paragraph" w:styleId="Footer">
    <w:name w:val="footer"/>
    <w:basedOn w:val="Normal"/>
    <w:link w:val="FooterChar"/>
    <w:uiPriority w:val="99"/>
    <w:unhideWhenUsed/>
    <w:rsid w:val="00BC27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27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19</Pages>
  <Words>3677</Words>
  <Characters>20965</Characters>
  <Application>Microsoft Office Word</Application>
  <DocSecurity>0</DocSecurity>
  <Lines>174</Lines>
  <Paragraphs>49</Paragraphs>
  <ScaleCrop>false</ScaleCrop>
  <Company/>
  <LinksUpToDate>false</LinksUpToDate>
  <CharactersWithSpaces>24593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Walker</dc:creator>
  <cp:keywords/>
  <dc:description/>
  <cp:lastModifiedBy>Andrea Walker</cp:lastModifiedBy>
  <cp:revision>2</cp:revision>
  <dcterms:created xsi:type="dcterms:W3CDTF">2026-06-28T11:07:00Z</dcterms:created>
  <dcterms:modified xsi:type="dcterms:W3CDTF">2026-06-28T11:07:00Z</dcterms:modified>
</cp:coreProperties>
</file>