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31C9D" w14:textId="77777777" w:rsidR="00C57018" w:rsidRDefault="00C57018" w:rsidP="00C5701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4"/>
          <w:szCs w:val="44"/>
        </w:rPr>
      </w:pPr>
    </w:p>
    <w:p w14:paraId="24BDC8EF" w14:textId="77777777" w:rsidR="00C57018" w:rsidRDefault="00C57018" w:rsidP="00C5701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4"/>
          <w:szCs w:val="44"/>
        </w:rPr>
      </w:pPr>
    </w:p>
    <w:p w14:paraId="3F2ED2B9" w14:textId="20BD99B0" w:rsidR="00C57018" w:rsidRPr="00C57018" w:rsidRDefault="00C57018" w:rsidP="00C5701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4"/>
          <w:szCs w:val="44"/>
        </w:rPr>
      </w:pPr>
      <w:r w:rsidRPr="00C57018">
        <w:rPr>
          <w:rFonts w:ascii="Arial" w:hAnsi="Arial" w:cs="Arial"/>
          <w:b/>
          <w:bCs/>
          <w:color w:val="000000"/>
          <w:kern w:val="0"/>
          <w:sz w:val="44"/>
          <w:szCs w:val="44"/>
        </w:rPr>
        <w:t>PROFESSIONAL</w:t>
      </w:r>
    </w:p>
    <w:p w14:paraId="6042F4FF" w14:textId="2C713B76" w:rsidR="001E6DDA" w:rsidRDefault="00C57018" w:rsidP="00C57018">
      <w:pPr>
        <w:spacing w:line="360" w:lineRule="auto"/>
        <w:jc w:val="center"/>
        <w:rPr>
          <w:rFonts w:ascii="Arial" w:hAnsi="Arial" w:cs="Arial"/>
          <w:b/>
          <w:bCs/>
          <w:color w:val="000000"/>
          <w:kern w:val="0"/>
          <w:sz w:val="44"/>
          <w:szCs w:val="44"/>
        </w:rPr>
      </w:pPr>
      <w:r w:rsidRPr="00C57018">
        <w:rPr>
          <w:rFonts w:ascii="Arial" w:hAnsi="Arial" w:cs="Arial"/>
          <w:b/>
          <w:bCs/>
          <w:color w:val="000000"/>
          <w:kern w:val="0"/>
          <w:sz w:val="44"/>
          <w:szCs w:val="44"/>
        </w:rPr>
        <w:t>REFLECTION (PORTFOLIO)</w:t>
      </w:r>
    </w:p>
    <w:p w14:paraId="77C82188" w14:textId="3A083FB9" w:rsidR="00C57018" w:rsidRDefault="00C57018" w:rsidP="00C57018">
      <w:pPr>
        <w:spacing w:line="360" w:lineRule="auto"/>
        <w:jc w:val="center"/>
        <w:rPr>
          <w:rFonts w:ascii="Arial" w:hAnsi="Arial" w:cs="Arial"/>
          <w:b/>
          <w:bCs/>
          <w:color w:val="000000"/>
          <w:kern w:val="0"/>
          <w:sz w:val="44"/>
          <w:szCs w:val="44"/>
        </w:rPr>
      </w:pPr>
      <w:r>
        <w:rPr>
          <w:rFonts w:ascii="Arial" w:hAnsi="Arial" w:cs="Arial"/>
          <w:b/>
          <w:bCs/>
          <w:color w:val="000000"/>
          <w:kern w:val="0"/>
          <w:sz w:val="44"/>
          <w:szCs w:val="44"/>
        </w:rPr>
        <w:t>ASSESSMENT 01</w:t>
      </w:r>
    </w:p>
    <w:p w14:paraId="4C8B7442" w14:textId="77777777" w:rsidR="00C57018" w:rsidRDefault="00C57018" w:rsidP="00C57018">
      <w:pPr>
        <w:spacing w:line="360" w:lineRule="auto"/>
        <w:jc w:val="center"/>
        <w:rPr>
          <w:rFonts w:ascii="Arial" w:hAnsi="Arial" w:cs="Arial"/>
          <w:b/>
          <w:bCs/>
          <w:color w:val="000000"/>
          <w:kern w:val="0"/>
          <w:sz w:val="44"/>
          <w:szCs w:val="44"/>
        </w:rPr>
      </w:pPr>
    </w:p>
    <w:p w14:paraId="6B8AED03" w14:textId="77777777" w:rsidR="00C57018" w:rsidRPr="00C57018" w:rsidRDefault="00C57018" w:rsidP="00C57018">
      <w:pPr>
        <w:spacing w:line="360" w:lineRule="auto"/>
        <w:jc w:val="center"/>
        <w:rPr>
          <w:rFonts w:ascii="Arial" w:hAnsi="Arial" w:cs="Arial"/>
          <w:b/>
          <w:bCs/>
          <w:color w:val="000000"/>
          <w:kern w:val="0"/>
          <w:sz w:val="44"/>
          <w:szCs w:val="44"/>
        </w:rPr>
      </w:pPr>
    </w:p>
    <w:p w14:paraId="29AC1986" w14:textId="4678BD11" w:rsidR="00C57018" w:rsidRPr="00C57018" w:rsidRDefault="00C57018" w:rsidP="00C57018">
      <w:pPr>
        <w:spacing w:line="360" w:lineRule="auto"/>
        <w:jc w:val="center"/>
        <w:rPr>
          <w:rFonts w:ascii="Arial" w:hAnsi="Arial" w:cs="Arial"/>
          <w:b/>
          <w:bCs/>
          <w:color w:val="000000"/>
          <w:kern w:val="0"/>
          <w:sz w:val="44"/>
          <w:szCs w:val="44"/>
        </w:rPr>
      </w:pPr>
      <w:r w:rsidRPr="00C57018">
        <w:rPr>
          <w:rFonts w:ascii="Arial" w:hAnsi="Arial" w:cs="Arial"/>
          <w:b/>
          <w:bCs/>
          <w:color w:val="000000"/>
          <w:kern w:val="0"/>
          <w:sz w:val="44"/>
          <w:szCs w:val="44"/>
        </w:rPr>
        <w:t>Foreign Languages</w:t>
      </w:r>
    </w:p>
    <w:p w14:paraId="25C09A88" w14:textId="2031C2EF" w:rsidR="00C57018" w:rsidRDefault="00C57018" w:rsidP="00C57018">
      <w:pPr>
        <w:spacing w:line="360" w:lineRule="auto"/>
        <w:jc w:val="center"/>
        <w:rPr>
          <w:rFonts w:ascii="Arial" w:hAnsi="Arial" w:cs="Arial"/>
          <w:b/>
          <w:bCs/>
          <w:color w:val="000000"/>
          <w:kern w:val="0"/>
          <w:sz w:val="44"/>
          <w:szCs w:val="44"/>
        </w:rPr>
      </w:pPr>
      <w:r w:rsidRPr="00C57018">
        <w:rPr>
          <w:rFonts w:ascii="Arial" w:hAnsi="Arial" w:cs="Arial"/>
          <w:b/>
          <w:bCs/>
          <w:color w:val="000000"/>
          <w:kern w:val="0"/>
          <w:sz w:val="44"/>
          <w:szCs w:val="44"/>
        </w:rPr>
        <w:t>BMIH5003</w:t>
      </w:r>
    </w:p>
    <w:p w14:paraId="3E14D94B" w14:textId="77777777" w:rsidR="00C57018" w:rsidRDefault="00C57018" w:rsidP="00C57018">
      <w:pPr>
        <w:spacing w:line="360" w:lineRule="auto"/>
        <w:jc w:val="center"/>
        <w:rPr>
          <w:rFonts w:ascii="Arial" w:hAnsi="Arial" w:cs="Arial"/>
          <w:b/>
          <w:bCs/>
          <w:color w:val="000000"/>
          <w:kern w:val="0"/>
          <w:sz w:val="44"/>
          <w:szCs w:val="44"/>
        </w:rPr>
      </w:pPr>
    </w:p>
    <w:p w14:paraId="0DA8D25E" w14:textId="77777777" w:rsidR="00C57018" w:rsidRDefault="00C57018" w:rsidP="00C57018">
      <w:pPr>
        <w:spacing w:line="360" w:lineRule="auto"/>
        <w:jc w:val="center"/>
        <w:rPr>
          <w:rFonts w:ascii="Arial" w:hAnsi="Arial" w:cs="Arial"/>
          <w:b/>
          <w:bCs/>
          <w:color w:val="000000"/>
          <w:kern w:val="0"/>
          <w:sz w:val="44"/>
          <w:szCs w:val="44"/>
        </w:rPr>
      </w:pPr>
    </w:p>
    <w:p w14:paraId="28102B38" w14:textId="77777777" w:rsidR="00C57018" w:rsidRDefault="00C57018" w:rsidP="00C57018">
      <w:pPr>
        <w:spacing w:line="360" w:lineRule="auto"/>
        <w:jc w:val="center"/>
        <w:rPr>
          <w:rFonts w:ascii="Arial" w:hAnsi="Arial" w:cs="Arial"/>
          <w:b/>
          <w:bCs/>
          <w:color w:val="000000"/>
          <w:kern w:val="0"/>
          <w:sz w:val="44"/>
          <w:szCs w:val="44"/>
        </w:rPr>
      </w:pPr>
    </w:p>
    <w:p w14:paraId="1292A432" w14:textId="06A74F93" w:rsidR="00C57018" w:rsidRDefault="00C57018" w:rsidP="00C57018">
      <w:pPr>
        <w:spacing w:line="360" w:lineRule="auto"/>
        <w:jc w:val="center"/>
        <w:rPr>
          <w:rFonts w:ascii="Arial" w:hAnsi="Arial" w:cs="Arial"/>
          <w:b/>
          <w:bCs/>
          <w:color w:val="000000"/>
          <w:kern w:val="0"/>
          <w:sz w:val="44"/>
          <w:szCs w:val="44"/>
        </w:rPr>
      </w:pPr>
      <w:r>
        <w:rPr>
          <w:rFonts w:ascii="Arial" w:hAnsi="Arial" w:cs="Arial"/>
          <w:b/>
          <w:bCs/>
          <w:color w:val="000000"/>
          <w:kern w:val="0"/>
          <w:sz w:val="44"/>
          <w:szCs w:val="44"/>
        </w:rPr>
        <w:t>KHALEDA AKTHER</w:t>
      </w:r>
    </w:p>
    <w:p w14:paraId="2E1B62F1" w14:textId="2474B270" w:rsidR="00224280" w:rsidRDefault="00224280" w:rsidP="00C57018">
      <w:pPr>
        <w:spacing w:line="360" w:lineRule="auto"/>
        <w:jc w:val="center"/>
        <w:rPr>
          <w:rFonts w:ascii="Arial" w:hAnsi="Arial" w:cs="Arial"/>
          <w:b/>
          <w:bCs/>
          <w:color w:val="000000"/>
          <w:kern w:val="0"/>
          <w:sz w:val="44"/>
          <w:szCs w:val="44"/>
        </w:rPr>
      </w:pPr>
      <w:r>
        <w:rPr>
          <w:rFonts w:ascii="Arial" w:hAnsi="Arial" w:cs="Arial"/>
          <w:b/>
          <w:bCs/>
          <w:color w:val="000000"/>
          <w:kern w:val="0"/>
          <w:sz w:val="44"/>
          <w:szCs w:val="44"/>
        </w:rPr>
        <w:t>2209626</w:t>
      </w:r>
    </w:p>
    <w:p w14:paraId="7B35314C" w14:textId="77777777" w:rsidR="00C57018" w:rsidRDefault="00C57018" w:rsidP="00C57018">
      <w:pPr>
        <w:spacing w:line="360" w:lineRule="auto"/>
        <w:jc w:val="center"/>
        <w:rPr>
          <w:rFonts w:ascii="Arial" w:hAnsi="Arial" w:cs="Arial"/>
          <w:b/>
          <w:bCs/>
          <w:color w:val="000000"/>
          <w:kern w:val="0"/>
          <w:sz w:val="44"/>
          <w:szCs w:val="44"/>
        </w:rPr>
      </w:pPr>
    </w:p>
    <w:p w14:paraId="239EC23E" w14:textId="77777777" w:rsidR="00C57018" w:rsidRDefault="00C57018" w:rsidP="00C57018">
      <w:pPr>
        <w:spacing w:line="360" w:lineRule="auto"/>
        <w:jc w:val="center"/>
        <w:rPr>
          <w:rFonts w:ascii="Arial" w:hAnsi="Arial" w:cs="Arial"/>
          <w:b/>
          <w:bCs/>
          <w:color w:val="000000"/>
          <w:kern w:val="0"/>
          <w:sz w:val="44"/>
          <w:szCs w:val="44"/>
        </w:rPr>
      </w:pPr>
    </w:p>
    <w:p w14:paraId="258C50E6" w14:textId="77777777" w:rsidR="00C57018" w:rsidRPr="00C57018" w:rsidRDefault="00C57018" w:rsidP="00C57018">
      <w:pPr>
        <w:spacing w:line="360" w:lineRule="auto"/>
        <w:jc w:val="center"/>
        <w:rPr>
          <w:rFonts w:ascii="Arial" w:hAnsi="Arial" w:cs="Arial"/>
          <w:b/>
          <w:bCs/>
          <w:color w:val="000000"/>
          <w:kern w:val="0"/>
          <w:sz w:val="44"/>
          <w:szCs w:val="44"/>
        </w:rPr>
      </w:pPr>
    </w:p>
    <w:p w14:paraId="369E36AA" w14:textId="77777777" w:rsidR="00C57018" w:rsidRDefault="00C57018" w:rsidP="00C57018">
      <w:pPr>
        <w:spacing w:line="360" w:lineRule="auto"/>
        <w:jc w:val="both"/>
        <w:rPr>
          <w:rFonts w:ascii="Arial" w:hAnsi="Arial" w:cs="Arial"/>
        </w:rPr>
      </w:pPr>
    </w:p>
    <w:p w14:paraId="60898EA6" w14:textId="77777777" w:rsidR="00C57018" w:rsidRDefault="00C57018" w:rsidP="00C57018">
      <w:pPr>
        <w:spacing w:line="360" w:lineRule="auto"/>
        <w:jc w:val="both"/>
        <w:rPr>
          <w:rFonts w:ascii="Arial" w:hAnsi="Arial" w:cs="Arial"/>
        </w:rPr>
      </w:pPr>
    </w:p>
    <w:p w14:paraId="5CDA9161" w14:textId="77777777" w:rsidR="00C57018" w:rsidRDefault="00C57018" w:rsidP="00C57018">
      <w:pPr>
        <w:spacing w:line="360" w:lineRule="auto"/>
        <w:jc w:val="both"/>
        <w:rPr>
          <w:rFonts w:ascii="Arial" w:hAnsi="Arial" w:cs="Arial"/>
        </w:rPr>
      </w:pPr>
    </w:p>
    <w:p w14:paraId="3FC2B359" w14:textId="77777777" w:rsidR="00C57018" w:rsidRPr="006D42BE" w:rsidRDefault="00C57018" w:rsidP="00C57018">
      <w:pPr>
        <w:spacing w:line="360" w:lineRule="auto"/>
        <w:jc w:val="both"/>
        <w:rPr>
          <w:rFonts w:ascii="Arial" w:hAnsi="Arial" w:cs="Arial"/>
        </w:rPr>
      </w:pPr>
    </w:p>
    <w:p w14:paraId="21FD8442" w14:textId="77777777" w:rsidR="001E6DDA" w:rsidRPr="006D42BE" w:rsidRDefault="001E6DDA" w:rsidP="006D42BE">
      <w:pPr>
        <w:spacing w:line="360" w:lineRule="auto"/>
        <w:jc w:val="both"/>
        <w:rPr>
          <w:rFonts w:ascii="Arial" w:hAnsi="Arial" w:cs="Arial"/>
        </w:rPr>
      </w:pPr>
    </w:p>
    <w:p w14:paraId="686AA89A" w14:textId="4BC631EA" w:rsidR="001E6DDA" w:rsidRPr="006D42BE" w:rsidRDefault="001E6DDA" w:rsidP="006D42BE">
      <w:pPr>
        <w:spacing w:line="360" w:lineRule="auto"/>
        <w:jc w:val="both"/>
        <w:rPr>
          <w:rFonts w:ascii="Arial" w:hAnsi="Arial" w:cs="Arial"/>
        </w:rPr>
      </w:pPr>
      <w:r w:rsidRPr="006D42BE">
        <w:rPr>
          <w:rFonts w:ascii="Arial" w:hAnsi="Arial" w:cs="Arial"/>
        </w:rPr>
        <w:t>Cultural Misunderstandings: A Professional Reflection</w:t>
      </w:r>
    </w:p>
    <w:p w14:paraId="5ED310C2" w14:textId="77777777" w:rsidR="001E6DDA" w:rsidRPr="006D42BE" w:rsidRDefault="001E6DDA" w:rsidP="006D42BE">
      <w:pPr>
        <w:spacing w:line="360" w:lineRule="auto"/>
        <w:jc w:val="both"/>
        <w:rPr>
          <w:rFonts w:ascii="Arial" w:hAnsi="Arial" w:cs="Arial"/>
        </w:rPr>
      </w:pPr>
    </w:p>
    <w:p w14:paraId="6236C322" w14:textId="4AAD202F" w:rsidR="001E6DDA" w:rsidRPr="006D42BE" w:rsidRDefault="001E6DDA" w:rsidP="006D42BE">
      <w:pPr>
        <w:spacing w:line="360" w:lineRule="auto"/>
        <w:jc w:val="both"/>
        <w:rPr>
          <w:rFonts w:ascii="Arial" w:hAnsi="Arial" w:cs="Arial"/>
        </w:rPr>
      </w:pPr>
      <w:r w:rsidRPr="006D42BE">
        <w:rPr>
          <w:rFonts w:ascii="Arial" w:hAnsi="Arial" w:cs="Arial"/>
        </w:rPr>
        <w:t xml:space="preserve">In the globalized world of the hospitality industry, interactions with guests from diverse cultural backgrounds have become increasingly common. A recent encounter with a Japanese guest, Mr. Tanaka, at the hotel where I work brought to light the significance of cultural sensitivity and the potential for misunderstandings (Cheng, S., &amp; Lu, X., 2018). In this reflection, I will outline the scenario where a cultural misunderstanding occurred, delve into how such misunderstandings can happen, and discuss the skills and </w:t>
      </w:r>
      <w:r w:rsidR="006D42BE" w:rsidRPr="006D42BE">
        <w:rPr>
          <w:rFonts w:ascii="Arial" w:hAnsi="Arial" w:cs="Arial"/>
        </w:rPr>
        <w:t>behavioural</w:t>
      </w:r>
      <w:r w:rsidRPr="006D42BE">
        <w:rPr>
          <w:rFonts w:ascii="Arial" w:hAnsi="Arial" w:cs="Arial"/>
        </w:rPr>
        <w:t xml:space="preserve"> changes needed to prevent such situations in the future.</w:t>
      </w:r>
    </w:p>
    <w:p w14:paraId="69E8D554" w14:textId="77777777" w:rsidR="001E6DDA" w:rsidRPr="006D42BE" w:rsidRDefault="001E6DDA" w:rsidP="006D42BE">
      <w:pPr>
        <w:spacing w:line="360" w:lineRule="auto"/>
        <w:jc w:val="both"/>
        <w:rPr>
          <w:rFonts w:ascii="Arial" w:hAnsi="Arial" w:cs="Arial"/>
        </w:rPr>
      </w:pPr>
    </w:p>
    <w:p w14:paraId="244CD986" w14:textId="77777777" w:rsidR="001E6DDA" w:rsidRPr="006D42BE" w:rsidRDefault="001E6DDA" w:rsidP="006D42BE">
      <w:pPr>
        <w:spacing w:line="360" w:lineRule="auto"/>
        <w:jc w:val="both"/>
        <w:rPr>
          <w:rFonts w:ascii="Arial" w:hAnsi="Arial" w:cs="Arial"/>
        </w:rPr>
      </w:pPr>
      <w:r w:rsidRPr="006D42BE">
        <w:rPr>
          <w:rFonts w:ascii="Arial" w:hAnsi="Arial" w:cs="Arial"/>
        </w:rPr>
        <w:t>The Scenario:</w:t>
      </w:r>
    </w:p>
    <w:p w14:paraId="3341B3A3" w14:textId="6E1AE019" w:rsidR="001E6DDA" w:rsidRPr="006D42BE" w:rsidRDefault="001E6DDA" w:rsidP="006D42BE">
      <w:pPr>
        <w:spacing w:line="360" w:lineRule="auto"/>
        <w:jc w:val="both"/>
        <w:rPr>
          <w:rFonts w:ascii="Arial" w:hAnsi="Arial" w:cs="Arial"/>
        </w:rPr>
      </w:pPr>
      <w:r w:rsidRPr="006D42BE">
        <w:rPr>
          <w:rFonts w:ascii="Arial" w:hAnsi="Arial" w:cs="Arial"/>
        </w:rPr>
        <w:t>In a bus</w:t>
      </w:r>
      <w:r w:rsidR="00310947">
        <w:rPr>
          <w:rFonts w:ascii="Arial" w:hAnsi="Arial" w:cs="Arial"/>
        </w:rPr>
        <w:t>y</w:t>
      </w:r>
      <w:r w:rsidRPr="006D42BE">
        <w:rPr>
          <w:rFonts w:ascii="Arial" w:hAnsi="Arial" w:cs="Arial"/>
        </w:rPr>
        <w:t xml:space="preserve"> hotel lobby filled with guests from different cultural backgrounds, Mr. Tanaka, a Japanese guest, stood out. He approached the Front of House desk and inquired about the availability of tea in his room. Noticing the absence of tea bags or a kettle, he politely expressed his disappointment through limited English. In response, I offered to send up hot water, but Mr. Tanaka appeared disheartened, as if something were lost in translation. This scenario made me realize that his expectations were different, and cultural nuances had caused a misunderstanding.</w:t>
      </w:r>
    </w:p>
    <w:p w14:paraId="7A953267" w14:textId="77777777" w:rsidR="001E6DDA" w:rsidRPr="006D42BE" w:rsidRDefault="001E6DDA" w:rsidP="006D42BE">
      <w:pPr>
        <w:spacing w:line="360" w:lineRule="auto"/>
        <w:jc w:val="both"/>
        <w:rPr>
          <w:rFonts w:ascii="Arial" w:hAnsi="Arial" w:cs="Arial"/>
        </w:rPr>
      </w:pPr>
    </w:p>
    <w:p w14:paraId="48BB907B" w14:textId="77777777" w:rsidR="001E6DDA" w:rsidRPr="006D42BE" w:rsidRDefault="001E6DDA" w:rsidP="006D42BE">
      <w:pPr>
        <w:spacing w:line="360" w:lineRule="auto"/>
        <w:jc w:val="both"/>
        <w:rPr>
          <w:rFonts w:ascii="Arial" w:hAnsi="Arial" w:cs="Arial"/>
        </w:rPr>
      </w:pPr>
      <w:r w:rsidRPr="006D42BE">
        <w:rPr>
          <w:rFonts w:ascii="Arial" w:hAnsi="Arial" w:cs="Arial"/>
        </w:rPr>
        <w:t>Cultural Misunderstandings:</w:t>
      </w:r>
    </w:p>
    <w:p w14:paraId="5EA28A49" w14:textId="6C93D347" w:rsidR="001E6DDA" w:rsidRPr="006D42BE" w:rsidRDefault="001E6DDA" w:rsidP="006D42BE">
      <w:pPr>
        <w:spacing w:line="360" w:lineRule="auto"/>
        <w:jc w:val="both"/>
        <w:rPr>
          <w:rFonts w:ascii="Arial" w:hAnsi="Arial" w:cs="Arial"/>
        </w:rPr>
      </w:pPr>
      <w:r w:rsidRPr="006D42BE">
        <w:rPr>
          <w:rFonts w:ascii="Arial" w:hAnsi="Arial" w:cs="Arial"/>
        </w:rPr>
        <w:t>Cultural misunderstandings can occur when individuals from diverse backgrounds interact. In this situation, several factors contributed to the misunderstanding. My limited knowledge of Japanese tea customs was a primary issue. I was unaware of the profound cultural significance of the Japanese tea ceremony or Chanoyu. In Japan, this art involves meticulous rituals, which I failed to comprehend. My language skills, though proficient, did not extend to understanding the specific cultural nuances of Japanese customs. Consequently, I treated the request as a simple inquiry about tea availability in the room, while Mr. Tanaka expected a more elaborate and culturally sensitive response.</w:t>
      </w:r>
    </w:p>
    <w:p w14:paraId="1C9FF6ED" w14:textId="77777777" w:rsidR="001E6DDA" w:rsidRPr="006D42BE" w:rsidRDefault="001E6DDA" w:rsidP="006D42BE">
      <w:pPr>
        <w:spacing w:line="360" w:lineRule="auto"/>
        <w:jc w:val="both"/>
        <w:rPr>
          <w:rFonts w:ascii="Arial" w:hAnsi="Arial" w:cs="Arial"/>
        </w:rPr>
      </w:pPr>
    </w:p>
    <w:p w14:paraId="3FD0A4DC" w14:textId="77777777" w:rsidR="001E6DDA" w:rsidRPr="006D42BE" w:rsidRDefault="001E6DDA" w:rsidP="006D42BE">
      <w:pPr>
        <w:spacing w:line="360" w:lineRule="auto"/>
        <w:jc w:val="both"/>
        <w:rPr>
          <w:rFonts w:ascii="Arial" w:hAnsi="Arial" w:cs="Arial"/>
        </w:rPr>
      </w:pPr>
      <w:r w:rsidRPr="006D42BE">
        <w:rPr>
          <w:rFonts w:ascii="Arial" w:hAnsi="Arial" w:cs="Arial"/>
        </w:rPr>
        <w:t>Skills and Behavioral Changes:</w:t>
      </w:r>
    </w:p>
    <w:p w14:paraId="42515FB1" w14:textId="6C2F1344" w:rsidR="001E6DDA" w:rsidRPr="006D42BE" w:rsidRDefault="001E6DDA" w:rsidP="006D42BE">
      <w:pPr>
        <w:spacing w:line="360" w:lineRule="auto"/>
        <w:jc w:val="both"/>
        <w:rPr>
          <w:rFonts w:ascii="Arial" w:hAnsi="Arial" w:cs="Arial"/>
        </w:rPr>
      </w:pPr>
      <w:r w:rsidRPr="006D42BE">
        <w:rPr>
          <w:rFonts w:ascii="Arial" w:hAnsi="Arial" w:cs="Arial"/>
        </w:rPr>
        <w:t xml:space="preserve">To prevent such cultural misunderstandings, several skills and </w:t>
      </w:r>
      <w:r w:rsidR="006D42BE" w:rsidRPr="006D42BE">
        <w:rPr>
          <w:rFonts w:ascii="Arial" w:hAnsi="Arial" w:cs="Arial"/>
        </w:rPr>
        <w:t>behavioural</w:t>
      </w:r>
      <w:r w:rsidRPr="006D42BE">
        <w:rPr>
          <w:rFonts w:ascii="Arial" w:hAnsi="Arial" w:cs="Arial"/>
        </w:rPr>
        <w:t xml:space="preserve"> changes are essential. Firstly, developing cultural competence is crucial. Learning about the </w:t>
      </w:r>
      <w:r w:rsidRPr="006D42BE">
        <w:rPr>
          <w:rFonts w:ascii="Arial" w:hAnsi="Arial" w:cs="Arial"/>
        </w:rPr>
        <w:lastRenderedPageBreak/>
        <w:t>customs, traditions, and expectations of guests from various cultural backgrounds is essential. This includes understanding the significance of rituals like the Japanese tea ceremony (Cheng, S., &amp; Lu, X., 2018).</w:t>
      </w:r>
    </w:p>
    <w:p w14:paraId="46D0E5FD" w14:textId="77777777" w:rsidR="001E6DDA" w:rsidRPr="006D42BE" w:rsidRDefault="001E6DDA" w:rsidP="006D42BE">
      <w:pPr>
        <w:spacing w:line="360" w:lineRule="auto"/>
        <w:jc w:val="both"/>
        <w:rPr>
          <w:rFonts w:ascii="Arial" w:hAnsi="Arial" w:cs="Arial"/>
        </w:rPr>
      </w:pPr>
    </w:p>
    <w:p w14:paraId="5713E8D6" w14:textId="77777777" w:rsidR="001E6DDA" w:rsidRPr="006D42BE" w:rsidRDefault="001E6DDA" w:rsidP="006D42BE">
      <w:pPr>
        <w:spacing w:line="360" w:lineRule="auto"/>
        <w:jc w:val="both"/>
        <w:rPr>
          <w:rFonts w:ascii="Arial" w:hAnsi="Arial" w:cs="Arial"/>
        </w:rPr>
      </w:pPr>
      <w:r w:rsidRPr="006D42BE">
        <w:rPr>
          <w:rFonts w:ascii="Arial" w:hAnsi="Arial" w:cs="Arial"/>
        </w:rPr>
        <w:t>Secondly, improving language proficiency, particularly in the context of cultural awareness, is vital. Learning key phrases or terms associated with common cultural practices can enhance communication.</w:t>
      </w:r>
    </w:p>
    <w:p w14:paraId="31D82FFC" w14:textId="77777777" w:rsidR="001E6DDA" w:rsidRPr="006D42BE" w:rsidRDefault="001E6DDA" w:rsidP="006D42BE">
      <w:pPr>
        <w:spacing w:line="360" w:lineRule="auto"/>
        <w:jc w:val="both"/>
        <w:rPr>
          <w:rFonts w:ascii="Arial" w:hAnsi="Arial" w:cs="Arial"/>
        </w:rPr>
      </w:pPr>
    </w:p>
    <w:p w14:paraId="4DB5B302" w14:textId="77777777" w:rsidR="001E6DDA" w:rsidRPr="006D42BE" w:rsidRDefault="001E6DDA" w:rsidP="006D42BE">
      <w:pPr>
        <w:spacing w:line="360" w:lineRule="auto"/>
        <w:jc w:val="both"/>
        <w:rPr>
          <w:rFonts w:ascii="Arial" w:hAnsi="Arial" w:cs="Arial"/>
        </w:rPr>
      </w:pPr>
      <w:r w:rsidRPr="006D42BE">
        <w:rPr>
          <w:rFonts w:ascii="Arial" w:hAnsi="Arial" w:cs="Arial"/>
        </w:rPr>
        <w:t>Moreover, active listening is a skill that should be honed. By paying close attention to guests' requests and cues, we can identify subtle indications of cultural expectations.</w:t>
      </w:r>
    </w:p>
    <w:p w14:paraId="4EA1331C" w14:textId="77777777" w:rsidR="001E6DDA" w:rsidRPr="006D42BE" w:rsidRDefault="001E6DDA" w:rsidP="006D42BE">
      <w:pPr>
        <w:spacing w:line="360" w:lineRule="auto"/>
        <w:jc w:val="both"/>
        <w:rPr>
          <w:rFonts w:ascii="Arial" w:hAnsi="Arial" w:cs="Arial"/>
        </w:rPr>
      </w:pPr>
    </w:p>
    <w:p w14:paraId="4726A8F3" w14:textId="77777777" w:rsidR="001E6DDA" w:rsidRPr="006D42BE" w:rsidRDefault="001E6DDA" w:rsidP="006D42BE">
      <w:pPr>
        <w:spacing w:line="360" w:lineRule="auto"/>
        <w:jc w:val="both"/>
        <w:rPr>
          <w:rFonts w:ascii="Arial" w:hAnsi="Arial" w:cs="Arial"/>
        </w:rPr>
      </w:pPr>
      <w:r w:rsidRPr="006D42BE">
        <w:rPr>
          <w:rFonts w:ascii="Arial" w:hAnsi="Arial" w:cs="Arial"/>
        </w:rPr>
        <w:t>The reflective models of Jasper and Rosser (2013) and Kolb (Wijnen-Meijer et al., 2022) can provide valuable guidance in developing these skills. Reflective practice, as highlighted by Jasper and Rosser, involves a structured and systematic approach to learning from experience. Through reflective cycles, I can examine past experiences, analyze them critically, and identify areas for improvement. Kolb's experiential learning cycle emphasizes the significance of concrete experience, reflective observation, abstract conceptualization, and active experimentation. Applying these models, I can assess past interactions, learn from them, and apply the knowledge to future encounters.</w:t>
      </w:r>
    </w:p>
    <w:p w14:paraId="458EFCA1" w14:textId="77777777" w:rsidR="001E6DDA" w:rsidRPr="006D42BE" w:rsidRDefault="001E6DDA" w:rsidP="006D42BE">
      <w:pPr>
        <w:spacing w:line="360" w:lineRule="auto"/>
        <w:jc w:val="both"/>
        <w:rPr>
          <w:rFonts w:ascii="Arial" w:hAnsi="Arial" w:cs="Arial"/>
        </w:rPr>
      </w:pPr>
    </w:p>
    <w:p w14:paraId="735F7505" w14:textId="197E9671" w:rsidR="001E6DDA" w:rsidRPr="006D42BE" w:rsidRDefault="001E6DDA" w:rsidP="006D42BE">
      <w:pPr>
        <w:spacing w:line="360" w:lineRule="auto"/>
        <w:jc w:val="both"/>
        <w:rPr>
          <w:rFonts w:ascii="Arial" w:hAnsi="Arial" w:cs="Arial"/>
        </w:rPr>
      </w:pPr>
      <w:r w:rsidRPr="006D42BE">
        <w:rPr>
          <w:rFonts w:ascii="Arial" w:hAnsi="Arial" w:cs="Arial"/>
        </w:rPr>
        <w:t>In conclusion, the scenario with Mr. Tanaka underscored the potential for cultural misunderstandings when interacting with guests from diverse backgrounds. It highlighted the importance of cultural competence, language proficiency, and active listening in preventing such misunderstandings. Through structured reflection and experiential learning, I aim to enhance these skills to create a more inclusive and culturally sensitive environment for guests from all corners of the world (Cheng, S., &amp; Lu, X., 2018).</w:t>
      </w:r>
    </w:p>
    <w:p w14:paraId="0118EFAD" w14:textId="77777777" w:rsidR="001E6DDA" w:rsidRPr="006D42BE" w:rsidRDefault="001E6DDA" w:rsidP="006D42BE">
      <w:pPr>
        <w:spacing w:line="360" w:lineRule="auto"/>
        <w:jc w:val="both"/>
        <w:rPr>
          <w:rFonts w:ascii="Arial" w:hAnsi="Arial" w:cs="Arial"/>
        </w:rPr>
      </w:pPr>
    </w:p>
    <w:p w14:paraId="050123B5" w14:textId="77777777" w:rsidR="001E6DDA" w:rsidRDefault="001E6DDA" w:rsidP="006D42BE">
      <w:pPr>
        <w:spacing w:line="360" w:lineRule="auto"/>
        <w:jc w:val="both"/>
        <w:rPr>
          <w:rFonts w:ascii="Arial" w:hAnsi="Arial" w:cs="Arial"/>
          <w:color w:val="222222"/>
          <w:shd w:val="clear" w:color="auto" w:fill="FFFFFF"/>
        </w:rPr>
      </w:pPr>
    </w:p>
    <w:p w14:paraId="0997FCF5" w14:textId="77777777" w:rsidR="00224280" w:rsidRDefault="00224280" w:rsidP="006D42BE">
      <w:pPr>
        <w:spacing w:line="360" w:lineRule="auto"/>
        <w:jc w:val="both"/>
        <w:rPr>
          <w:rFonts w:ascii="Arial" w:hAnsi="Arial" w:cs="Arial"/>
          <w:color w:val="222222"/>
          <w:shd w:val="clear" w:color="auto" w:fill="FFFFFF"/>
        </w:rPr>
      </w:pPr>
    </w:p>
    <w:p w14:paraId="12E4E1B9" w14:textId="77777777" w:rsidR="00224280" w:rsidRDefault="00224280" w:rsidP="006D42BE">
      <w:pPr>
        <w:spacing w:line="360" w:lineRule="auto"/>
        <w:jc w:val="both"/>
        <w:rPr>
          <w:rFonts w:ascii="Arial" w:hAnsi="Arial" w:cs="Arial"/>
          <w:color w:val="222222"/>
          <w:shd w:val="clear" w:color="auto" w:fill="FFFFFF"/>
        </w:rPr>
      </w:pPr>
    </w:p>
    <w:p w14:paraId="266DFEBC" w14:textId="77777777" w:rsidR="00224280" w:rsidRDefault="00224280" w:rsidP="006D42BE">
      <w:pPr>
        <w:spacing w:line="360" w:lineRule="auto"/>
        <w:jc w:val="both"/>
        <w:rPr>
          <w:rFonts w:ascii="Arial" w:hAnsi="Arial" w:cs="Arial"/>
          <w:color w:val="222222"/>
          <w:shd w:val="clear" w:color="auto" w:fill="FFFFFF"/>
        </w:rPr>
      </w:pPr>
    </w:p>
    <w:p w14:paraId="06F7CA93" w14:textId="77777777" w:rsidR="00224280" w:rsidRPr="006D42BE" w:rsidRDefault="00224280" w:rsidP="006D42BE">
      <w:pPr>
        <w:spacing w:line="360" w:lineRule="auto"/>
        <w:jc w:val="both"/>
        <w:rPr>
          <w:rFonts w:ascii="Arial" w:hAnsi="Arial" w:cs="Arial"/>
          <w:color w:val="222222"/>
          <w:shd w:val="clear" w:color="auto" w:fill="FFFFFF"/>
        </w:rPr>
      </w:pPr>
    </w:p>
    <w:p w14:paraId="17C38117" w14:textId="77777777" w:rsidR="001E6DDA" w:rsidRPr="006D42BE" w:rsidRDefault="001E6DDA" w:rsidP="006D42BE">
      <w:pPr>
        <w:spacing w:line="360" w:lineRule="auto"/>
        <w:jc w:val="both"/>
        <w:rPr>
          <w:rFonts w:ascii="Arial" w:hAnsi="Arial" w:cs="Arial"/>
          <w:color w:val="222222"/>
          <w:shd w:val="clear" w:color="auto" w:fill="FFFFFF"/>
        </w:rPr>
      </w:pPr>
      <w:r w:rsidRPr="006D42BE">
        <w:rPr>
          <w:rFonts w:ascii="Arial" w:hAnsi="Arial" w:cs="Arial"/>
          <w:color w:val="222222"/>
          <w:shd w:val="clear" w:color="auto" w:fill="FFFFFF"/>
        </w:rPr>
        <w:lastRenderedPageBreak/>
        <w:t>References:</w:t>
      </w:r>
    </w:p>
    <w:p w14:paraId="77CF42D8" w14:textId="77777777" w:rsidR="001E6DDA" w:rsidRPr="006D42BE" w:rsidRDefault="001E6DDA" w:rsidP="006D42BE">
      <w:pPr>
        <w:spacing w:line="360" w:lineRule="auto"/>
        <w:jc w:val="both"/>
        <w:rPr>
          <w:rFonts w:ascii="Arial" w:hAnsi="Arial" w:cs="Arial"/>
          <w:color w:val="222222"/>
          <w:shd w:val="clear" w:color="auto" w:fill="FFFFFF"/>
        </w:rPr>
      </w:pPr>
    </w:p>
    <w:p w14:paraId="65445F0A" w14:textId="77777777" w:rsidR="001E6DDA" w:rsidRPr="006D42BE" w:rsidRDefault="001E6DDA" w:rsidP="006D42BE">
      <w:pPr>
        <w:spacing w:line="360" w:lineRule="auto"/>
        <w:jc w:val="both"/>
        <w:rPr>
          <w:rFonts w:ascii="Arial" w:hAnsi="Arial" w:cs="Arial"/>
          <w:color w:val="222222"/>
          <w:shd w:val="clear" w:color="auto" w:fill="FFFFFF"/>
        </w:rPr>
      </w:pPr>
      <w:r w:rsidRPr="006D42BE">
        <w:rPr>
          <w:rFonts w:ascii="Arial" w:hAnsi="Arial" w:cs="Arial"/>
          <w:color w:val="222222"/>
          <w:shd w:val="clear" w:color="auto" w:fill="FFFFFF"/>
        </w:rPr>
        <w:t>Cheng, S., &amp; Lu, X. (2018). Cultural misunderstandings and cultural failures. Routledge.</w:t>
      </w:r>
    </w:p>
    <w:p w14:paraId="0AFEE52B" w14:textId="77777777" w:rsidR="001E6DDA" w:rsidRPr="006D42BE" w:rsidRDefault="001E6DDA" w:rsidP="006D42BE">
      <w:pPr>
        <w:spacing w:line="360" w:lineRule="auto"/>
        <w:jc w:val="both"/>
        <w:rPr>
          <w:rFonts w:ascii="Arial" w:hAnsi="Arial" w:cs="Arial"/>
          <w:color w:val="222222"/>
          <w:shd w:val="clear" w:color="auto" w:fill="FFFFFF"/>
        </w:rPr>
      </w:pPr>
    </w:p>
    <w:p w14:paraId="6FAA50A0" w14:textId="77777777" w:rsidR="001E6DDA" w:rsidRPr="006D42BE" w:rsidRDefault="001E6DDA" w:rsidP="006D42BE">
      <w:pPr>
        <w:spacing w:line="360" w:lineRule="auto"/>
        <w:jc w:val="both"/>
        <w:rPr>
          <w:rFonts w:ascii="Arial" w:hAnsi="Arial" w:cs="Arial"/>
          <w:color w:val="222222"/>
          <w:shd w:val="clear" w:color="auto" w:fill="FFFFFF"/>
        </w:rPr>
      </w:pPr>
      <w:r w:rsidRPr="006D42BE">
        <w:rPr>
          <w:rFonts w:ascii="Arial" w:hAnsi="Arial" w:cs="Arial"/>
          <w:color w:val="222222"/>
          <w:shd w:val="clear" w:color="auto" w:fill="FFFFFF"/>
        </w:rPr>
        <w:t>Jasper, M., &amp; Rosser, M. (2013). Reflection and reflective practice. Professional development, reflection and decision-making in nursing and healthcare. Chichester: Wiley-Blackwell, 41-82.</w:t>
      </w:r>
    </w:p>
    <w:p w14:paraId="73E3F831" w14:textId="77777777" w:rsidR="001E6DDA" w:rsidRPr="006D42BE" w:rsidRDefault="001E6DDA" w:rsidP="006D42BE">
      <w:pPr>
        <w:spacing w:line="360" w:lineRule="auto"/>
        <w:jc w:val="both"/>
        <w:rPr>
          <w:rFonts w:ascii="Arial" w:hAnsi="Arial" w:cs="Arial"/>
          <w:color w:val="222222"/>
          <w:shd w:val="clear" w:color="auto" w:fill="FFFFFF"/>
        </w:rPr>
      </w:pPr>
    </w:p>
    <w:p w14:paraId="0BB56990" w14:textId="77777777" w:rsidR="001E6DDA" w:rsidRPr="006D42BE" w:rsidRDefault="001E6DDA" w:rsidP="006D42BE">
      <w:pPr>
        <w:spacing w:line="360" w:lineRule="auto"/>
        <w:jc w:val="both"/>
        <w:rPr>
          <w:rFonts w:ascii="Arial" w:hAnsi="Arial" w:cs="Arial"/>
          <w:color w:val="222222"/>
          <w:shd w:val="clear" w:color="auto" w:fill="FFFFFF"/>
        </w:rPr>
      </w:pPr>
      <w:r w:rsidRPr="006D42BE">
        <w:rPr>
          <w:rFonts w:ascii="Arial" w:hAnsi="Arial" w:cs="Arial"/>
          <w:color w:val="222222"/>
          <w:shd w:val="clear" w:color="auto" w:fill="FFFFFF"/>
        </w:rPr>
        <w:t>Wijnen-Meijer, M., Brandhuber, T., Schneider, A., &amp; Berberat, P. O. (2022). Implementing Kolb's experiential learning cycle by linking real experience, case-based discussion, and simulation. Journal of medical education and curricular development, 9, 23821205221091511.</w:t>
      </w:r>
    </w:p>
    <w:p w14:paraId="4C520D05" w14:textId="77777777" w:rsidR="001E6DDA" w:rsidRPr="006D42BE" w:rsidRDefault="001E6DDA" w:rsidP="006D42BE">
      <w:pPr>
        <w:spacing w:line="360" w:lineRule="auto"/>
        <w:jc w:val="both"/>
        <w:rPr>
          <w:rFonts w:ascii="Arial" w:hAnsi="Arial" w:cs="Arial"/>
        </w:rPr>
      </w:pPr>
    </w:p>
    <w:sectPr w:rsidR="001E6DDA" w:rsidRPr="006D42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180"/>
    <w:rsid w:val="001E6DDA"/>
    <w:rsid w:val="00224280"/>
    <w:rsid w:val="00310947"/>
    <w:rsid w:val="00403180"/>
    <w:rsid w:val="00442262"/>
    <w:rsid w:val="0059540A"/>
    <w:rsid w:val="00653E85"/>
    <w:rsid w:val="006B7094"/>
    <w:rsid w:val="006D42BE"/>
    <w:rsid w:val="00BE006C"/>
    <w:rsid w:val="00C57018"/>
    <w:rsid w:val="00F32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A33C49"/>
  <w15:chartTrackingRefBased/>
  <w15:docId w15:val="{7D89568E-9A13-C549-8820-F601E8B2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031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4</Pages>
  <Words>637</Words>
  <Characters>3956</Characters>
  <Application>Microsoft Office Word</Application>
  <DocSecurity>0</DocSecurity>
  <Lines>102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9</cp:revision>
  <dcterms:created xsi:type="dcterms:W3CDTF">2023-10-19T12:00:00Z</dcterms:created>
  <dcterms:modified xsi:type="dcterms:W3CDTF">2023-10-19T12:39:00Z</dcterms:modified>
  <cp:category/>
</cp:coreProperties>
</file>