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5A89DA" w14:textId="77777777" w:rsidR="00D82DC0" w:rsidRDefault="00FB23DD">
      <w:pPr>
        <w:spacing w:after="160" w:line="259" w:lineRule="auto"/>
        <w:ind w:left="0" w:firstLine="0"/>
        <w:jc w:val="left"/>
      </w:pPr>
      <w:r>
        <w:rPr>
          <w:rFonts w:ascii="Calibri" w:eastAsia="Calibri" w:hAnsi="Calibri" w:cs="Calibri"/>
          <w:sz w:val="22"/>
        </w:rPr>
        <w:t xml:space="preserve"> </w:t>
      </w:r>
    </w:p>
    <w:p w14:paraId="1B6755CB" w14:textId="77777777" w:rsidR="00D82DC0" w:rsidRDefault="00FB23DD">
      <w:pPr>
        <w:spacing w:after="160" w:line="259" w:lineRule="auto"/>
        <w:ind w:left="0" w:firstLine="0"/>
        <w:jc w:val="left"/>
      </w:pPr>
      <w:r>
        <w:rPr>
          <w:rFonts w:ascii="Calibri" w:eastAsia="Calibri" w:hAnsi="Calibri" w:cs="Calibri"/>
          <w:sz w:val="22"/>
        </w:rPr>
        <w:t xml:space="preserve"> </w:t>
      </w:r>
    </w:p>
    <w:p w14:paraId="6652FCA0" w14:textId="77777777" w:rsidR="00D82DC0" w:rsidRDefault="00FB23DD">
      <w:pPr>
        <w:spacing w:after="815" w:line="259" w:lineRule="auto"/>
        <w:ind w:left="0" w:firstLine="0"/>
        <w:jc w:val="left"/>
      </w:pPr>
      <w:r>
        <w:rPr>
          <w:rFonts w:ascii="Calibri" w:eastAsia="Calibri" w:hAnsi="Calibri" w:cs="Calibri"/>
          <w:sz w:val="22"/>
        </w:rPr>
        <w:t xml:space="preserve"> </w:t>
      </w:r>
    </w:p>
    <w:p w14:paraId="18B26297" w14:textId="77777777" w:rsidR="00D82DC0" w:rsidRDefault="00FB23DD">
      <w:pPr>
        <w:spacing w:after="0" w:line="216" w:lineRule="auto"/>
        <w:jc w:val="center"/>
      </w:pPr>
      <w:r>
        <w:rPr>
          <w:b/>
          <w:sz w:val="44"/>
        </w:rPr>
        <w:t>PSYCHOLOGY FOR HEALTH AND SOCIAL CARE</w:t>
      </w:r>
      <w:r>
        <w:rPr>
          <w:rFonts w:ascii="Calibri" w:eastAsia="Calibri" w:hAnsi="Calibri" w:cs="Calibri"/>
          <w:sz w:val="80"/>
        </w:rPr>
        <w:t xml:space="preserve"> </w:t>
      </w:r>
    </w:p>
    <w:p w14:paraId="0E7CF3E1" w14:textId="77777777" w:rsidR="00D82DC0" w:rsidRDefault="00FB23DD">
      <w:pPr>
        <w:spacing w:after="125" w:line="259" w:lineRule="auto"/>
        <w:ind w:left="0" w:firstLine="0"/>
        <w:jc w:val="left"/>
      </w:pPr>
      <w:r>
        <w:rPr>
          <w:rFonts w:ascii="Calibri" w:eastAsia="Calibri" w:hAnsi="Calibri" w:cs="Calibri"/>
          <w:noProof/>
          <w:sz w:val="22"/>
        </w:rPr>
        <mc:AlternateContent>
          <mc:Choice Requires="wpg">
            <w:drawing>
              <wp:inline distT="0" distB="0" distL="0" distR="0" wp14:anchorId="5D942307" wp14:editId="1710B43D">
                <wp:extent cx="5879466" cy="6350"/>
                <wp:effectExtent l="0" t="0" r="0" b="0"/>
                <wp:docPr id="11799" name="Group 11799"/>
                <wp:cNvGraphicFramePr/>
                <a:graphic xmlns:a="http://schemas.openxmlformats.org/drawingml/2006/main">
                  <a:graphicData uri="http://schemas.microsoft.com/office/word/2010/wordprocessingGroup">
                    <wpg:wgp>
                      <wpg:cNvGrpSpPr/>
                      <wpg:grpSpPr>
                        <a:xfrm>
                          <a:off x="0" y="0"/>
                          <a:ext cx="5879466" cy="6350"/>
                          <a:chOff x="0" y="0"/>
                          <a:chExt cx="5879466" cy="6350"/>
                        </a:xfrm>
                      </wpg:grpSpPr>
                      <wps:wsp>
                        <wps:cNvPr id="13259" name="Shape 13259"/>
                        <wps:cNvSpPr/>
                        <wps:spPr>
                          <a:xfrm>
                            <a:off x="0" y="0"/>
                            <a:ext cx="5879466" cy="9144"/>
                          </a:xfrm>
                          <a:custGeom>
                            <a:avLst/>
                            <a:gdLst/>
                            <a:ahLst/>
                            <a:cxnLst/>
                            <a:rect l="0" t="0" r="0" b="0"/>
                            <a:pathLst>
                              <a:path w="5879466" h="9144">
                                <a:moveTo>
                                  <a:pt x="0" y="0"/>
                                </a:moveTo>
                                <a:lnTo>
                                  <a:pt x="5879466" y="0"/>
                                </a:lnTo>
                                <a:lnTo>
                                  <a:pt x="5879466" y="9144"/>
                                </a:lnTo>
                                <a:lnTo>
                                  <a:pt x="0" y="9144"/>
                                </a:lnTo>
                                <a:lnTo>
                                  <a:pt x="0" y="0"/>
                                </a:lnTo>
                              </a:path>
                            </a:pathLst>
                          </a:custGeom>
                          <a:ln w="0" cap="flat">
                            <a:miter lim="127000"/>
                          </a:ln>
                        </wps:spPr>
                        <wps:style>
                          <a:lnRef idx="0">
                            <a:srgbClr val="000000">
                              <a:alpha val="0"/>
                            </a:srgbClr>
                          </a:lnRef>
                          <a:fillRef idx="1">
                            <a:srgbClr val="5B9BD5"/>
                          </a:fillRef>
                          <a:effectRef idx="0">
                            <a:scrgbClr r="0" g="0" b="0"/>
                          </a:effectRef>
                          <a:fontRef idx="none"/>
                        </wps:style>
                        <wps:bodyPr/>
                      </wps:wsp>
                    </wpg:wgp>
                  </a:graphicData>
                </a:graphic>
              </wp:inline>
            </w:drawing>
          </mc:Choice>
          <mc:Fallback xmlns:a="http://schemas.openxmlformats.org/drawingml/2006/main">
            <w:pict>
              <v:group id="Group 11799" style="width:462.95pt;height:0.5pt;mso-position-horizontal-relative:char;mso-position-vertical-relative:line" coordsize="58794,63">
                <v:shape id="Shape 13260" style="position:absolute;width:58794;height:91;left:0;top:0;" coordsize="5879466,9144" path="m0,0l5879466,0l5879466,9144l0,9144l0,0">
                  <v:stroke weight="0pt" endcap="flat" joinstyle="miter" miterlimit="10" on="false" color="#000000" opacity="0"/>
                  <v:fill on="true" color="#5b9bd5"/>
                </v:shape>
              </v:group>
            </w:pict>
          </mc:Fallback>
        </mc:AlternateContent>
      </w:r>
    </w:p>
    <w:p w14:paraId="6AA4BAFA" w14:textId="77777777" w:rsidR="00D82DC0" w:rsidRDefault="00FB23DD">
      <w:pPr>
        <w:spacing w:after="79" w:line="216" w:lineRule="auto"/>
        <w:ind w:right="104"/>
        <w:jc w:val="center"/>
      </w:pPr>
      <w:r>
        <w:rPr>
          <w:b/>
          <w:sz w:val="44"/>
        </w:rPr>
        <w:t>ASSIGNMENT</w:t>
      </w:r>
      <w:r>
        <w:rPr>
          <w:rFonts w:ascii="Calibri" w:eastAsia="Calibri" w:hAnsi="Calibri" w:cs="Calibri"/>
          <w:sz w:val="44"/>
        </w:rPr>
        <w:t xml:space="preserve"> </w:t>
      </w:r>
    </w:p>
    <w:p w14:paraId="4CA60A85" w14:textId="77777777" w:rsidR="00D82DC0" w:rsidRDefault="00FB23DD">
      <w:pPr>
        <w:spacing w:after="25" w:line="259" w:lineRule="auto"/>
        <w:ind w:left="0" w:right="53" w:firstLine="0"/>
        <w:jc w:val="center"/>
      </w:pPr>
      <w:r>
        <w:rPr>
          <w:rFonts w:ascii="Calibri" w:eastAsia="Calibri" w:hAnsi="Calibri" w:cs="Calibri"/>
          <w:sz w:val="22"/>
        </w:rPr>
        <w:t xml:space="preserve"> </w:t>
      </w:r>
    </w:p>
    <w:p w14:paraId="18EE7A45" w14:textId="77777777" w:rsidR="00D82DC0" w:rsidRDefault="00FB23DD">
      <w:pPr>
        <w:spacing w:after="160" w:line="259" w:lineRule="auto"/>
        <w:ind w:left="0" w:firstLine="0"/>
        <w:jc w:val="left"/>
      </w:pPr>
      <w:r>
        <w:rPr>
          <w:rFonts w:ascii="Calibri" w:eastAsia="Calibri" w:hAnsi="Calibri" w:cs="Calibri"/>
          <w:sz w:val="22"/>
        </w:rPr>
        <w:t xml:space="preserve"> </w:t>
      </w:r>
    </w:p>
    <w:p w14:paraId="0FD55667" w14:textId="3DC528F3" w:rsidR="00D82DC0" w:rsidRDefault="00FB23DD">
      <w:pPr>
        <w:spacing w:after="180" w:line="259" w:lineRule="auto"/>
        <w:ind w:left="0" w:firstLine="0"/>
        <w:jc w:val="left"/>
        <w:rPr>
          <w:rFonts w:eastAsia="Calibri"/>
          <w:b/>
          <w:bCs/>
          <w:sz w:val="44"/>
          <w:szCs w:val="44"/>
          <w:u w:val="single"/>
        </w:rPr>
      </w:pPr>
      <w:r>
        <w:rPr>
          <w:rFonts w:ascii="Calibri" w:eastAsia="Calibri" w:hAnsi="Calibri" w:cs="Calibri"/>
          <w:sz w:val="22"/>
        </w:rPr>
        <w:t xml:space="preserve"> </w:t>
      </w:r>
      <w:r w:rsidR="00BC2371">
        <w:rPr>
          <w:rFonts w:eastAsia="Calibri"/>
          <w:b/>
          <w:bCs/>
          <w:sz w:val="44"/>
          <w:szCs w:val="44"/>
          <w:u w:val="single"/>
        </w:rPr>
        <w:t xml:space="preserve">Course </w:t>
      </w:r>
      <w:r w:rsidR="00861E21">
        <w:rPr>
          <w:rFonts w:eastAsia="Calibri"/>
          <w:b/>
          <w:bCs/>
          <w:sz w:val="44"/>
          <w:szCs w:val="44"/>
          <w:u w:val="single"/>
        </w:rPr>
        <w:t>Id: BMHP4003</w:t>
      </w:r>
    </w:p>
    <w:p w14:paraId="30E7FDA4" w14:textId="5A53BC82" w:rsidR="00861E21" w:rsidRDefault="00FD2DBE">
      <w:pPr>
        <w:spacing w:after="180" w:line="259" w:lineRule="auto"/>
        <w:ind w:left="0" w:firstLine="0"/>
        <w:jc w:val="left"/>
        <w:rPr>
          <w:rFonts w:eastAsia="Calibri"/>
          <w:b/>
          <w:bCs/>
          <w:sz w:val="44"/>
          <w:szCs w:val="44"/>
        </w:rPr>
      </w:pPr>
      <w:r>
        <w:rPr>
          <w:rFonts w:eastAsia="Calibri"/>
          <w:b/>
          <w:bCs/>
          <w:sz w:val="44"/>
          <w:szCs w:val="44"/>
          <w:u w:val="single"/>
        </w:rPr>
        <w:t xml:space="preserve">Student </w:t>
      </w:r>
      <w:proofErr w:type="gramStart"/>
      <w:r>
        <w:rPr>
          <w:rFonts w:eastAsia="Calibri"/>
          <w:b/>
          <w:bCs/>
          <w:sz w:val="44"/>
          <w:szCs w:val="44"/>
          <w:u w:val="single"/>
        </w:rPr>
        <w:t>name :</w:t>
      </w:r>
      <w:proofErr w:type="gramEnd"/>
      <w:r>
        <w:rPr>
          <w:rFonts w:eastAsia="Calibri"/>
          <w:b/>
          <w:bCs/>
          <w:sz w:val="44"/>
          <w:szCs w:val="44"/>
          <w:u w:val="single"/>
        </w:rPr>
        <w:t xml:space="preserve"> </w:t>
      </w:r>
      <w:proofErr w:type="spellStart"/>
      <w:r>
        <w:rPr>
          <w:rFonts w:eastAsia="Calibri"/>
          <w:b/>
          <w:bCs/>
          <w:sz w:val="44"/>
          <w:szCs w:val="44"/>
          <w:u w:val="single"/>
        </w:rPr>
        <w:t>Sweeba</w:t>
      </w:r>
      <w:proofErr w:type="spellEnd"/>
      <w:r>
        <w:rPr>
          <w:rFonts w:eastAsia="Calibri"/>
          <w:b/>
          <w:bCs/>
          <w:sz w:val="44"/>
          <w:szCs w:val="44"/>
          <w:u w:val="single"/>
        </w:rPr>
        <w:t xml:space="preserve"> </w:t>
      </w:r>
      <w:proofErr w:type="spellStart"/>
      <w:r>
        <w:rPr>
          <w:rFonts w:eastAsia="Calibri"/>
          <w:b/>
          <w:bCs/>
          <w:sz w:val="44"/>
          <w:szCs w:val="44"/>
        </w:rPr>
        <w:t>Altaf</w:t>
      </w:r>
      <w:proofErr w:type="spellEnd"/>
    </w:p>
    <w:p w14:paraId="46F93830" w14:textId="36DBA577" w:rsidR="00FD2DBE" w:rsidRDefault="00D50202">
      <w:pPr>
        <w:spacing w:after="180" w:line="259" w:lineRule="auto"/>
        <w:ind w:left="0" w:firstLine="0"/>
        <w:jc w:val="left"/>
        <w:rPr>
          <w:rFonts w:eastAsia="Calibri"/>
          <w:b/>
          <w:bCs/>
          <w:sz w:val="44"/>
          <w:szCs w:val="44"/>
        </w:rPr>
      </w:pPr>
      <w:r>
        <w:rPr>
          <w:rFonts w:eastAsia="Calibri"/>
          <w:b/>
          <w:bCs/>
          <w:sz w:val="44"/>
          <w:szCs w:val="44"/>
        </w:rPr>
        <w:t xml:space="preserve">Student Id: </w:t>
      </w:r>
      <w:r w:rsidR="00604600">
        <w:rPr>
          <w:rFonts w:eastAsia="Calibri"/>
          <w:b/>
          <w:bCs/>
          <w:sz w:val="44"/>
          <w:szCs w:val="44"/>
        </w:rPr>
        <w:t>2020625</w:t>
      </w:r>
    </w:p>
    <w:p w14:paraId="56416911" w14:textId="4E7DABEF" w:rsidR="00604600" w:rsidRPr="00FD2DBE" w:rsidRDefault="00604600">
      <w:pPr>
        <w:spacing w:after="180" w:line="259" w:lineRule="auto"/>
        <w:ind w:left="0" w:firstLine="0"/>
        <w:jc w:val="left"/>
        <w:rPr>
          <w:b/>
          <w:bCs/>
          <w:sz w:val="44"/>
          <w:szCs w:val="44"/>
        </w:rPr>
      </w:pPr>
      <w:r>
        <w:rPr>
          <w:rFonts w:eastAsia="Calibri"/>
          <w:b/>
          <w:bCs/>
          <w:sz w:val="44"/>
          <w:szCs w:val="44"/>
        </w:rPr>
        <w:t>Lectures name: Rebecca Kavanagh</w:t>
      </w:r>
    </w:p>
    <w:p w14:paraId="06605CC7" w14:textId="77777777" w:rsidR="00D82DC0" w:rsidRDefault="00FB23DD">
      <w:pPr>
        <w:spacing w:after="0" w:line="259" w:lineRule="auto"/>
        <w:ind w:left="0" w:firstLine="0"/>
        <w:jc w:val="left"/>
      </w:pPr>
      <w:r>
        <w:rPr>
          <w:b/>
          <w:i/>
        </w:rPr>
        <w:t xml:space="preserve"> </w:t>
      </w:r>
      <w:r>
        <w:rPr>
          <w:b/>
          <w:i/>
        </w:rPr>
        <w:tab/>
        <w:t xml:space="preserve"> </w:t>
      </w:r>
      <w:r>
        <w:br w:type="page"/>
      </w:r>
    </w:p>
    <w:p w14:paraId="39D3E9FA" w14:textId="77777777" w:rsidR="00D82DC0" w:rsidRDefault="00FB23DD">
      <w:pPr>
        <w:spacing w:after="275" w:line="259" w:lineRule="auto"/>
        <w:ind w:left="0" w:firstLine="0"/>
        <w:jc w:val="left"/>
      </w:pPr>
      <w:r>
        <w:t xml:space="preserve"> </w:t>
      </w:r>
    </w:p>
    <w:p w14:paraId="11C3F1B1" w14:textId="77777777" w:rsidR="00D82DC0" w:rsidRDefault="00FB23DD">
      <w:pPr>
        <w:spacing w:after="275" w:line="259" w:lineRule="auto"/>
        <w:ind w:left="0" w:firstLine="0"/>
        <w:jc w:val="left"/>
      </w:pPr>
      <w:r>
        <w:t xml:space="preserve"> </w:t>
      </w:r>
    </w:p>
    <w:p w14:paraId="251BCCEC" w14:textId="77777777" w:rsidR="00D82DC0" w:rsidRDefault="00FB23DD">
      <w:pPr>
        <w:spacing w:after="270" w:line="259" w:lineRule="auto"/>
        <w:ind w:left="0" w:firstLine="0"/>
        <w:jc w:val="left"/>
      </w:pPr>
      <w:r>
        <w:rPr>
          <w:b/>
          <w:i/>
        </w:rPr>
        <w:t xml:space="preserve"> </w:t>
      </w:r>
    </w:p>
    <w:p w14:paraId="3691475C" w14:textId="77777777" w:rsidR="00D82DC0" w:rsidRDefault="00FB23DD">
      <w:pPr>
        <w:spacing w:after="275" w:line="259" w:lineRule="auto"/>
        <w:ind w:left="0" w:firstLine="0"/>
        <w:jc w:val="left"/>
      </w:pPr>
      <w:r>
        <w:rPr>
          <w:b/>
          <w:i/>
        </w:rPr>
        <w:t xml:space="preserve"> </w:t>
      </w:r>
    </w:p>
    <w:p w14:paraId="7E6B7527" w14:textId="77777777" w:rsidR="00D82DC0" w:rsidRDefault="00FB23DD">
      <w:pPr>
        <w:spacing w:after="430" w:line="259" w:lineRule="auto"/>
        <w:ind w:left="0" w:firstLine="0"/>
        <w:jc w:val="left"/>
      </w:pPr>
      <w:r>
        <w:rPr>
          <w:b/>
          <w:i/>
        </w:rPr>
        <w:t xml:space="preserve"> </w:t>
      </w:r>
    </w:p>
    <w:sdt>
      <w:sdtPr>
        <w:id w:val="1340727329"/>
        <w:docPartObj>
          <w:docPartGallery w:val="Table of Contents"/>
        </w:docPartObj>
      </w:sdtPr>
      <w:sdtEndPr/>
      <w:sdtContent>
        <w:p w14:paraId="7B7A461C" w14:textId="77777777" w:rsidR="00D82DC0" w:rsidRDefault="00FB23DD">
          <w:pPr>
            <w:spacing w:after="110" w:line="259" w:lineRule="auto"/>
            <w:ind w:left="0" w:firstLine="0"/>
            <w:jc w:val="left"/>
          </w:pPr>
          <w:r>
            <w:rPr>
              <w:sz w:val="32"/>
            </w:rPr>
            <w:t xml:space="preserve">Table of Contents </w:t>
          </w:r>
        </w:p>
        <w:p w14:paraId="1CE0A493" w14:textId="77777777" w:rsidR="00D82DC0" w:rsidRDefault="00FB23DD">
          <w:pPr>
            <w:pStyle w:val="TOC3"/>
            <w:tabs>
              <w:tab w:val="right" w:leader="dot" w:pos="9367"/>
            </w:tabs>
          </w:pPr>
          <w:r>
            <w:fldChar w:fldCharType="begin"/>
          </w:r>
          <w:r>
            <w:instrText xml:space="preserve"> TOC \o "1-3" \h \z \u </w:instrText>
          </w:r>
          <w:r>
            <w:fldChar w:fldCharType="separate"/>
          </w:r>
          <w:hyperlink w:anchor="_Toc13231">
            <w:r>
              <w:t xml:space="preserve">      Introduction</w:t>
            </w:r>
            <w:r>
              <w:tab/>
            </w:r>
            <w:r>
              <w:fldChar w:fldCharType="begin"/>
            </w:r>
            <w:r>
              <w:instrText>PAGEREF _Toc13231 \h</w:instrText>
            </w:r>
            <w:r>
              <w:fldChar w:fldCharType="separate"/>
            </w:r>
            <w:r>
              <w:t xml:space="preserve">3 </w:t>
            </w:r>
            <w:r>
              <w:fldChar w:fldCharType="end"/>
            </w:r>
          </w:hyperlink>
        </w:p>
        <w:p w14:paraId="71164D60" w14:textId="77777777" w:rsidR="00D82DC0" w:rsidRDefault="00FB23DD">
          <w:pPr>
            <w:pStyle w:val="TOC2"/>
            <w:tabs>
              <w:tab w:val="right" w:leader="dot" w:pos="9367"/>
            </w:tabs>
          </w:pPr>
          <w:hyperlink w:anchor="_Toc13232">
            <w:r>
              <w:t xml:space="preserve"> Main body</w:t>
            </w:r>
            <w:r>
              <w:tab/>
            </w:r>
            <w:r>
              <w:fldChar w:fldCharType="begin"/>
            </w:r>
            <w:r>
              <w:instrText>PAGEREF _Toc13232 \h</w:instrText>
            </w:r>
            <w:r>
              <w:fldChar w:fldCharType="separate"/>
            </w:r>
            <w:r>
              <w:t xml:space="preserve">4 </w:t>
            </w:r>
            <w:r>
              <w:fldChar w:fldCharType="end"/>
            </w:r>
          </w:hyperlink>
        </w:p>
        <w:p w14:paraId="7FA361FE" w14:textId="77777777" w:rsidR="00D82DC0" w:rsidRDefault="00FB23DD">
          <w:pPr>
            <w:pStyle w:val="TOC1"/>
            <w:tabs>
              <w:tab w:val="right" w:leader="dot" w:pos="9367"/>
            </w:tabs>
          </w:pPr>
          <w:hyperlink w:anchor="_Toc13233">
            <w:r>
              <w:t>Conclusion</w:t>
            </w:r>
            <w:r>
              <w:tab/>
            </w:r>
            <w:r>
              <w:fldChar w:fldCharType="begin"/>
            </w:r>
            <w:r>
              <w:instrText>PAGEREF _Toc13233 \h</w:instrText>
            </w:r>
            <w:r>
              <w:fldChar w:fldCharType="separate"/>
            </w:r>
            <w:r>
              <w:t xml:space="preserve">8 </w:t>
            </w:r>
            <w:r>
              <w:fldChar w:fldCharType="end"/>
            </w:r>
          </w:hyperlink>
        </w:p>
        <w:p w14:paraId="39F352DF" w14:textId="77777777" w:rsidR="00D82DC0" w:rsidRDefault="00FB23DD">
          <w:pPr>
            <w:pStyle w:val="TOC1"/>
            <w:tabs>
              <w:tab w:val="right" w:leader="dot" w:pos="9367"/>
            </w:tabs>
          </w:pPr>
          <w:hyperlink w:anchor="_Toc13234">
            <w:r>
              <w:t>References</w:t>
            </w:r>
            <w:r>
              <w:tab/>
            </w:r>
            <w:r>
              <w:fldChar w:fldCharType="begin"/>
            </w:r>
            <w:r>
              <w:instrText>PAGEREF _Toc13234 \h</w:instrText>
            </w:r>
            <w:r>
              <w:fldChar w:fldCharType="separate"/>
            </w:r>
            <w:r>
              <w:t xml:space="preserve">9 </w:t>
            </w:r>
            <w:r>
              <w:fldChar w:fldCharType="end"/>
            </w:r>
          </w:hyperlink>
        </w:p>
        <w:p w14:paraId="46BF09C1" w14:textId="77777777" w:rsidR="00D82DC0" w:rsidRDefault="00FB23DD">
          <w:r>
            <w:fldChar w:fldCharType="end"/>
          </w:r>
        </w:p>
      </w:sdtContent>
    </w:sdt>
    <w:p w14:paraId="29E61BAA" w14:textId="77777777" w:rsidR="00D82DC0" w:rsidRDefault="00FB23DD">
      <w:pPr>
        <w:pStyle w:val="Heading3"/>
        <w:spacing w:after="275" w:line="259" w:lineRule="auto"/>
        <w:ind w:left="-5"/>
        <w:jc w:val="both"/>
      </w:pPr>
      <w:bookmarkStart w:id="0" w:name="_Toc13231"/>
      <w:r>
        <w:t xml:space="preserve">Introduction </w:t>
      </w:r>
      <w:bookmarkEnd w:id="0"/>
    </w:p>
    <w:p w14:paraId="7BC00778" w14:textId="77777777" w:rsidR="00D82DC0" w:rsidRDefault="00FB23DD">
      <w:pPr>
        <w:spacing w:after="362"/>
        <w:ind w:left="-5"/>
      </w:pPr>
      <w:r>
        <w:t>Lifespan development explores we exchange and develop from thought to demise. This area of ps</w:t>
      </w:r>
      <w:r>
        <w:t xml:space="preserve">ychology has been deeply studied by developmental psychologists. There are numerous theories concerning how infants and children develop, grow, groom as well </w:t>
      </w:r>
      <w:proofErr w:type="gramStart"/>
      <w:r>
        <w:t>as  become</w:t>
      </w:r>
      <w:proofErr w:type="gramEnd"/>
      <w:r>
        <w:t xml:space="preserve"> glad, wholesome adults. Sigmund Freud advised that we bypass via a chain of psychosexua</w:t>
      </w:r>
      <w:r>
        <w:t>l levels where in our power is focused on positive erogenous zones on the body. Erikson modified Freud’s ideas and counseled a concept of relevant psychosocial improvement. Erikson said that our social interactions and a hit finishing touch of social tasks</w:t>
      </w:r>
      <w:r>
        <w:t xml:space="preserve"> form our feel of self. Jean Piaget proposed a concept of cognitive development that explains how children </w:t>
      </w:r>
      <w:proofErr w:type="gramStart"/>
      <w:r>
        <w:t>think  and</w:t>
      </w:r>
      <w:proofErr w:type="gramEnd"/>
      <w:r>
        <w:t xml:space="preserve"> reason as they pass through diverse degrees. Sooner or later, Lawrence Kohlberg </w:t>
      </w:r>
      <w:proofErr w:type="gramStart"/>
      <w:r>
        <w:t>became  his</w:t>
      </w:r>
      <w:proofErr w:type="gramEnd"/>
      <w:r>
        <w:t xml:space="preserve"> attention to ethical improvement. According to</w:t>
      </w:r>
      <w:r>
        <w:t xml:space="preserve"> his </w:t>
      </w:r>
      <w:proofErr w:type="gramStart"/>
      <w:r>
        <w:t>statement  we</w:t>
      </w:r>
      <w:proofErr w:type="gramEnd"/>
      <w:r>
        <w:t xml:space="preserve"> pass through three different ranges of moral questioning that construct on our cognitive improvement </w:t>
      </w:r>
    </w:p>
    <w:p w14:paraId="10EB8813" w14:textId="77777777" w:rsidR="00D82DC0" w:rsidRDefault="00FB23DD">
      <w:pPr>
        <w:spacing w:after="470" w:line="259" w:lineRule="auto"/>
        <w:ind w:left="0" w:firstLine="0"/>
        <w:jc w:val="left"/>
      </w:pPr>
      <w:r>
        <w:rPr>
          <w:b/>
        </w:rPr>
        <w:t xml:space="preserve"> </w:t>
      </w:r>
    </w:p>
    <w:p w14:paraId="36CFEF95" w14:textId="77777777" w:rsidR="00D82DC0" w:rsidRDefault="00FB23DD">
      <w:pPr>
        <w:pStyle w:val="Heading2"/>
        <w:spacing w:after="469"/>
        <w:ind w:left="-5"/>
      </w:pPr>
      <w:bookmarkStart w:id="1" w:name="_Toc13232"/>
      <w:r>
        <w:t xml:space="preserve">Main body </w:t>
      </w:r>
      <w:bookmarkEnd w:id="1"/>
    </w:p>
    <w:p w14:paraId="6227072F" w14:textId="77777777" w:rsidR="00D82DC0" w:rsidRDefault="00FB23DD">
      <w:pPr>
        <w:spacing w:after="355" w:line="259" w:lineRule="auto"/>
        <w:ind w:left="-5"/>
        <w:jc w:val="left"/>
      </w:pPr>
      <w:r>
        <w:rPr>
          <w:b/>
        </w:rPr>
        <w:t xml:space="preserve">Issues in Developmental Psychology </w:t>
      </w:r>
    </w:p>
    <w:p w14:paraId="0E4B9109" w14:textId="77777777" w:rsidR="00D82DC0" w:rsidRDefault="00FB23DD">
      <w:pPr>
        <w:ind w:left="-5"/>
      </w:pPr>
      <w:r>
        <w:t>There are many different theoretical approaches regarding human development. As we evaluate them in this module, recall that developmental psychology focuses on how people change, and keep in mind that all the approaches that we present in this module addr</w:t>
      </w:r>
      <w:r>
        <w:t xml:space="preserve">ess questions of change: Is the change smooth or uneven (continuous versus discontinuous)? Is this pattern of change the same for everyone, or are there many different patterns of change (one course of development versus many courses)? How do genetics and </w:t>
      </w:r>
      <w:r>
        <w:t xml:space="preserve">environment interact to influence development (nature versus nurture)? (Williams et al, 2020). </w:t>
      </w:r>
    </w:p>
    <w:p w14:paraId="0407BC86" w14:textId="77777777" w:rsidR="00D82DC0" w:rsidRDefault="00FB23DD">
      <w:pPr>
        <w:spacing w:after="115" w:line="259" w:lineRule="auto"/>
        <w:ind w:left="0" w:firstLine="0"/>
        <w:jc w:val="left"/>
      </w:pPr>
      <w:r>
        <w:t xml:space="preserve"> </w:t>
      </w:r>
    </w:p>
    <w:p w14:paraId="37D80146" w14:textId="77777777" w:rsidR="00D82DC0" w:rsidRDefault="00FB23DD">
      <w:pPr>
        <w:spacing w:after="115" w:line="259" w:lineRule="auto"/>
        <w:ind w:left="0" w:firstLine="0"/>
        <w:jc w:val="left"/>
      </w:pPr>
      <w:r>
        <w:t xml:space="preserve"> </w:t>
      </w:r>
    </w:p>
    <w:p w14:paraId="74B5B4CA" w14:textId="77777777" w:rsidR="00D82DC0" w:rsidRDefault="00FB23DD">
      <w:pPr>
        <w:spacing w:after="115" w:line="259" w:lineRule="auto"/>
        <w:ind w:left="0" w:firstLine="0"/>
        <w:jc w:val="left"/>
      </w:pPr>
      <w:r>
        <w:t xml:space="preserve"> </w:t>
      </w:r>
    </w:p>
    <w:p w14:paraId="79E5ABD4" w14:textId="77777777" w:rsidR="00D82DC0" w:rsidRDefault="00FB23DD">
      <w:pPr>
        <w:spacing w:after="115" w:line="259" w:lineRule="auto"/>
        <w:ind w:left="0" w:firstLine="0"/>
        <w:jc w:val="left"/>
      </w:pPr>
      <w:r>
        <w:t xml:space="preserve"> </w:t>
      </w:r>
    </w:p>
    <w:p w14:paraId="7AFDED5B" w14:textId="77777777" w:rsidR="00D82DC0" w:rsidRDefault="00FB23DD">
      <w:pPr>
        <w:spacing w:after="110" w:line="259" w:lineRule="auto"/>
        <w:ind w:left="0" w:firstLine="0"/>
        <w:jc w:val="left"/>
      </w:pPr>
      <w:r>
        <w:t xml:space="preserve"> </w:t>
      </w:r>
    </w:p>
    <w:p w14:paraId="7A87BA4F" w14:textId="77777777" w:rsidR="00D82DC0" w:rsidRDefault="00FB23DD">
      <w:pPr>
        <w:spacing w:after="0" w:line="259" w:lineRule="auto"/>
        <w:ind w:left="0" w:firstLine="0"/>
        <w:jc w:val="left"/>
      </w:pPr>
      <w:r>
        <w:t xml:space="preserve"> </w:t>
      </w:r>
    </w:p>
    <w:p w14:paraId="44036B73" w14:textId="77777777" w:rsidR="00D82DC0" w:rsidRDefault="00FB23DD">
      <w:pPr>
        <w:spacing w:after="395" w:line="259" w:lineRule="auto"/>
        <w:ind w:left="-5"/>
        <w:jc w:val="left"/>
      </w:pPr>
      <w:r>
        <w:rPr>
          <w:b/>
        </w:rPr>
        <w:t xml:space="preserve">Psychosocial theory of development </w:t>
      </w:r>
    </w:p>
    <w:p w14:paraId="523DF344" w14:textId="77777777" w:rsidR="00D82DC0" w:rsidRDefault="00FB23DD">
      <w:pPr>
        <w:spacing w:after="381" w:line="259" w:lineRule="auto"/>
        <w:ind w:left="-5"/>
      </w:pPr>
      <w:r>
        <w:t xml:space="preserve">. </w:t>
      </w:r>
    </w:p>
    <w:p w14:paraId="2DAA6566" w14:textId="77777777" w:rsidR="00D82DC0" w:rsidRDefault="00FB23DD">
      <w:pPr>
        <w:spacing w:after="65" w:line="259" w:lineRule="auto"/>
        <w:ind w:left="0" w:right="308" w:firstLine="0"/>
        <w:jc w:val="right"/>
      </w:pPr>
      <w:r>
        <w:rPr>
          <w:noProof/>
        </w:rPr>
        <w:drawing>
          <wp:inline distT="0" distB="0" distL="0" distR="0" wp14:anchorId="76DF42D3" wp14:editId="6E13A178">
            <wp:extent cx="5690997" cy="2484120"/>
            <wp:effectExtent l="0" t="0" r="0" b="0"/>
            <wp:docPr id="955" name="Picture 955" descr="A photograph depicts Erik Erikson in his later years."/>
            <wp:cNvGraphicFramePr/>
            <a:graphic xmlns:a="http://schemas.openxmlformats.org/drawingml/2006/main">
              <a:graphicData uri="http://schemas.openxmlformats.org/drawingml/2006/picture">
                <pic:pic xmlns:pic="http://schemas.openxmlformats.org/drawingml/2006/picture">
                  <pic:nvPicPr>
                    <pic:cNvPr id="955" name="Picture 955"/>
                    <pic:cNvPicPr/>
                  </pic:nvPicPr>
                  <pic:blipFill>
                    <a:blip r:embed="rId7"/>
                    <a:stretch>
                      <a:fillRect/>
                    </a:stretch>
                  </pic:blipFill>
                  <pic:spPr>
                    <a:xfrm>
                      <a:off x="0" y="0"/>
                      <a:ext cx="5690997" cy="2484120"/>
                    </a:xfrm>
                    <a:prstGeom prst="rect">
                      <a:avLst/>
                    </a:prstGeom>
                  </pic:spPr>
                </pic:pic>
              </a:graphicData>
            </a:graphic>
          </wp:inline>
        </w:drawing>
      </w:r>
      <w:r>
        <w:t xml:space="preserve"> </w:t>
      </w:r>
    </w:p>
    <w:p w14:paraId="7D00D0E5" w14:textId="77777777" w:rsidR="00D82DC0" w:rsidRDefault="00FB23DD">
      <w:pPr>
        <w:spacing w:after="110" w:line="259" w:lineRule="auto"/>
        <w:ind w:left="0" w:firstLine="0"/>
        <w:jc w:val="left"/>
      </w:pPr>
      <w:r>
        <w:t xml:space="preserve"> </w:t>
      </w:r>
    </w:p>
    <w:p w14:paraId="235ACF0A" w14:textId="77777777" w:rsidR="00D82DC0" w:rsidRDefault="00FB23DD">
      <w:pPr>
        <w:spacing w:after="1" w:line="358" w:lineRule="auto"/>
        <w:ind w:left="-5" w:right="-8"/>
        <w:jc w:val="left"/>
      </w:pPr>
      <w:r>
        <w:t xml:space="preserve">Erikson proposed that we're motivated via a want to gain competence in certain regions </w:t>
      </w:r>
      <w:r>
        <w:t xml:space="preserve">of our lives. in </w:t>
      </w:r>
      <w:r>
        <w:tab/>
        <w:t xml:space="preserve">line </w:t>
      </w:r>
      <w:r>
        <w:tab/>
        <w:t xml:space="preserve">with psychosocial principle, </w:t>
      </w:r>
      <w:r>
        <w:tab/>
        <w:t xml:space="preserve">we experience 8 levels of development over </w:t>
      </w:r>
      <w:r>
        <w:tab/>
        <w:t>our lifespan, from infancy via late adulthood. At each degree there is a struggle, or venture, that we want to clear up. a success final touch of every develo</w:t>
      </w:r>
      <w:r>
        <w:t xml:space="preserve">pmental mission </w:t>
      </w:r>
      <w:proofErr w:type="gramStart"/>
      <w:r>
        <w:t>outcomes</w:t>
      </w:r>
      <w:proofErr w:type="gramEnd"/>
      <w:r>
        <w:t xml:space="preserve"> in a sense of competence and a healthful persona. Failure to master these responsibilities ends in feelings of inadequacy in step with Erikson (1963), accept as true with is the premise of our development all through infancy (begin</w:t>
      </w:r>
      <w:r>
        <w:t xml:space="preserve">ning to three hundred and </w:t>
      </w:r>
      <w:proofErr w:type="gramStart"/>
      <w:r>
        <w:t>sixty five</w:t>
      </w:r>
      <w:proofErr w:type="gramEnd"/>
      <w:r>
        <w:t xml:space="preserve"> days) (Brandon et al, 2022). </w:t>
      </w:r>
    </w:p>
    <w:p w14:paraId="6DC57132" w14:textId="77777777" w:rsidR="00D82DC0" w:rsidRDefault="00FB23DD">
      <w:pPr>
        <w:ind w:left="-5"/>
      </w:pPr>
      <w:r>
        <w:t xml:space="preserve"> Therefore, the number one assignment of this stage is </w:t>
      </w:r>
      <w:proofErr w:type="gramStart"/>
      <w:r>
        <w:t>agree</w:t>
      </w:r>
      <w:proofErr w:type="gramEnd"/>
      <w:r>
        <w:t xml:space="preserve"> with as opposed to distrust. In </w:t>
      </w:r>
      <w:proofErr w:type="gramStart"/>
      <w:r>
        <w:t>fact</w:t>
      </w:r>
      <w:proofErr w:type="gramEnd"/>
      <w:r>
        <w:t xml:space="preserve"> babies are established upon their caregivers, so caregivers who're responsive and sensitive</w:t>
      </w:r>
      <w:r>
        <w:t xml:space="preserve"> to all their infant’s desires help their baby to expand a feel of consider; their infant will see the whole sector as a secure, predictable region. Unresponsive caregivers who do now not meet </w:t>
      </w:r>
      <w:proofErr w:type="gramStart"/>
      <w:r>
        <w:t>their  child’s</w:t>
      </w:r>
      <w:proofErr w:type="gramEnd"/>
      <w:r>
        <w:t xml:space="preserve"> needs can engender feelings of tension, worry, a</w:t>
      </w:r>
      <w:r>
        <w:t xml:space="preserve">nd mistrust; their child may also see the sector as unpredictable. </w:t>
      </w:r>
    </w:p>
    <w:p w14:paraId="4A947EB4" w14:textId="77777777" w:rsidR="00D82DC0" w:rsidRDefault="00FB23DD">
      <w:pPr>
        <w:spacing w:after="270" w:line="259" w:lineRule="auto"/>
        <w:ind w:left="0" w:firstLine="0"/>
        <w:jc w:val="left"/>
      </w:pPr>
      <w:r>
        <w:t xml:space="preserve"> </w:t>
      </w:r>
    </w:p>
    <w:p w14:paraId="3DCD9CD4" w14:textId="77777777" w:rsidR="00D82DC0" w:rsidRDefault="00FB23DD">
      <w:pPr>
        <w:spacing w:after="275" w:line="259" w:lineRule="auto"/>
        <w:ind w:left="0" w:firstLine="0"/>
        <w:jc w:val="left"/>
      </w:pPr>
      <w:r>
        <w:t xml:space="preserve"> </w:t>
      </w:r>
    </w:p>
    <w:p w14:paraId="140637E7" w14:textId="77777777" w:rsidR="00D82DC0" w:rsidRDefault="00FB23DD">
      <w:pPr>
        <w:spacing w:after="0" w:line="259" w:lineRule="auto"/>
        <w:ind w:left="0" w:firstLine="0"/>
        <w:jc w:val="left"/>
      </w:pPr>
      <w:r>
        <w:t xml:space="preserve"> </w:t>
      </w:r>
    </w:p>
    <w:p w14:paraId="4D9B45F3" w14:textId="77777777" w:rsidR="00D82DC0" w:rsidRDefault="00FB23DD">
      <w:pPr>
        <w:spacing w:after="275" w:line="259" w:lineRule="auto"/>
        <w:ind w:left="-5"/>
        <w:jc w:val="left"/>
      </w:pPr>
      <w:r>
        <w:rPr>
          <w:b/>
        </w:rPr>
        <w:t xml:space="preserve">Methods and issues in the life span development </w:t>
      </w:r>
    </w:p>
    <w:p w14:paraId="58D75B7C" w14:textId="77777777" w:rsidR="00D82DC0" w:rsidRDefault="00FB23DD">
      <w:pPr>
        <w:spacing w:after="162"/>
        <w:ind w:left="-5"/>
      </w:pPr>
      <w:r>
        <w:t>Even though every character inherits a particular sample of genes from his or her parents, the expression of those genes is motivated</w:t>
      </w:r>
      <w:r>
        <w:t xml:space="preserve"> by using the surroundings in which the character grows. B. It now not is a case of nature as opposed to nurture due to the fact researchers take into consideration and account that both play a position in influencing the modifications at some point of lif</w:t>
      </w:r>
      <w:r>
        <w:t xml:space="preserve">e (Tennant, 2019). </w:t>
      </w:r>
    </w:p>
    <w:p w14:paraId="58DD8694" w14:textId="77777777" w:rsidR="00D82DC0" w:rsidRDefault="00FB23DD">
      <w:pPr>
        <w:spacing w:after="162"/>
        <w:ind w:left="-5"/>
      </w:pPr>
      <w:r>
        <w:t xml:space="preserve">C. furthermore, specific environmental factors can impact the expression of genes. For </w:t>
      </w:r>
      <w:proofErr w:type="gramStart"/>
      <w:r>
        <w:t>instance</w:t>
      </w:r>
      <w:proofErr w:type="gramEnd"/>
      <w:r>
        <w:t xml:space="preserve"> Maternal strain may additionally regulate the genetic material of her fetus. Further, in the </w:t>
      </w:r>
      <w:proofErr w:type="gramStart"/>
      <w:r>
        <w:t>later  maturity</w:t>
      </w:r>
      <w:proofErr w:type="gramEnd"/>
      <w:r>
        <w:t>, an individual may also have ge</w:t>
      </w:r>
      <w:r>
        <w:t xml:space="preserve">netic chances for the development  in different aspects. Alzheimer’s however now not be troubled through the sickness if she or he is intellectually </w:t>
      </w:r>
      <w:proofErr w:type="spellStart"/>
      <w:r>
        <w:t>intellectually</w:t>
      </w:r>
      <w:proofErr w:type="spellEnd"/>
      <w:r>
        <w:t xml:space="preserve"> or bodily active (Williams et al, 2020). </w:t>
      </w:r>
    </w:p>
    <w:p w14:paraId="4580B023" w14:textId="77777777" w:rsidR="00D82DC0" w:rsidRDefault="00FB23DD">
      <w:pPr>
        <w:ind w:left="-5"/>
      </w:pPr>
      <w:r>
        <w:t xml:space="preserve">For ease of studying life span </w:t>
      </w:r>
      <w:r>
        <w:t>improvement, we talk of ranges from infancy through the age of vintage, however in fact, people broaden in non-stop fashion for the duration of lifestyles. Even intervals marked via precise organic modifications, which include puberty as well as climacteri</w:t>
      </w:r>
      <w:r>
        <w:t xml:space="preserve">c (menopause in ladies), arise in gradual style. B. The related issue of balance as opposed to alternate in improvement refers back to the </w:t>
      </w:r>
      <w:proofErr w:type="spellStart"/>
      <w:r>
        <w:t>querry</w:t>
      </w:r>
      <w:proofErr w:type="spellEnd"/>
      <w:r>
        <w:t xml:space="preserve"> of whether people’s disposition alternate as they become old. 1. character researchers in particular have trie</w:t>
      </w:r>
      <w:r>
        <w:t>d to decide whether or not there are tendencies that remain steady over life (</w:t>
      </w:r>
      <w:proofErr w:type="spellStart"/>
      <w:r>
        <w:t>Zastrow</w:t>
      </w:r>
      <w:proofErr w:type="spellEnd"/>
      <w:r>
        <w:t xml:space="preserve"> et al, 2019). </w:t>
      </w:r>
    </w:p>
    <w:p w14:paraId="74F1F66B" w14:textId="77777777" w:rsidR="00D82DC0" w:rsidRDefault="00FB23DD">
      <w:pPr>
        <w:ind w:left="-5"/>
      </w:pPr>
      <w:r>
        <w:t xml:space="preserve">For instance—Is the tough and colicky toddler destined to come to be a neurotic, worrying, and stressful adult?   </w:t>
      </w:r>
    </w:p>
    <w:p w14:paraId="0187608F" w14:textId="77777777" w:rsidR="00D82DC0" w:rsidRDefault="00FB23DD">
      <w:pPr>
        <w:ind w:left="-5"/>
      </w:pPr>
      <w:r>
        <w:t xml:space="preserve">2. Although a flurry of studies in this </w:t>
      </w:r>
      <w:r>
        <w:t xml:space="preserve">topic preoccupied persona </w:t>
      </w:r>
      <w:proofErr w:type="gramStart"/>
      <w:r>
        <w:t>researchers  at</w:t>
      </w:r>
      <w:proofErr w:type="gramEnd"/>
      <w:r>
        <w:t xml:space="preserve"> some point of the Eighties and Nineteen Nineties, the field appears to have arrived  at a specific or particularly of a consensus on character dispositions as impacts on life selections which in flip  and hence  si</w:t>
      </w:r>
      <w:r>
        <w:t>milarly influence personality .Three. moreover, even researchers who at one time believed, along with William James, that persona was constant by means of the age of 30, now renowned that changes in tendencies can retain to arise for the duration of old ag</w:t>
      </w:r>
      <w:r>
        <w:t xml:space="preserve">e.  </w:t>
      </w:r>
    </w:p>
    <w:p w14:paraId="419000D3" w14:textId="77777777" w:rsidR="00D82DC0" w:rsidRDefault="00FB23DD">
      <w:pPr>
        <w:numPr>
          <w:ilvl w:val="0"/>
          <w:numId w:val="1"/>
        </w:numPr>
      </w:pPr>
      <w:r>
        <w:t xml:space="preserve">crucial periods can involve biological changes, including the boom of the worried gadget, which may be affected negatively by way of maternal contamination early in pregnancy. </w:t>
      </w:r>
    </w:p>
    <w:p w14:paraId="4C7C854E" w14:textId="77777777" w:rsidR="00D82DC0" w:rsidRDefault="00FB23DD">
      <w:pPr>
        <w:numPr>
          <w:ilvl w:val="0"/>
          <w:numId w:val="1"/>
        </w:numPr>
      </w:pPr>
      <w:r>
        <w:t xml:space="preserve">crucial intervals can also contain the development of sensory skills, </w:t>
      </w:r>
      <w:proofErr w:type="gramStart"/>
      <w:r>
        <w:t>incl</w:t>
      </w:r>
      <w:r>
        <w:t>usive  of</w:t>
      </w:r>
      <w:proofErr w:type="gramEnd"/>
      <w:r>
        <w:t xml:space="preserve"> depth notion  in early infancy. For example—Early infancy, at some stage in which the attachment </w:t>
      </w:r>
      <w:proofErr w:type="gramStart"/>
      <w:r>
        <w:t>bond  is</w:t>
      </w:r>
      <w:proofErr w:type="gramEnd"/>
      <w:r>
        <w:t xml:space="preserve"> evolved, is an instance of a vital duration in social/character growth (Greaves et al, 2022). </w:t>
      </w:r>
    </w:p>
    <w:p w14:paraId="6012E0CB" w14:textId="77777777" w:rsidR="00D82DC0" w:rsidRDefault="00FB23DD">
      <w:pPr>
        <w:numPr>
          <w:ilvl w:val="0"/>
          <w:numId w:val="1"/>
        </w:numPr>
      </w:pPr>
      <w:r>
        <w:t>In preferred, as people grow older, the relev</w:t>
      </w:r>
      <w:r>
        <w:t xml:space="preserve">ance of essential periods weakens notably. At later a while, there may be evidence instead for great plasticity. People may additionally suffer accidents or illness which they atone for by means of recruiting different abilities. </w:t>
      </w:r>
    </w:p>
    <w:p w14:paraId="4F46B552" w14:textId="77777777" w:rsidR="00D82DC0" w:rsidRDefault="00FB23DD">
      <w:pPr>
        <w:ind w:left="-5"/>
      </w:pPr>
      <w:proofErr w:type="gramStart"/>
      <w:r>
        <w:t>For  example</w:t>
      </w:r>
      <w:proofErr w:type="gramEnd"/>
      <w:r>
        <w:t>—Older adults</w:t>
      </w:r>
      <w:r>
        <w:t xml:space="preserve"> who have cerebral hemorrhage and lose language talents can easily  regain  nearly all, if no longer their entire, verbal facilities.  </w:t>
      </w:r>
    </w:p>
    <w:p w14:paraId="66A6E201" w14:textId="77777777" w:rsidR="00D82DC0" w:rsidRDefault="00FB23DD">
      <w:pPr>
        <w:spacing w:after="270" w:line="259" w:lineRule="auto"/>
        <w:ind w:left="0" w:firstLine="0"/>
        <w:jc w:val="left"/>
      </w:pPr>
      <w:r>
        <w:t xml:space="preserve"> </w:t>
      </w:r>
    </w:p>
    <w:p w14:paraId="2B392AB0" w14:textId="77777777" w:rsidR="00D82DC0" w:rsidRDefault="00FB23DD">
      <w:pPr>
        <w:spacing w:after="275" w:line="259" w:lineRule="auto"/>
        <w:ind w:left="0" w:firstLine="0"/>
        <w:jc w:val="left"/>
      </w:pPr>
      <w:r>
        <w:t xml:space="preserve"> </w:t>
      </w:r>
    </w:p>
    <w:p w14:paraId="4B27721C" w14:textId="77777777" w:rsidR="00D82DC0" w:rsidRDefault="00FB23DD">
      <w:pPr>
        <w:spacing w:after="275" w:line="259" w:lineRule="auto"/>
        <w:ind w:left="-5"/>
        <w:jc w:val="left"/>
      </w:pPr>
      <w:r>
        <w:rPr>
          <w:b/>
        </w:rPr>
        <w:t xml:space="preserve">Research methods in life span development </w:t>
      </w:r>
    </w:p>
    <w:p w14:paraId="435183A6" w14:textId="77777777" w:rsidR="00D82DC0" w:rsidRDefault="00FB23DD">
      <w:pPr>
        <w:spacing w:after="1" w:line="358" w:lineRule="auto"/>
        <w:ind w:left="-5" w:right="-8"/>
        <w:jc w:val="left"/>
      </w:pPr>
      <w:r>
        <w:t xml:space="preserve"> All studies on improvement </w:t>
      </w:r>
      <w:proofErr w:type="gramStart"/>
      <w:r>
        <w:t>is</w:t>
      </w:r>
      <w:proofErr w:type="gramEnd"/>
      <w:r>
        <w:t xml:space="preserve">, by way of </w:t>
      </w:r>
      <w:r>
        <w:t xml:space="preserve">definition, quasi experimental. If age or gender is used as </w:t>
      </w:r>
      <w:r>
        <w:tab/>
        <w:t xml:space="preserve">an independent variable, </w:t>
      </w:r>
      <w:r>
        <w:tab/>
        <w:t xml:space="preserve">the experiment cannot be authentic due </w:t>
      </w:r>
      <w:r>
        <w:tab/>
        <w:t xml:space="preserve">to </w:t>
      </w:r>
      <w:r>
        <w:tab/>
        <w:t xml:space="preserve">the </w:t>
      </w:r>
      <w:r>
        <w:tab/>
        <w:t xml:space="preserve">fact age </w:t>
      </w:r>
      <w:r>
        <w:tab/>
        <w:t xml:space="preserve">and gender cannot be </w:t>
      </w:r>
      <w:r>
        <w:tab/>
        <w:t xml:space="preserve">randomly </w:t>
      </w:r>
      <w:r>
        <w:tab/>
        <w:t xml:space="preserve">assigned </w:t>
      </w:r>
      <w:r>
        <w:tab/>
        <w:t xml:space="preserve">as treatment variables. However, </w:t>
      </w:r>
      <w:r>
        <w:tab/>
        <w:t xml:space="preserve">experimental manipulations </w:t>
      </w:r>
      <w:proofErr w:type="spellStart"/>
      <w:r>
        <w:t>canbe</w:t>
      </w:r>
      <w:proofErr w:type="spellEnd"/>
      <w:r>
        <w:t xml:space="preserve"> a</w:t>
      </w:r>
      <w:r>
        <w:t xml:space="preserve">chieved to explore as well as to test whether or not positive situations have differential effect on special age agencies. example—children inside </w:t>
      </w:r>
      <w:r>
        <w:tab/>
        <w:t xml:space="preserve">the 5- </w:t>
      </w:r>
      <w:r>
        <w:tab/>
        <w:t xml:space="preserve">to </w:t>
      </w:r>
      <w:r>
        <w:tab/>
        <w:t xml:space="preserve">7-yearold range may </w:t>
      </w:r>
      <w:r>
        <w:tab/>
        <w:t xml:space="preserve">additionally advantage greater, for </w:t>
      </w:r>
      <w:r>
        <w:tab/>
        <w:t xml:space="preserve">instance, </w:t>
      </w:r>
      <w:r>
        <w:tab/>
        <w:t xml:space="preserve">from </w:t>
      </w:r>
      <w:r>
        <w:tab/>
        <w:t xml:space="preserve">auditory commands in </w:t>
      </w:r>
      <w:r>
        <w:t xml:space="preserve">a memory task than visible instructions; if the other sample holds for children inside the nine- to </w:t>
      </w:r>
      <w:proofErr w:type="gramStart"/>
      <w:r>
        <w:t>eleven-year old</w:t>
      </w:r>
      <w:proofErr w:type="gramEnd"/>
      <w:r>
        <w:t xml:space="preserve"> variety, the researcher can infer that youngsters in these age corporation collect information through unique cognitive techniques. Consider</w:t>
      </w:r>
      <w:r>
        <w:t xml:space="preserve">ing that this is an interaction between a variable that may be randomly assigned and one which cannot, it's far a quasi as </w:t>
      </w:r>
      <w:proofErr w:type="gramStart"/>
      <w:r>
        <w:t>well  as</w:t>
      </w:r>
      <w:proofErr w:type="gramEnd"/>
      <w:r>
        <w:t xml:space="preserve"> experimental design B. Any other hassle with research on getting older is that samples become an increasing number of much l</w:t>
      </w:r>
      <w:r>
        <w:t xml:space="preserve">ess representative in growing age degrees of samples (Greaves et al, 2022). </w:t>
      </w:r>
    </w:p>
    <w:p w14:paraId="29344B3A" w14:textId="77777777" w:rsidR="00D82DC0" w:rsidRDefault="00FB23DD">
      <w:pPr>
        <w:ind w:left="-5"/>
      </w:pPr>
      <w:r>
        <w:t xml:space="preserve">For Instance—Adults in their 80s are a pick group as compared to adults who did not stay to be that age. selection biases can function in samples of adults as young as 25 or 30 </w:t>
      </w:r>
      <w:proofErr w:type="gramStart"/>
      <w:r>
        <w:t>ye</w:t>
      </w:r>
      <w:r>
        <w:t>ars  vintage</w:t>
      </w:r>
      <w:proofErr w:type="gramEnd"/>
      <w:r>
        <w:t xml:space="preserve"> given the excessive quotes of unintentional deaths before the age of 25. On top of that. </w:t>
      </w:r>
      <w:proofErr w:type="gramStart"/>
      <w:r>
        <w:t>those  all</w:t>
      </w:r>
      <w:proofErr w:type="gramEnd"/>
      <w:r>
        <w:t xml:space="preserve"> youngsters who engage in extra excessive-chance behaviors, therefore, won't live to be within  </w:t>
      </w:r>
    </w:p>
    <w:p w14:paraId="5636B454" w14:textId="77777777" w:rsidR="00D82DC0" w:rsidRDefault="00FB23DD">
      <w:pPr>
        <w:spacing w:after="115" w:line="259" w:lineRule="auto"/>
        <w:ind w:left="0" w:firstLine="0"/>
        <w:jc w:val="left"/>
      </w:pPr>
      <w:r>
        <w:t xml:space="preserve"> </w:t>
      </w:r>
    </w:p>
    <w:p w14:paraId="0BB0E691" w14:textId="77777777" w:rsidR="00D82DC0" w:rsidRDefault="00FB23DD">
      <w:pPr>
        <w:ind w:left="-5"/>
      </w:pPr>
      <w:r>
        <w:t>the population studied, and it could appear t</w:t>
      </w:r>
      <w:r>
        <w:t xml:space="preserve">hat impulsivity decreases with age when in fact, the impulsive humans can now not be studied due to the fact they did not live on to that specific age content define eight 2. Similarly, folks who live until a sophisticated age are, by means </w:t>
      </w:r>
      <w:proofErr w:type="gramStart"/>
      <w:r>
        <w:t>of  definition</w:t>
      </w:r>
      <w:proofErr w:type="gramEnd"/>
      <w:r>
        <w:t>,</w:t>
      </w:r>
      <w:r>
        <w:t xml:space="preserve"> in higher fitness than folks that are now not alive or are too sick to take part in studies (</w:t>
      </w:r>
      <w:proofErr w:type="spellStart"/>
      <w:r>
        <w:t>Hessenauer</w:t>
      </w:r>
      <w:proofErr w:type="spellEnd"/>
      <w:r>
        <w:t xml:space="preserve">, 2019). </w:t>
      </w:r>
    </w:p>
    <w:p w14:paraId="1C89F94F" w14:textId="77777777" w:rsidR="00D82DC0" w:rsidRDefault="00FB23DD">
      <w:pPr>
        <w:spacing w:line="496" w:lineRule="auto"/>
        <w:ind w:left="-5" w:right="9247"/>
      </w:pPr>
      <w:r>
        <w:t xml:space="preserve"> . </w:t>
      </w:r>
    </w:p>
    <w:p w14:paraId="742DFAC0" w14:textId="77777777" w:rsidR="00D82DC0" w:rsidRDefault="00FB23DD">
      <w:pPr>
        <w:spacing w:after="275" w:line="259" w:lineRule="auto"/>
        <w:ind w:left="-5"/>
        <w:jc w:val="left"/>
      </w:pPr>
      <w:r>
        <w:t xml:space="preserve"> </w:t>
      </w:r>
      <w:r>
        <w:rPr>
          <w:b/>
        </w:rPr>
        <w:t xml:space="preserve">Descriptive research designs.  </w:t>
      </w:r>
    </w:p>
    <w:p w14:paraId="22F99AA7" w14:textId="77777777" w:rsidR="00D82DC0" w:rsidRDefault="00FB23DD">
      <w:pPr>
        <w:spacing w:after="274" w:line="259" w:lineRule="auto"/>
        <w:ind w:left="-5"/>
      </w:pPr>
      <w:r>
        <w:t>There are three basic types of studies that have been considered as descriptive</w:t>
      </w:r>
      <w:r>
        <w:rPr>
          <w:b/>
        </w:rPr>
        <w:t xml:space="preserve">: </w:t>
      </w:r>
    </w:p>
    <w:p w14:paraId="5CAEB8BB" w14:textId="77777777" w:rsidR="00D82DC0" w:rsidRDefault="00FB23DD">
      <w:pPr>
        <w:spacing w:after="110" w:line="259" w:lineRule="auto"/>
        <w:ind w:left="-5"/>
      </w:pPr>
      <w:r>
        <w:t>Cross-sectional: people</w:t>
      </w:r>
      <w:r>
        <w:t xml:space="preserve"> from unique cohorts are as compared at only one factor in time. </w:t>
      </w:r>
    </w:p>
    <w:p w14:paraId="35F1C363" w14:textId="77777777" w:rsidR="00D82DC0" w:rsidRDefault="00FB23DD">
      <w:pPr>
        <w:spacing w:after="115" w:line="259" w:lineRule="auto"/>
        <w:ind w:left="0" w:firstLine="0"/>
        <w:jc w:val="left"/>
      </w:pPr>
      <w:r>
        <w:t xml:space="preserve"> </w:t>
      </w:r>
    </w:p>
    <w:p w14:paraId="16E1848F" w14:textId="77777777" w:rsidR="00D82DC0" w:rsidRDefault="00FB23DD">
      <w:pPr>
        <w:numPr>
          <w:ilvl w:val="0"/>
          <w:numId w:val="2"/>
        </w:numPr>
        <w:spacing w:after="115" w:line="259" w:lineRule="auto"/>
        <w:ind w:hanging="305"/>
      </w:pPr>
      <w:r>
        <w:rPr>
          <w:i/>
        </w:rPr>
        <w:t>Longitudinal</w:t>
      </w:r>
      <w:r>
        <w:t xml:space="preserve">: individuals from one cohort are accompanied over numerous intervals of time. </w:t>
      </w:r>
    </w:p>
    <w:p w14:paraId="64A72263" w14:textId="77777777" w:rsidR="00D82DC0" w:rsidRDefault="00FB23DD">
      <w:pPr>
        <w:numPr>
          <w:ilvl w:val="0"/>
          <w:numId w:val="2"/>
        </w:numPr>
        <w:spacing w:after="163"/>
        <w:ind w:hanging="305"/>
      </w:pPr>
      <w:r>
        <w:t xml:space="preserve">Time lag: people of the identical age who were born at one-of-a-kind instances and are </w:t>
      </w:r>
      <w:proofErr w:type="gramStart"/>
      <w:r>
        <w:t>being  ex</w:t>
      </w:r>
      <w:r>
        <w:t>amined</w:t>
      </w:r>
      <w:proofErr w:type="gramEnd"/>
      <w:r>
        <w:t xml:space="preserve"> within the same year are in comparison, e.g., such as comparing unique generation of high college students on the equal and accurate degree. Keeping age consistent points out generational differences (</w:t>
      </w:r>
      <w:proofErr w:type="spellStart"/>
      <w:r>
        <w:t>Kitson</w:t>
      </w:r>
      <w:proofErr w:type="spellEnd"/>
      <w:r>
        <w:t xml:space="preserve"> et al, 2022). </w:t>
      </w:r>
    </w:p>
    <w:p w14:paraId="7ADF11E5" w14:textId="77777777" w:rsidR="00D82DC0" w:rsidRDefault="00FB23DD">
      <w:pPr>
        <w:ind w:left="-5"/>
      </w:pPr>
      <w:r>
        <w:t xml:space="preserve">According to </w:t>
      </w:r>
      <w:proofErr w:type="spellStart"/>
      <w:r>
        <w:t>Piaget,a</w:t>
      </w:r>
      <w:proofErr w:type="spellEnd"/>
      <w:r>
        <w:t xml:space="preserve"> todd</w:t>
      </w:r>
      <w:r>
        <w:t xml:space="preserve">ler’s development progresses via 4 levels, resulting in increases inside the baby’s potential to conform to and apprehend the whole scenario in few words and then </w:t>
      </w:r>
      <w:proofErr w:type="spellStart"/>
      <w:r>
        <w:t>world.Piagetframed</w:t>
      </w:r>
      <w:proofErr w:type="spellEnd"/>
      <w:r>
        <w:t xml:space="preserve"> those ranges in phrases of problems youngsters either can or can not remed</w:t>
      </w:r>
      <w:r>
        <w:t xml:space="preserve">y. </w:t>
      </w:r>
    </w:p>
    <w:p w14:paraId="5ABE678A" w14:textId="77777777" w:rsidR="00D82DC0" w:rsidRDefault="00FB23DD">
      <w:pPr>
        <w:spacing w:after="275" w:line="259" w:lineRule="auto"/>
        <w:ind w:left="-5"/>
      </w:pPr>
      <w:r>
        <w:t xml:space="preserve">At each stage, kids reorganize their ability to recognize the sector (Greaves et al, 2022). </w:t>
      </w:r>
    </w:p>
    <w:p w14:paraId="559701F5" w14:textId="77777777" w:rsidR="00D82DC0" w:rsidRDefault="00FB23DD">
      <w:pPr>
        <w:spacing w:after="162"/>
        <w:ind w:left="-5"/>
      </w:pPr>
      <w:r>
        <w:t xml:space="preserve"> a. </w:t>
      </w:r>
      <w:r>
        <w:rPr>
          <w:i/>
        </w:rPr>
        <w:t>Sensorimotor</w:t>
      </w:r>
      <w:r>
        <w:t xml:space="preserve"> (birth to 18 months): the child is aware the world in phrases of movements, now not phrases. b. Preoperational period </w:t>
      </w:r>
      <w:r>
        <w:t>(18 months to 7-eight years): the kid is unable to the relevant as well as applies logical operations to clear up problems and does not longer able to understand the principles consisting of reversibility. During this period the child or adolescent child c</w:t>
      </w:r>
      <w:r>
        <w:t xml:space="preserve">an </w:t>
      </w:r>
      <w:proofErr w:type="gramStart"/>
      <w:r>
        <w:t>handiest</w:t>
      </w:r>
      <w:proofErr w:type="gramEnd"/>
      <w:r>
        <w:t xml:space="preserve"> see troubles from one angle, a phenomenon referred to as “egocentrism.” Due in element to the shortage of reversibility, youngsters in this stage don’t understand the idea of conservation (a idea wherein properties which includes extent, mass a</w:t>
      </w:r>
      <w:r>
        <w:t>nd the number stay and number stay the same notwithstanding adjustments in sorts of gadgets) (</w:t>
      </w:r>
      <w:proofErr w:type="spellStart"/>
      <w:r>
        <w:t>Hessenauer</w:t>
      </w:r>
      <w:proofErr w:type="spellEnd"/>
      <w:r>
        <w:t xml:space="preserve">, 2019). </w:t>
      </w:r>
    </w:p>
    <w:p w14:paraId="1D32F244" w14:textId="77777777" w:rsidR="00D82DC0" w:rsidRDefault="00FB23DD">
      <w:pPr>
        <w:spacing w:after="270" w:line="259" w:lineRule="auto"/>
        <w:ind w:left="0" w:firstLine="0"/>
        <w:jc w:val="left"/>
      </w:pPr>
      <w:r>
        <w:t xml:space="preserve"> </w:t>
      </w:r>
    </w:p>
    <w:p w14:paraId="4684E183" w14:textId="77777777" w:rsidR="00D82DC0" w:rsidRDefault="00FB23DD">
      <w:pPr>
        <w:spacing w:after="0" w:line="259" w:lineRule="auto"/>
        <w:ind w:left="0" w:firstLine="0"/>
        <w:jc w:val="left"/>
      </w:pPr>
      <w:r>
        <w:t xml:space="preserve"> </w:t>
      </w:r>
    </w:p>
    <w:p w14:paraId="72CC2B04" w14:textId="77777777" w:rsidR="00D82DC0" w:rsidRDefault="00FB23DD">
      <w:pPr>
        <w:spacing w:after="275" w:line="259" w:lineRule="auto"/>
        <w:ind w:left="-5"/>
      </w:pPr>
      <w:r>
        <w:t xml:space="preserve"> c. </w:t>
      </w:r>
      <w:r>
        <w:rPr>
          <w:i/>
        </w:rPr>
        <w:t>Concrete operational</w:t>
      </w:r>
      <w:r>
        <w:t xml:space="preserve"> (7-8 years to eleven-15 years):  </w:t>
      </w:r>
    </w:p>
    <w:p w14:paraId="1D9B1CC9" w14:textId="77777777" w:rsidR="00D82DC0" w:rsidRDefault="00FB23DD">
      <w:pPr>
        <w:spacing w:after="162"/>
        <w:ind w:left="-5"/>
      </w:pPr>
      <w:r>
        <w:t xml:space="preserve">The kid can resolve logical issues but most effective in the here and now. she </w:t>
      </w:r>
      <w:r>
        <w:t xml:space="preserve">or he is not able to use logical symbols, consisting of those used in algebra, to solve issues, together which a related conservation </w:t>
      </w:r>
      <w:proofErr w:type="gramStart"/>
      <w:r>
        <w:t>troubles</w:t>
      </w:r>
      <w:proofErr w:type="gramEnd"/>
      <w:r>
        <w:t xml:space="preserve">.  </w:t>
      </w:r>
    </w:p>
    <w:p w14:paraId="62AC06E3" w14:textId="77777777" w:rsidR="00D82DC0" w:rsidRDefault="00FB23DD">
      <w:pPr>
        <w:spacing w:after="275" w:line="259" w:lineRule="auto"/>
        <w:ind w:left="0" w:firstLine="0"/>
        <w:jc w:val="left"/>
      </w:pPr>
      <w:r>
        <w:t xml:space="preserve"> </w:t>
      </w:r>
    </w:p>
    <w:p w14:paraId="7C911152" w14:textId="77777777" w:rsidR="00D82DC0" w:rsidRDefault="00FB23DD">
      <w:pPr>
        <w:spacing w:after="275" w:line="259" w:lineRule="auto"/>
        <w:ind w:left="0" w:firstLine="0"/>
        <w:jc w:val="left"/>
      </w:pPr>
      <w:r>
        <w:rPr>
          <w:b/>
          <w:i/>
        </w:rPr>
        <w:t xml:space="preserve"> </w:t>
      </w:r>
    </w:p>
    <w:p w14:paraId="64527557" w14:textId="77777777" w:rsidR="00D82DC0" w:rsidRDefault="00FB23DD">
      <w:pPr>
        <w:spacing w:after="275" w:line="259" w:lineRule="auto"/>
        <w:ind w:left="0" w:firstLine="0"/>
        <w:jc w:val="left"/>
      </w:pPr>
      <w:r>
        <w:rPr>
          <w:b/>
          <w:i/>
        </w:rPr>
        <w:t xml:space="preserve"> </w:t>
      </w:r>
    </w:p>
    <w:p w14:paraId="4A6C82DD" w14:textId="77777777" w:rsidR="00D82DC0" w:rsidRDefault="00FB23DD">
      <w:pPr>
        <w:pStyle w:val="Heading1"/>
        <w:ind w:left="-5"/>
      </w:pPr>
      <w:bookmarkStart w:id="2" w:name="_Toc13233"/>
      <w:r>
        <w:t xml:space="preserve">Conclusion </w:t>
      </w:r>
      <w:bookmarkEnd w:id="2"/>
    </w:p>
    <w:p w14:paraId="3FE54694" w14:textId="77777777" w:rsidR="00D82DC0" w:rsidRDefault="00FB23DD">
      <w:pPr>
        <w:spacing w:after="162"/>
        <w:ind w:left="-5"/>
      </w:pPr>
      <w:r>
        <w:t>It can be concluded by saying that a plethora of theories have been presented by different s</w:t>
      </w:r>
      <w:r>
        <w:t xml:space="preserve">cholars and psychologists to study the human behavior. These theories have divided the life of an individual into different categories with respect to the age </w:t>
      </w:r>
      <w:proofErr w:type="spellStart"/>
      <w:r>
        <w:t>i.e</w:t>
      </w:r>
      <w:proofErr w:type="spellEnd"/>
      <w:r>
        <w:t xml:space="preserve"> from birth to 2 years of life,3 to 5 years, 6 to 10 and then onwards. A proper understanding </w:t>
      </w:r>
      <w:r>
        <w:t xml:space="preserve">of human development plays a vital role to enhance the assessment of the mental health of an individual along with the provision of health care services as well.  </w:t>
      </w:r>
    </w:p>
    <w:p w14:paraId="59D183FD" w14:textId="77777777" w:rsidR="00D82DC0" w:rsidRDefault="00FB23DD">
      <w:pPr>
        <w:spacing w:after="275" w:line="259" w:lineRule="auto"/>
        <w:ind w:left="0" w:firstLine="0"/>
        <w:jc w:val="left"/>
      </w:pPr>
      <w:r>
        <w:t xml:space="preserve"> </w:t>
      </w:r>
    </w:p>
    <w:p w14:paraId="55C17426" w14:textId="77777777" w:rsidR="00D82DC0" w:rsidRDefault="00FB23DD">
      <w:pPr>
        <w:spacing w:after="275" w:line="259" w:lineRule="auto"/>
        <w:ind w:left="0" w:firstLine="0"/>
        <w:jc w:val="left"/>
      </w:pPr>
      <w:r>
        <w:t xml:space="preserve"> </w:t>
      </w:r>
    </w:p>
    <w:p w14:paraId="7991BD94" w14:textId="77777777" w:rsidR="00D82DC0" w:rsidRDefault="00FB23DD">
      <w:pPr>
        <w:spacing w:after="270" w:line="259" w:lineRule="auto"/>
        <w:ind w:left="0" w:firstLine="0"/>
        <w:jc w:val="left"/>
      </w:pPr>
      <w:r>
        <w:t xml:space="preserve"> </w:t>
      </w:r>
    </w:p>
    <w:p w14:paraId="6722C68E" w14:textId="77777777" w:rsidR="00D82DC0" w:rsidRDefault="00FB23DD">
      <w:pPr>
        <w:spacing w:after="275" w:line="259" w:lineRule="auto"/>
        <w:ind w:left="0" w:firstLine="0"/>
        <w:jc w:val="left"/>
      </w:pPr>
      <w:r>
        <w:t xml:space="preserve"> </w:t>
      </w:r>
    </w:p>
    <w:p w14:paraId="3C283617" w14:textId="77777777" w:rsidR="00D82DC0" w:rsidRDefault="00FB23DD">
      <w:pPr>
        <w:spacing w:after="275" w:line="259" w:lineRule="auto"/>
        <w:ind w:left="0" w:firstLine="0"/>
        <w:jc w:val="left"/>
      </w:pPr>
      <w:r>
        <w:t xml:space="preserve"> </w:t>
      </w:r>
    </w:p>
    <w:p w14:paraId="6DAFD789" w14:textId="77777777" w:rsidR="00D82DC0" w:rsidRDefault="00FB23DD">
      <w:pPr>
        <w:spacing w:after="275" w:line="259" w:lineRule="auto"/>
        <w:ind w:left="0" w:firstLine="0"/>
        <w:jc w:val="left"/>
      </w:pPr>
      <w:r>
        <w:t xml:space="preserve"> </w:t>
      </w:r>
    </w:p>
    <w:p w14:paraId="0DEC920B" w14:textId="77777777" w:rsidR="00D82DC0" w:rsidRDefault="00FB23DD">
      <w:pPr>
        <w:spacing w:after="275" w:line="259" w:lineRule="auto"/>
        <w:ind w:left="0" w:firstLine="0"/>
        <w:jc w:val="left"/>
      </w:pPr>
      <w:r>
        <w:t xml:space="preserve"> </w:t>
      </w:r>
    </w:p>
    <w:p w14:paraId="47AB596E" w14:textId="77777777" w:rsidR="00D82DC0" w:rsidRDefault="00FB23DD">
      <w:pPr>
        <w:spacing w:after="270" w:line="259" w:lineRule="auto"/>
        <w:ind w:left="0" w:firstLine="0"/>
        <w:jc w:val="left"/>
      </w:pPr>
      <w:r>
        <w:t xml:space="preserve"> </w:t>
      </w:r>
    </w:p>
    <w:p w14:paraId="1392BBF6" w14:textId="77777777" w:rsidR="00D82DC0" w:rsidRDefault="00FB23DD">
      <w:pPr>
        <w:spacing w:after="275" w:line="259" w:lineRule="auto"/>
        <w:ind w:left="0" w:firstLine="0"/>
        <w:jc w:val="left"/>
      </w:pPr>
      <w:r>
        <w:t xml:space="preserve"> </w:t>
      </w:r>
    </w:p>
    <w:p w14:paraId="7F418E86" w14:textId="77777777" w:rsidR="00D82DC0" w:rsidRDefault="00FB23DD">
      <w:pPr>
        <w:spacing w:after="275" w:line="259" w:lineRule="auto"/>
        <w:ind w:left="0" w:firstLine="0"/>
        <w:jc w:val="left"/>
      </w:pPr>
      <w:r>
        <w:t xml:space="preserve"> </w:t>
      </w:r>
    </w:p>
    <w:p w14:paraId="1105B9CC" w14:textId="77777777" w:rsidR="00D82DC0" w:rsidRDefault="00FB23DD">
      <w:pPr>
        <w:spacing w:after="0" w:line="259" w:lineRule="auto"/>
        <w:ind w:left="0" w:firstLine="0"/>
        <w:jc w:val="left"/>
      </w:pPr>
      <w:r>
        <w:t xml:space="preserve"> </w:t>
      </w:r>
    </w:p>
    <w:p w14:paraId="23B57831" w14:textId="77777777" w:rsidR="00D82DC0" w:rsidRDefault="00FB23DD">
      <w:pPr>
        <w:spacing w:after="275" w:line="259" w:lineRule="auto"/>
        <w:ind w:left="0" w:firstLine="0"/>
        <w:jc w:val="left"/>
      </w:pPr>
      <w:r>
        <w:t xml:space="preserve"> </w:t>
      </w:r>
    </w:p>
    <w:p w14:paraId="03D0A24E" w14:textId="77777777" w:rsidR="00D82DC0" w:rsidRDefault="00FB23DD">
      <w:pPr>
        <w:spacing w:after="275" w:line="259" w:lineRule="auto"/>
        <w:ind w:left="0" w:firstLine="0"/>
        <w:jc w:val="left"/>
      </w:pPr>
      <w:r>
        <w:t xml:space="preserve"> </w:t>
      </w:r>
    </w:p>
    <w:p w14:paraId="75EF4E25" w14:textId="77777777" w:rsidR="00D82DC0" w:rsidRDefault="00FB23DD">
      <w:pPr>
        <w:pStyle w:val="Heading1"/>
        <w:ind w:left="-5"/>
      </w:pPr>
      <w:bookmarkStart w:id="3" w:name="_Toc13234"/>
      <w:r>
        <w:t xml:space="preserve">                                               References </w:t>
      </w:r>
      <w:bookmarkEnd w:id="3"/>
    </w:p>
    <w:p w14:paraId="7895CA0A" w14:textId="77777777" w:rsidR="00D82DC0" w:rsidRDefault="00FB23DD">
      <w:pPr>
        <w:spacing w:after="275" w:line="259" w:lineRule="auto"/>
        <w:ind w:left="0" w:firstLine="0"/>
        <w:jc w:val="left"/>
      </w:pPr>
      <w:r>
        <w:rPr>
          <w:b/>
        </w:rPr>
        <w:t xml:space="preserve"> </w:t>
      </w:r>
    </w:p>
    <w:p w14:paraId="2574D15A" w14:textId="77777777" w:rsidR="00D82DC0" w:rsidRDefault="00FB23DD">
      <w:pPr>
        <w:spacing w:after="162"/>
        <w:ind w:left="706" w:hanging="721"/>
      </w:pPr>
      <w:r>
        <w:t xml:space="preserve">All, A.C., 2022. Constructivism theory analysis and application to curricula. </w:t>
      </w:r>
      <w:r>
        <w:rPr>
          <w:i/>
        </w:rPr>
        <w:t>Nursing education perspectives</w:t>
      </w:r>
      <w:r>
        <w:t xml:space="preserve">, </w:t>
      </w:r>
      <w:r>
        <w:rPr>
          <w:i/>
        </w:rPr>
        <w:t>31</w:t>
      </w:r>
      <w:r>
        <w:t xml:space="preserve">(2), pp.89-92. </w:t>
      </w:r>
    </w:p>
    <w:p w14:paraId="0D903CF2" w14:textId="77777777" w:rsidR="00D82DC0" w:rsidRDefault="00FB23DD">
      <w:pPr>
        <w:spacing w:after="157"/>
        <w:ind w:left="706" w:hanging="721"/>
      </w:pPr>
      <w:r>
        <w:t>Brandon, A.F. and All, A.C., 2022. Constructivism theory analysis a</w:t>
      </w:r>
      <w:r>
        <w:t xml:space="preserve">nd application to curricula. </w:t>
      </w:r>
      <w:r>
        <w:rPr>
          <w:i/>
        </w:rPr>
        <w:t>Nursing education perspectives</w:t>
      </w:r>
      <w:r>
        <w:t xml:space="preserve">, </w:t>
      </w:r>
      <w:r>
        <w:rPr>
          <w:i/>
        </w:rPr>
        <w:t>31</w:t>
      </w:r>
      <w:r>
        <w:t xml:space="preserve">(2), pp.89-92. </w:t>
      </w:r>
    </w:p>
    <w:p w14:paraId="717EBBD2" w14:textId="77777777" w:rsidR="00D82DC0" w:rsidRDefault="00FB23DD">
      <w:pPr>
        <w:spacing w:after="162"/>
        <w:ind w:left="706" w:hanging="721"/>
      </w:pPr>
      <w:r>
        <w:t xml:space="preserve">Greaves, L. and Ritz, S.A., 2022. Sex, gender and health: Mapping the landscape of research and policy. </w:t>
      </w:r>
      <w:r>
        <w:rPr>
          <w:i/>
        </w:rPr>
        <w:t>International Journal of Environmental Research and Public Health</w:t>
      </w:r>
      <w:r>
        <w:t xml:space="preserve">, </w:t>
      </w:r>
      <w:r>
        <w:rPr>
          <w:i/>
        </w:rPr>
        <w:t>19</w:t>
      </w:r>
      <w:r>
        <w:t>(5),</w:t>
      </w:r>
      <w:r>
        <w:t xml:space="preserve"> p.2563. </w:t>
      </w:r>
    </w:p>
    <w:p w14:paraId="25F85210" w14:textId="77777777" w:rsidR="00D82DC0" w:rsidRDefault="00FB23DD">
      <w:pPr>
        <w:spacing w:after="155" w:line="358" w:lineRule="auto"/>
        <w:ind w:left="716" w:right="-7" w:hanging="731"/>
        <w:jc w:val="left"/>
      </w:pPr>
      <w:proofErr w:type="spellStart"/>
      <w:r>
        <w:t>Hessenauer</w:t>
      </w:r>
      <w:proofErr w:type="spellEnd"/>
      <w:r>
        <w:t xml:space="preserve">, S.L., 2019. </w:t>
      </w:r>
      <w:r>
        <w:rPr>
          <w:i/>
        </w:rPr>
        <w:t>Empowerment series: understanding human behavior and the social environment</w:t>
      </w:r>
      <w:r>
        <w:t xml:space="preserve">. Cengage Learning. </w:t>
      </w:r>
    </w:p>
    <w:p w14:paraId="42710382" w14:textId="77777777" w:rsidR="00D82DC0" w:rsidRDefault="00FB23DD">
      <w:pPr>
        <w:spacing w:after="115" w:line="259" w:lineRule="auto"/>
        <w:ind w:left="-5"/>
      </w:pPr>
      <w:proofErr w:type="spellStart"/>
      <w:r>
        <w:t>Kitson</w:t>
      </w:r>
      <w:proofErr w:type="spellEnd"/>
      <w:r>
        <w:t xml:space="preserve">, A., </w:t>
      </w:r>
      <w:proofErr w:type="spellStart"/>
      <w:r>
        <w:t>Feo</w:t>
      </w:r>
      <w:proofErr w:type="spellEnd"/>
      <w:r>
        <w:t xml:space="preserve">, R., Lawless, M., </w:t>
      </w:r>
      <w:proofErr w:type="spellStart"/>
      <w:r>
        <w:t>Arciuli</w:t>
      </w:r>
      <w:proofErr w:type="spellEnd"/>
      <w:r>
        <w:t xml:space="preserve">, J., Clark, R., </w:t>
      </w:r>
      <w:proofErr w:type="spellStart"/>
      <w:r>
        <w:t>Golley</w:t>
      </w:r>
      <w:proofErr w:type="spellEnd"/>
      <w:r>
        <w:t xml:space="preserve">, R., Lange, B., </w:t>
      </w:r>
      <w:proofErr w:type="spellStart"/>
      <w:r>
        <w:t>Ratcliffe</w:t>
      </w:r>
      <w:proofErr w:type="spellEnd"/>
      <w:r>
        <w:t xml:space="preserve">, J. and </w:t>
      </w:r>
    </w:p>
    <w:p w14:paraId="04A067F3" w14:textId="77777777" w:rsidR="00D82DC0" w:rsidRDefault="00FB23DD">
      <w:pPr>
        <w:spacing w:after="162"/>
        <w:ind w:left="731"/>
      </w:pPr>
      <w:r>
        <w:t>Robinson, S., 2022. Toward</w:t>
      </w:r>
      <w:r>
        <w:t xml:space="preserve">s a unifying caring life‐course theory for better self‐care and caring solutions: A discussion paper. </w:t>
      </w:r>
      <w:r>
        <w:rPr>
          <w:i/>
        </w:rPr>
        <w:t>Journal of Advanced Nursing</w:t>
      </w:r>
      <w:r>
        <w:t xml:space="preserve">, </w:t>
      </w:r>
      <w:r>
        <w:rPr>
          <w:i/>
        </w:rPr>
        <w:t>78</w:t>
      </w:r>
      <w:r>
        <w:t xml:space="preserve">(1), </w:t>
      </w:r>
      <w:proofErr w:type="gramStart"/>
      <w:r>
        <w:t>pp.e</w:t>
      </w:r>
      <w:proofErr w:type="gramEnd"/>
      <w:r>
        <w:t xml:space="preserve">6-e20. </w:t>
      </w:r>
    </w:p>
    <w:p w14:paraId="18C080F7" w14:textId="77777777" w:rsidR="00D82DC0" w:rsidRDefault="00FB23DD">
      <w:pPr>
        <w:spacing w:after="163"/>
        <w:ind w:left="706" w:hanging="721"/>
      </w:pPr>
      <w:r>
        <w:t>Rose, E., 2019. Encountering place: A psychoanalytic approach for understanding how therapeutic landscapes</w:t>
      </w:r>
      <w:r>
        <w:t xml:space="preserve"> benefit health and wellbeing. </w:t>
      </w:r>
      <w:r>
        <w:rPr>
          <w:i/>
        </w:rPr>
        <w:t>Health &amp; place</w:t>
      </w:r>
      <w:r>
        <w:t xml:space="preserve">, </w:t>
      </w:r>
      <w:r>
        <w:rPr>
          <w:i/>
        </w:rPr>
        <w:t>18</w:t>
      </w:r>
      <w:r>
        <w:t xml:space="preserve">(6), pp.1381-1387. </w:t>
      </w:r>
    </w:p>
    <w:p w14:paraId="2C20333D" w14:textId="77777777" w:rsidR="00D82DC0" w:rsidRDefault="00FB23DD">
      <w:pPr>
        <w:spacing w:after="115" w:line="259" w:lineRule="auto"/>
        <w:ind w:left="-15" w:right="-7" w:firstLine="0"/>
        <w:jc w:val="left"/>
      </w:pPr>
      <w:r>
        <w:t xml:space="preserve">Tennant, M., 2019. </w:t>
      </w:r>
      <w:r>
        <w:rPr>
          <w:i/>
        </w:rPr>
        <w:t>Psychology and adult learning: The role of theory in informing practice</w:t>
      </w:r>
      <w:r>
        <w:t xml:space="preserve">. </w:t>
      </w:r>
    </w:p>
    <w:p w14:paraId="6A5A64C7" w14:textId="77777777" w:rsidR="00D82DC0" w:rsidRDefault="00FB23DD">
      <w:pPr>
        <w:spacing w:after="275" w:line="259" w:lineRule="auto"/>
        <w:ind w:left="731"/>
      </w:pPr>
      <w:r>
        <w:t xml:space="preserve">Routledge. </w:t>
      </w:r>
    </w:p>
    <w:p w14:paraId="28D91A49" w14:textId="77777777" w:rsidR="00D82DC0" w:rsidRDefault="00FB23DD">
      <w:pPr>
        <w:spacing w:after="275" w:line="259" w:lineRule="auto"/>
        <w:ind w:left="0" w:firstLine="0"/>
        <w:jc w:val="left"/>
      </w:pPr>
      <w:r>
        <w:t xml:space="preserve"> </w:t>
      </w:r>
    </w:p>
    <w:p w14:paraId="2BD21CE4" w14:textId="77777777" w:rsidR="00D82DC0" w:rsidRDefault="00FB23DD">
      <w:pPr>
        <w:spacing w:after="162" w:line="358" w:lineRule="auto"/>
        <w:ind w:left="706" w:right="-8" w:hanging="721"/>
        <w:jc w:val="left"/>
      </w:pPr>
      <w:r>
        <w:t xml:space="preserve">Williams, P., Barclay, L. and </w:t>
      </w:r>
      <w:proofErr w:type="spellStart"/>
      <w:r>
        <w:t>Schmied</w:t>
      </w:r>
      <w:proofErr w:type="spellEnd"/>
      <w:r>
        <w:t xml:space="preserve">, V., 2020. Defining social support in context: a necessary step in improving research, intervention, and practice. </w:t>
      </w:r>
      <w:r>
        <w:rPr>
          <w:i/>
        </w:rPr>
        <w:t>Qualitative health research</w:t>
      </w:r>
      <w:r>
        <w:t xml:space="preserve">, </w:t>
      </w:r>
      <w:r>
        <w:rPr>
          <w:i/>
        </w:rPr>
        <w:t>14</w:t>
      </w:r>
      <w:r>
        <w:t xml:space="preserve">(7), pp.942-960. </w:t>
      </w:r>
    </w:p>
    <w:p w14:paraId="36AB1D69" w14:textId="77777777" w:rsidR="00D82DC0" w:rsidRDefault="00FB23DD">
      <w:pPr>
        <w:spacing w:after="115" w:line="358" w:lineRule="auto"/>
        <w:ind w:left="716" w:right="-7" w:hanging="731"/>
        <w:jc w:val="left"/>
      </w:pPr>
      <w:proofErr w:type="spellStart"/>
      <w:r>
        <w:t>Zastrow</w:t>
      </w:r>
      <w:proofErr w:type="spellEnd"/>
      <w:r>
        <w:t xml:space="preserve">, C., Kirst-Ashman, K.K..,2019. </w:t>
      </w:r>
      <w:r>
        <w:rPr>
          <w:i/>
        </w:rPr>
        <w:t>Empowerment ser</w:t>
      </w:r>
      <w:r>
        <w:rPr>
          <w:i/>
        </w:rPr>
        <w:t>ies: understanding human behavior and the social environment</w:t>
      </w:r>
      <w:r>
        <w:t xml:space="preserve">. Cengage Learning. </w:t>
      </w:r>
    </w:p>
    <w:sectPr w:rsidR="00D82DC0">
      <w:headerReference w:type="even" r:id="rId8"/>
      <w:headerReference w:type="default" r:id="rId9"/>
      <w:headerReference w:type="first" r:id="rId10"/>
      <w:pgSz w:w="12240" w:h="15840"/>
      <w:pgMar w:top="1452" w:right="1432" w:bottom="1464" w:left="1441"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E69102" w14:textId="77777777" w:rsidR="00000000" w:rsidRDefault="00FB23DD">
      <w:pPr>
        <w:spacing w:after="0" w:line="240" w:lineRule="auto"/>
      </w:pPr>
      <w:r>
        <w:separator/>
      </w:r>
    </w:p>
  </w:endnote>
  <w:endnote w:type="continuationSeparator" w:id="0">
    <w:p w14:paraId="504B4930" w14:textId="77777777" w:rsidR="00000000" w:rsidRDefault="00FB23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1D9112" w14:textId="77777777" w:rsidR="00000000" w:rsidRDefault="00FB23DD">
      <w:pPr>
        <w:spacing w:after="0" w:line="240" w:lineRule="auto"/>
      </w:pPr>
      <w:r>
        <w:separator/>
      </w:r>
    </w:p>
  </w:footnote>
  <w:footnote w:type="continuationSeparator" w:id="0">
    <w:p w14:paraId="60D41739" w14:textId="77777777" w:rsidR="00000000" w:rsidRDefault="00FB23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D4C78A" w14:textId="77777777" w:rsidR="00D82DC0" w:rsidRDefault="00FB23DD">
    <w:pPr>
      <w:spacing w:after="0" w:line="259" w:lineRule="auto"/>
      <w:ind w:left="0" w:right="2" w:firstLine="0"/>
      <w:jc w:val="right"/>
    </w:pPr>
    <w:r>
      <w:fldChar w:fldCharType="begin"/>
    </w:r>
    <w:r>
      <w:instrText xml:space="preserve"> PAGE   \* MERGEFORMAT </w:instrText>
    </w:r>
    <w:r>
      <w:fldChar w:fldCharType="separate"/>
    </w:r>
    <w:r>
      <w:rPr>
        <w:rFonts w:ascii="Calibri" w:eastAsia="Calibri" w:hAnsi="Calibri" w:cs="Calibri"/>
        <w:sz w:val="22"/>
      </w:rPr>
      <w:t>2</w:t>
    </w:r>
    <w:r>
      <w:rPr>
        <w:rFonts w:ascii="Calibri" w:eastAsia="Calibri" w:hAnsi="Calibri" w:cs="Calibri"/>
        <w:sz w:val="22"/>
      </w:rPr>
      <w:fldChar w:fldCharType="end"/>
    </w:r>
    <w:r>
      <w:rPr>
        <w:rFonts w:ascii="Calibri" w:eastAsia="Calibri" w:hAnsi="Calibri" w:cs="Calibri"/>
        <w:sz w:val="22"/>
      </w:rPr>
      <w:t xml:space="preserve"> </w:t>
    </w:r>
  </w:p>
  <w:p w14:paraId="5AF7A185" w14:textId="77777777" w:rsidR="00D82DC0" w:rsidRDefault="00FB23DD">
    <w:pPr>
      <w:spacing w:after="0" w:line="259" w:lineRule="auto"/>
      <w:ind w:left="0" w:firstLine="0"/>
      <w:jc w:val="left"/>
    </w:pP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691E8B" w14:textId="77777777" w:rsidR="00D82DC0" w:rsidRDefault="00FB23DD">
    <w:pPr>
      <w:spacing w:after="0" w:line="259" w:lineRule="auto"/>
      <w:ind w:left="0" w:right="2" w:firstLine="0"/>
      <w:jc w:val="right"/>
    </w:pPr>
    <w:r>
      <w:fldChar w:fldCharType="begin"/>
    </w:r>
    <w:r>
      <w:instrText xml:space="preserve"> PAGE   \* MERGEFORMAT </w:instrText>
    </w:r>
    <w:r>
      <w:fldChar w:fldCharType="separate"/>
    </w:r>
    <w:r>
      <w:rPr>
        <w:rFonts w:ascii="Calibri" w:eastAsia="Calibri" w:hAnsi="Calibri" w:cs="Calibri"/>
        <w:sz w:val="22"/>
      </w:rPr>
      <w:t>2</w:t>
    </w:r>
    <w:r>
      <w:rPr>
        <w:rFonts w:ascii="Calibri" w:eastAsia="Calibri" w:hAnsi="Calibri" w:cs="Calibri"/>
        <w:sz w:val="22"/>
      </w:rPr>
      <w:fldChar w:fldCharType="end"/>
    </w:r>
    <w:r>
      <w:rPr>
        <w:rFonts w:ascii="Calibri" w:eastAsia="Calibri" w:hAnsi="Calibri" w:cs="Calibri"/>
        <w:sz w:val="22"/>
      </w:rPr>
      <w:t xml:space="preserve"> </w:t>
    </w:r>
  </w:p>
  <w:p w14:paraId="4BC594EF" w14:textId="77777777" w:rsidR="00D82DC0" w:rsidRDefault="00FB23DD">
    <w:pPr>
      <w:spacing w:after="0" w:line="259" w:lineRule="auto"/>
      <w:ind w:left="0" w:firstLine="0"/>
      <w:jc w:val="left"/>
    </w:pP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D6D185" w14:textId="77777777" w:rsidR="00D82DC0" w:rsidRDefault="00D82DC0">
    <w:pPr>
      <w:spacing w:after="160" w:line="259" w:lineRule="auto"/>
      <w:ind w:lef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C3306"/>
    <w:multiLevelType w:val="hybridMultilevel"/>
    <w:tmpl w:val="FFFFFFFF"/>
    <w:lvl w:ilvl="0" w:tplc="71F2D182">
      <w:start w:val="1"/>
      <w:numFmt w:val="upperLetter"/>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FBBA9308">
      <w:start w:val="1"/>
      <w:numFmt w:val="lowerLetter"/>
      <w:lvlText w:val="%2"/>
      <w:lvlJc w:val="left"/>
      <w:pPr>
        <w:ind w:left="11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FC32B434">
      <w:start w:val="1"/>
      <w:numFmt w:val="lowerRoman"/>
      <w:lvlText w:val="%3"/>
      <w:lvlJc w:val="left"/>
      <w:pPr>
        <w:ind w:left="18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C6D0D73E">
      <w:start w:val="1"/>
      <w:numFmt w:val="decimal"/>
      <w:lvlText w:val="%4"/>
      <w:lvlJc w:val="left"/>
      <w:pPr>
        <w:ind w:left="25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0526011E">
      <w:start w:val="1"/>
      <w:numFmt w:val="lowerLetter"/>
      <w:lvlText w:val="%5"/>
      <w:lvlJc w:val="left"/>
      <w:pPr>
        <w:ind w:left="32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493ACBBC">
      <w:start w:val="1"/>
      <w:numFmt w:val="lowerRoman"/>
      <w:lvlText w:val="%6"/>
      <w:lvlJc w:val="left"/>
      <w:pPr>
        <w:ind w:left="39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8A44EAF2">
      <w:start w:val="1"/>
      <w:numFmt w:val="decimal"/>
      <w:lvlText w:val="%7"/>
      <w:lvlJc w:val="left"/>
      <w:pPr>
        <w:ind w:left="47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F37A3FF6">
      <w:start w:val="1"/>
      <w:numFmt w:val="lowerLetter"/>
      <w:lvlText w:val="%8"/>
      <w:lvlJc w:val="left"/>
      <w:pPr>
        <w:ind w:left="54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1616C64E">
      <w:start w:val="1"/>
      <w:numFmt w:val="lowerRoman"/>
      <w:lvlText w:val="%9"/>
      <w:lvlJc w:val="left"/>
      <w:pPr>
        <w:ind w:left="61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AAC3953"/>
    <w:multiLevelType w:val="hybridMultilevel"/>
    <w:tmpl w:val="FFFFFFFF"/>
    <w:lvl w:ilvl="0" w:tplc="DD36E722">
      <w:start w:val="2"/>
      <w:numFmt w:val="upperLetter"/>
      <w:lvlText w:val="%1."/>
      <w:lvlJc w:val="left"/>
      <w:pPr>
        <w:ind w:left="305"/>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82C08F8A">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3B8A743C">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A0229F10">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9F7A8F7C">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FFD8BD08">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65B2E482">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CD06058C">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1F02F834">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2DC0"/>
    <w:rsid w:val="005A1BF0"/>
    <w:rsid w:val="00604600"/>
    <w:rsid w:val="007F7ADB"/>
    <w:rsid w:val="00861E21"/>
    <w:rsid w:val="00BC2371"/>
    <w:rsid w:val="00D50202"/>
    <w:rsid w:val="00D82DC0"/>
    <w:rsid w:val="00E00537"/>
    <w:rsid w:val="00FB23DD"/>
    <w:rsid w:val="00FD2D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8B1FF8"/>
  <w15:docId w15:val="{06253536-8DF0-5849-9942-5A7AC315D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 w:line="357" w:lineRule="auto"/>
      <w:ind w:left="10" w:hanging="10"/>
      <w:jc w:val="both"/>
    </w:pPr>
    <w:rPr>
      <w:rFonts w:ascii="Times New Roman" w:eastAsia="Times New Roman" w:hAnsi="Times New Roman" w:cs="Times New Roman"/>
      <w:color w:val="000000"/>
      <w:sz w:val="24"/>
      <w:lang w:val="en-US" w:eastAsia="en-US" w:bidi="en-US"/>
    </w:rPr>
  </w:style>
  <w:style w:type="paragraph" w:styleId="Heading1">
    <w:name w:val="heading 1"/>
    <w:next w:val="Normal"/>
    <w:link w:val="Heading1Char"/>
    <w:uiPriority w:val="9"/>
    <w:qFormat/>
    <w:pPr>
      <w:keepNext/>
      <w:keepLines/>
      <w:spacing w:after="264" w:line="265" w:lineRule="auto"/>
      <w:ind w:left="10" w:hanging="10"/>
      <w:outlineLvl w:val="0"/>
    </w:pPr>
    <w:rPr>
      <w:rFonts w:ascii="Times New Roman" w:eastAsia="Times New Roman" w:hAnsi="Times New Roman" w:cs="Times New Roman"/>
      <w:b/>
      <w:i/>
      <w:color w:val="000000"/>
      <w:sz w:val="24"/>
    </w:rPr>
  </w:style>
  <w:style w:type="paragraph" w:styleId="Heading2">
    <w:name w:val="heading 2"/>
    <w:next w:val="Normal"/>
    <w:link w:val="Heading2Char"/>
    <w:uiPriority w:val="9"/>
    <w:unhideWhenUsed/>
    <w:qFormat/>
    <w:pPr>
      <w:keepNext/>
      <w:keepLines/>
      <w:spacing w:after="264" w:line="265" w:lineRule="auto"/>
      <w:ind w:left="10" w:hanging="10"/>
      <w:outlineLvl w:val="1"/>
    </w:pPr>
    <w:rPr>
      <w:rFonts w:ascii="Times New Roman" w:eastAsia="Times New Roman" w:hAnsi="Times New Roman" w:cs="Times New Roman"/>
      <w:b/>
      <w:i/>
      <w:color w:val="000000"/>
      <w:sz w:val="24"/>
    </w:rPr>
  </w:style>
  <w:style w:type="paragraph" w:styleId="Heading3">
    <w:name w:val="heading 3"/>
    <w:next w:val="Normal"/>
    <w:link w:val="Heading3Char"/>
    <w:uiPriority w:val="9"/>
    <w:unhideWhenUsed/>
    <w:qFormat/>
    <w:pPr>
      <w:keepNext/>
      <w:keepLines/>
      <w:spacing w:after="264" w:line="265" w:lineRule="auto"/>
      <w:ind w:left="10" w:hanging="10"/>
      <w:outlineLvl w:val="2"/>
    </w:pPr>
    <w:rPr>
      <w:rFonts w:ascii="Times New Roman" w:eastAsia="Times New Roman" w:hAnsi="Times New Roman" w:cs="Times New Roman"/>
      <w:b/>
      <w:i/>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i/>
      <w:color w:val="000000"/>
      <w:sz w:val="24"/>
    </w:rPr>
  </w:style>
  <w:style w:type="character" w:customStyle="1" w:styleId="Heading2Char">
    <w:name w:val="Heading 2 Char"/>
    <w:link w:val="Heading2"/>
    <w:rPr>
      <w:rFonts w:ascii="Times New Roman" w:eastAsia="Times New Roman" w:hAnsi="Times New Roman" w:cs="Times New Roman"/>
      <w:b/>
      <w:i/>
      <w:color w:val="000000"/>
      <w:sz w:val="24"/>
    </w:rPr>
  </w:style>
  <w:style w:type="character" w:customStyle="1" w:styleId="Heading3Char">
    <w:name w:val="Heading 3 Char"/>
    <w:link w:val="Heading3"/>
    <w:rPr>
      <w:rFonts w:ascii="Times New Roman" w:eastAsia="Times New Roman" w:hAnsi="Times New Roman" w:cs="Times New Roman"/>
      <w:b/>
      <w:i/>
      <w:color w:val="000000"/>
      <w:sz w:val="24"/>
    </w:rPr>
  </w:style>
  <w:style w:type="paragraph" w:styleId="TOC1">
    <w:name w:val="toc 1"/>
    <w:hidden/>
    <w:pPr>
      <w:spacing w:after="315"/>
      <w:ind w:left="25" w:right="23" w:hanging="10"/>
      <w:jc w:val="both"/>
    </w:pPr>
    <w:rPr>
      <w:rFonts w:ascii="Times New Roman" w:eastAsia="Times New Roman" w:hAnsi="Times New Roman" w:cs="Times New Roman"/>
      <w:color w:val="000000"/>
      <w:sz w:val="24"/>
    </w:rPr>
  </w:style>
  <w:style w:type="paragraph" w:styleId="TOC2">
    <w:name w:val="toc 2"/>
    <w:hidden/>
    <w:pPr>
      <w:spacing w:after="350"/>
      <w:ind w:left="25" w:right="23" w:hanging="10"/>
      <w:jc w:val="both"/>
    </w:pPr>
    <w:rPr>
      <w:rFonts w:ascii="Times New Roman" w:eastAsia="Times New Roman" w:hAnsi="Times New Roman" w:cs="Times New Roman"/>
      <w:color w:val="000000"/>
      <w:sz w:val="24"/>
    </w:rPr>
  </w:style>
  <w:style w:type="paragraph" w:styleId="TOC3">
    <w:name w:val="toc 3"/>
    <w:hidden/>
    <w:pPr>
      <w:spacing w:after="350"/>
      <w:ind w:left="25" w:right="23" w:hanging="10"/>
      <w:jc w:val="both"/>
    </w:pPr>
    <w:rPr>
      <w:rFonts w:ascii="Times New Roman" w:eastAsia="Times New Roman" w:hAnsi="Times New Roman" w:cs="Times New Roman"/>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jp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header" Target="header3.xml" /><Relationship Id="rId4" Type="http://schemas.openxmlformats.org/officeDocument/2006/relationships/webSettings" Target="webSettings.xml" /><Relationship Id="rId9"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1890</Words>
  <Characters>10778</Characters>
  <Application>Microsoft Office Word</Application>
  <DocSecurity>0</DocSecurity>
  <Lines>89</Lines>
  <Paragraphs>25</Paragraphs>
  <ScaleCrop>false</ScaleCrop>
  <Company/>
  <LinksUpToDate>false</LinksUpToDate>
  <CharactersWithSpaces>12643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FOR HEALTH AND SOCIAL CARE</dc:title>
  <dc:subject>ASSIGNMENT</dc:subject>
  <dc:creator>rizwan</dc:creator>
  <cp:keywords/>
  <cp:lastModifiedBy>Sweeba Altaf</cp:lastModifiedBy>
  <cp:revision>2</cp:revision>
  <dcterms:created xsi:type="dcterms:W3CDTF">2022-04-12T11:26:00Z</dcterms:created>
  <dcterms:modified xsi:type="dcterms:W3CDTF">2022-04-12T11:26:00Z</dcterms:modified>
</cp:coreProperties>
</file>