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EC312" w14:textId="7AFA510C" w:rsidR="00165580" w:rsidRDefault="00165580" w:rsidP="00352121">
      <w:pPr>
        <w:pBdr>
          <w:top w:val="single" w:sz="4" w:space="1" w:color="auto"/>
          <w:left w:val="single" w:sz="4" w:space="4" w:color="auto"/>
          <w:bottom w:val="single" w:sz="4" w:space="1" w:color="auto"/>
          <w:right w:val="single" w:sz="4" w:space="4" w:color="auto"/>
        </w:pBdr>
      </w:pPr>
      <w:r w:rsidRPr="00352121">
        <w:rPr>
          <w:b/>
          <w:bCs/>
        </w:rPr>
        <w:t>Student-</w:t>
      </w:r>
      <w:r>
        <w:t>Rachel Hathaway</w:t>
      </w:r>
    </w:p>
    <w:p w14:paraId="6EBF086F" w14:textId="773EEFDB" w:rsidR="00165580" w:rsidRDefault="00165580" w:rsidP="00352121">
      <w:pPr>
        <w:pBdr>
          <w:top w:val="single" w:sz="4" w:space="1" w:color="auto"/>
          <w:left w:val="single" w:sz="4" w:space="4" w:color="auto"/>
          <w:bottom w:val="single" w:sz="4" w:space="1" w:color="auto"/>
          <w:right w:val="single" w:sz="4" w:space="4" w:color="auto"/>
        </w:pBdr>
      </w:pPr>
      <w:r w:rsidRPr="00352121">
        <w:rPr>
          <w:b/>
          <w:bCs/>
        </w:rPr>
        <w:t>Student I.D-</w:t>
      </w:r>
      <w:r>
        <w:t xml:space="preserve"> 2509405</w:t>
      </w:r>
    </w:p>
    <w:p w14:paraId="2C7B8393" w14:textId="412289B1" w:rsidR="00165580" w:rsidRDefault="00165580" w:rsidP="00352121">
      <w:pPr>
        <w:pBdr>
          <w:top w:val="single" w:sz="4" w:space="1" w:color="auto"/>
          <w:left w:val="single" w:sz="4" w:space="4" w:color="auto"/>
          <w:bottom w:val="single" w:sz="4" w:space="1" w:color="auto"/>
          <w:right w:val="single" w:sz="4" w:space="4" w:color="auto"/>
        </w:pBdr>
      </w:pPr>
      <w:r w:rsidRPr="00352121">
        <w:rPr>
          <w:b/>
          <w:bCs/>
        </w:rPr>
        <w:t>Lecturer-</w:t>
      </w:r>
      <w:r>
        <w:t xml:space="preserve"> Gillian Weaver</w:t>
      </w:r>
    </w:p>
    <w:p w14:paraId="131F7C95" w14:textId="10014395" w:rsidR="00165580" w:rsidRDefault="00165580" w:rsidP="00352121">
      <w:pPr>
        <w:pBdr>
          <w:top w:val="single" w:sz="4" w:space="1" w:color="auto"/>
          <w:left w:val="single" w:sz="4" w:space="4" w:color="auto"/>
          <w:bottom w:val="single" w:sz="4" w:space="1" w:color="auto"/>
          <w:right w:val="single" w:sz="4" w:space="4" w:color="auto"/>
        </w:pBdr>
      </w:pPr>
      <w:r w:rsidRPr="00352121">
        <w:rPr>
          <w:b/>
          <w:bCs/>
        </w:rPr>
        <w:t>Module-</w:t>
      </w:r>
      <w:r>
        <w:t xml:space="preserve"> Introduction to Public Health</w:t>
      </w:r>
    </w:p>
    <w:p w14:paraId="2733C848" w14:textId="53FC4BA7" w:rsidR="00165580" w:rsidRDefault="00165580" w:rsidP="00352121">
      <w:pPr>
        <w:pBdr>
          <w:top w:val="single" w:sz="4" w:space="1" w:color="auto"/>
          <w:left w:val="single" w:sz="4" w:space="4" w:color="auto"/>
          <w:bottom w:val="single" w:sz="4" w:space="1" w:color="auto"/>
          <w:right w:val="single" w:sz="4" w:space="4" w:color="auto"/>
        </w:pBdr>
      </w:pPr>
      <w:r w:rsidRPr="00352121">
        <w:rPr>
          <w:b/>
          <w:bCs/>
        </w:rPr>
        <w:t>Module Code-</w:t>
      </w:r>
      <w:r>
        <w:t xml:space="preserve"> LCHS4003</w:t>
      </w:r>
    </w:p>
    <w:p w14:paraId="29EB72E0" w14:textId="77777777" w:rsidR="00165580" w:rsidRDefault="00165580"/>
    <w:p w14:paraId="256823DE" w14:textId="77777777" w:rsidR="00165580" w:rsidRDefault="00165580"/>
    <w:p w14:paraId="2E374D61" w14:textId="77777777" w:rsidR="00165580" w:rsidRDefault="00165580"/>
    <w:p w14:paraId="14E23DFA" w14:textId="77777777" w:rsidR="00165580" w:rsidRDefault="00165580"/>
    <w:p w14:paraId="5D58265E" w14:textId="77777777" w:rsidR="00165580" w:rsidRDefault="00165580"/>
    <w:p w14:paraId="2DD5CC45" w14:textId="77777777" w:rsidR="00165580" w:rsidRDefault="00165580"/>
    <w:p w14:paraId="6B047FA9" w14:textId="77777777" w:rsidR="00165580" w:rsidRDefault="00165580"/>
    <w:p w14:paraId="3E14C6B7" w14:textId="77777777" w:rsidR="00165580" w:rsidRDefault="00165580"/>
    <w:p w14:paraId="3EFE3D98" w14:textId="77777777" w:rsidR="00165580" w:rsidRDefault="00165580"/>
    <w:p w14:paraId="6CA751F4" w14:textId="77777777" w:rsidR="00165580" w:rsidRDefault="00165580"/>
    <w:p w14:paraId="1CD9B7DF" w14:textId="77777777" w:rsidR="00165580" w:rsidRDefault="00165580"/>
    <w:p w14:paraId="405A36D5" w14:textId="77777777" w:rsidR="00165580" w:rsidRDefault="00165580"/>
    <w:p w14:paraId="083B24B0" w14:textId="77777777" w:rsidR="00165580" w:rsidRDefault="00165580"/>
    <w:p w14:paraId="3F1B9697" w14:textId="77777777" w:rsidR="00165580" w:rsidRDefault="00165580"/>
    <w:p w14:paraId="0C491BF9" w14:textId="77777777" w:rsidR="00165580" w:rsidRDefault="00165580"/>
    <w:p w14:paraId="2D8FFC13" w14:textId="77777777" w:rsidR="00165580" w:rsidRDefault="00165580"/>
    <w:p w14:paraId="57A1BBE4" w14:textId="77777777" w:rsidR="00165580" w:rsidRDefault="00165580"/>
    <w:p w14:paraId="2F1A4197" w14:textId="77777777" w:rsidR="00165580" w:rsidRDefault="00165580"/>
    <w:p w14:paraId="13B607E5" w14:textId="77777777" w:rsidR="00165580" w:rsidRDefault="00165580"/>
    <w:p w14:paraId="0FB4F916" w14:textId="77777777" w:rsidR="00165580" w:rsidRDefault="00165580"/>
    <w:p w14:paraId="05DD867B" w14:textId="77777777" w:rsidR="00165580" w:rsidRDefault="00165580"/>
    <w:p w14:paraId="3305E0B1" w14:textId="77777777" w:rsidR="00165580" w:rsidRDefault="00165580"/>
    <w:p w14:paraId="0A5D0B26" w14:textId="7544A846" w:rsidR="00352121" w:rsidRDefault="00352121"/>
    <w:sdt>
      <w:sdtPr>
        <w:id w:val="-119677416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2E816BC6" w14:textId="098F5FA9" w:rsidR="00352121" w:rsidRDefault="00352121" w:rsidP="00352121">
          <w:pPr>
            <w:pStyle w:val="TOCHeading"/>
            <w:jc w:val="center"/>
            <w:rPr>
              <w:rFonts w:ascii="Arial" w:hAnsi="Arial" w:cs="Arial"/>
              <w:b/>
              <w:bCs/>
              <w:color w:val="000000" w:themeColor="text1"/>
              <w:sz w:val="22"/>
              <w:szCs w:val="22"/>
            </w:rPr>
          </w:pPr>
          <w:r w:rsidRPr="00352121">
            <w:rPr>
              <w:rFonts w:ascii="Arial" w:hAnsi="Arial" w:cs="Arial"/>
              <w:b/>
              <w:bCs/>
              <w:color w:val="000000" w:themeColor="text1"/>
              <w:sz w:val="22"/>
              <w:szCs w:val="22"/>
            </w:rPr>
            <w:t>Table of Contents</w:t>
          </w:r>
        </w:p>
        <w:p w14:paraId="4BFE3EB2" w14:textId="77777777" w:rsidR="00352121" w:rsidRDefault="00352121" w:rsidP="00352121">
          <w:pPr>
            <w:rPr>
              <w:lang w:eastAsia="en-GB"/>
            </w:rPr>
          </w:pPr>
        </w:p>
        <w:p w14:paraId="7565D24F" w14:textId="77777777" w:rsidR="00352121" w:rsidRDefault="00352121" w:rsidP="00352121">
          <w:pPr>
            <w:rPr>
              <w:lang w:eastAsia="en-GB"/>
            </w:rPr>
          </w:pPr>
        </w:p>
        <w:p w14:paraId="2A7F0975" w14:textId="77777777" w:rsidR="00352121" w:rsidRDefault="00352121" w:rsidP="00352121">
          <w:pPr>
            <w:rPr>
              <w:lang w:eastAsia="en-GB"/>
            </w:rPr>
          </w:pPr>
        </w:p>
        <w:p w14:paraId="5626CBBC" w14:textId="77777777" w:rsidR="00352121" w:rsidRPr="00352121" w:rsidRDefault="00352121" w:rsidP="00352121">
          <w:pPr>
            <w:rPr>
              <w:lang w:eastAsia="en-GB"/>
            </w:rPr>
          </w:pPr>
        </w:p>
        <w:p w14:paraId="004A4311" w14:textId="25774764" w:rsidR="00352121" w:rsidRPr="00352121" w:rsidRDefault="00352121" w:rsidP="00352121">
          <w:pPr>
            <w:pStyle w:val="TOC1"/>
            <w:tabs>
              <w:tab w:val="right" w:leader="dot" w:pos="9016"/>
            </w:tabs>
            <w:jc w:val="both"/>
            <w:rPr>
              <w:rFonts w:ascii="Arial" w:hAnsi="Arial" w:cs="Arial"/>
              <w:noProof/>
              <w:color w:val="000000" w:themeColor="text1"/>
              <w:sz w:val="22"/>
              <w:szCs w:val="22"/>
            </w:rPr>
          </w:pPr>
          <w:r w:rsidRPr="00352121">
            <w:rPr>
              <w:rFonts w:ascii="Arial" w:hAnsi="Arial" w:cs="Arial"/>
              <w:color w:val="000000" w:themeColor="text1"/>
              <w:sz w:val="22"/>
              <w:szCs w:val="22"/>
            </w:rPr>
            <w:fldChar w:fldCharType="begin"/>
          </w:r>
          <w:r w:rsidRPr="00352121">
            <w:rPr>
              <w:rFonts w:ascii="Arial" w:hAnsi="Arial" w:cs="Arial"/>
              <w:color w:val="000000" w:themeColor="text1"/>
              <w:sz w:val="22"/>
              <w:szCs w:val="22"/>
            </w:rPr>
            <w:instrText xml:space="preserve"> TOC \o "1-3" \h \z \u </w:instrText>
          </w:r>
          <w:r w:rsidRPr="00352121">
            <w:rPr>
              <w:rFonts w:ascii="Arial" w:hAnsi="Arial" w:cs="Arial"/>
              <w:color w:val="000000" w:themeColor="text1"/>
              <w:sz w:val="22"/>
              <w:szCs w:val="22"/>
            </w:rPr>
            <w:fldChar w:fldCharType="separate"/>
          </w:r>
          <w:hyperlink w:anchor="_Toc225513960" w:history="1">
            <w:r w:rsidRPr="00352121">
              <w:rPr>
                <w:rStyle w:val="Hyperlink"/>
                <w:rFonts w:ascii="Arial" w:eastAsia="Times New Roman" w:hAnsi="Arial" w:cs="Arial"/>
                <w:noProof/>
                <w:color w:val="000000" w:themeColor="text1"/>
                <w:kern w:val="36"/>
                <w:sz w:val="22"/>
                <w:szCs w:val="22"/>
                <w:lang w:eastAsia="en-GB"/>
                <w14:ligatures w14:val="none"/>
              </w:rPr>
              <w:t>Dementia: Measuring, Monitoring, and Managing Its Impact on Communities</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_Toc225513960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3</w:t>
            </w:r>
            <w:r w:rsidRPr="00352121">
              <w:rPr>
                <w:rFonts w:ascii="Arial" w:hAnsi="Arial" w:cs="Arial"/>
                <w:noProof/>
                <w:webHidden/>
                <w:color w:val="000000" w:themeColor="text1"/>
                <w:sz w:val="22"/>
                <w:szCs w:val="22"/>
              </w:rPr>
              <w:fldChar w:fldCharType="end"/>
            </w:r>
          </w:hyperlink>
        </w:p>
        <w:p w14:paraId="3BFBA616" w14:textId="77E77AF6" w:rsidR="00352121" w:rsidRPr="00352121" w:rsidRDefault="00352121" w:rsidP="00352121">
          <w:pPr>
            <w:pStyle w:val="TOC2"/>
            <w:tabs>
              <w:tab w:val="right" w:leader="dot" w:pos="9016"/>
            </w:tabs>
            <w:jc w:val="both"/>
            <w:rPr>
              <w:rFonts w:ascii="Arial" w:hAnsi="Arial" w:cs="Arial"/>
              <w:noProof/>
              <w:color w:val="000000" w:themeColor="text1"/>
              <w:sz w:val="22"/>
              <w:szCs w:val="22"/>
            </w:rPr>
          </w:pPr>
          <w:hyperlink w:anchor="_Toc225513961" w:history="1">
            <w:r w:rsidRPr="00352121">
              <w:rPr>
                <w:rStyle w:val="Hyperlink"/>
                <w:rFonts w:ascii="Arial" w:eastAsia="Times New Roman" w:hAnsi="Arial" w:cs="Arial"/>
                <w:noProof/>
                <w:color w:val="000000" w:themeColor="text1"/>
                <w:kern w:val="0"/>
                <w:sz w:val="22"/>
                <w:szCs w:val="22"/>
                <w:lang w:eastAsia="en-GB"/>
                <w14:ligatures w14:val="none"/>
              </w:rPr>
              <w:t>Introduction</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_Toc225513961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3</w:t>
            </w:r>
            <w:r w:rsidRPr="00352121">
              <w:rPr>
                <w:rFonts w:ascii="Arial" w:hAnsi="Arial" w:cs="Arial"/>
                <w:noProof/>
                <w:webHidden/>
                <w:color w:val="000000" w:themeColor="text1"/>
                <w:sz w:val="22"/>
                <w:szCs w:val="22"/>
              </w:rPr>
              <w:fldChar w:fldCharType="end"/>
            </w:r>
          </w:hyperlink>
        </w:p>
        <w:p w14:paraId="401F7BB3" w14:textId="21369241" w:rsidR="00352121" w:rsidRPr="00352121" w:rsidRDefault="00352121" w:rsidP="00352121">
          <w:pPr>
            <w:pStyle w:val="TOC3"/>
            <w:tabs>
              <w:tab w:val="right" w:leader="dot" w:pos="9016"/>
            </w:tabs>
            <w:jc w:val="both"/>
            <w:rPr>
              <w:rFonts w:ascii="Arial" w:hAnsi="Arial" w:cs="Arial"/>
              <w:noProof/>
              <w:color w:val="000000" w:themeColor="text1"/>
              <w:sz w:val="22"/>
              <w:szCs w:val="22"/>
            </w:rPr>
          </w:pPr>
          <w:hyperlink w:anchor="_Toc225513962" w:history="1">
            <w:r w:rsidRPr="00352121">
              <w:rPr>
                <w:rStyle w:val="Hyperlink"/>
                <w:rFonts w:ascii="Arial" w:eastAsia="Times New Roman" w:hAnsi="Arial" w:cs="Arial"/>
                <w:noProof/>
                <w:color w:val="000000" w:themeColor="text1"/>
                <w:kern w:val="0"/>
                <w:sz w:val="22"/>
                <w:szCs w:val="22"/>
                <w:lang w:eastAsia="en-GB"/>
                <w14:ligatures w14:val="none"/>
              </w:rPr>
              <w:t>Approaches to Measuring and Monitoring Dementia</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_Toc225513962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3</w:t>
            </w:r>
            <w:r w:rsidRPr="00352121">
              <w:rPr>
                <w:rFonts w:ascii="Arial" w:hAnsi="Arial" w:cs="Arial"/>
                <w:noProof/>
                <w:webHidden/>
                <w:color w:val="000000" w:themeColor="text1"/>
                <w:sz w:val="22"/>
                <w:szCs w:val="22"/>
              </w:rPr>
              <w:fldChar w:fldCharType="end"/>
            </w:r>
          </w:hyperlink>
        </w:p>
        <w:p w14:paraId="12D964DC" w14:textId="12DF302F" w:rsidR="00352121" w:rsidRPr="00352121" w:rsidRDefault="00352121" w:rsidP="00352121">
          <w:pPr>
            <w:pStyle w:val="TOC3"/>
            <w:tabs>
              <w:tab w:val="right" w:leader="dot" w:pos="9016"/>
            </w:tabs>
            <w:jc w:val="both"/>
            <w:rPr>
              <w:rFonts w:ascii="Arial" w:hAnsi="Arial" w:cs="Arial"/>
              <w:noProof/>
              <w:color w:val="000000" w:themeColor="text1"/>
              <w:sz w:val="22"/>
              <w:szCs w:val="22"/>
            </w:rPr>
          </w:pPr>
          <w:hyperlink w:anchor="_Toc225513963" w:history="1">
            <w:r w:rsidRPr="00352121">
              <w:rPr>
                <w:rStyle w:val="Hyperlink"/>
                <w:rFonts w:ascii="Arial" w:eastAsia="Times New Roman" w:hAnsi="Arial" w:cs="Arial"/>
                <w:noProof/>
                <w:color w:val="000000" w:themeColor="text1"/>
                <w:kern w:val="0"/>
                <w:sz w:val="22"/>
                <w:szCs w:val="22"/>
                <w:lang w:eastAsia="en-GB"/>
                <w14:ligatures w14:val="none"/>
              </w:rPr>
              <w:t>Control of Dementia</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_Toc225513963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3</w:t>
            </w:r>
            <w:r w:rsidRPr="00352121">
              <w:rPr>
                <w:rFonts w:ascii="Arial" w:hAnsi="Arial" w:cs="Arial"/>
                <w:noProof/>
                <w:webHidden/>
                <w:color w:val="000000" w:themeColor="text1"/>
                <w:sz w:val="22"/>
                <w:szCs w:val="22"/>
              </w:rPr>
              <w:fldChar w:fldCharType="end"/>
            </w:r>
          </w:hyperlink>
        </w:p>
        <w:p w14:paraId="38FF15CD" w14:textId="4AC67F83" w:rsidR="00352121" w:rsidRPr="00352121" w:rsidRDefault="00352121" w:rsidP="00352121">
          <w:pPr>
            <w:pStyle w:val="TOC3"/>
            <w:tabs>
              <w:tab w:val="right" w:leader="dot" w:pos="9016"/>
            </w:tabs>
            <w:jc w:val="both"/>
            <w:rPr>
              <w:rFonts w:ascii="Arial" w:hAnsi="Arial" w:cs="Arial"/>
              <w:noProof/>
              <w:color w:val="000000" w:themeColor="text1"/>
              <w:sz w:val="22"/>
              <w:szCs w:val="22"/>
            </w:rPr>
          </w:pPr>
          <w:hyperlink w:anchor="_Toc225513964" w:history="1">
            <w:r w:rsidRPr="00352121">
              <w:rPr>
                <w:rStyle w:val="Hyperlink"/>
                <w:rFonts w:ascii="Arial" w:eastAsia="Times New Roman" w:hAnsi="Arial" w:cs="Arial"/>
                <w:noProof/>
                <w:color w:val="000000" w:themeColor="text1"/>
                <w:kern w:val="0"/>
                <w:sz w:val="22"/>
                <w:szCs w:val="22"/>
                <w:lang w:eastAsia="en-GB"/>
                <w14:ligatures w14:val="none"/>
              </w:rPr>
              <w:t>Consequences of Dementia on Individuals and Communities</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_Toc225513964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4</w:t>
            </w:r>
            <w:r w:rsidRPr="00352121">
              <w:rPr>
                <w:rFonts w:ascii="Arial" w:hAnsi="Arial" w:cs="Arial"/>
                <w:noProof/>
                <w:webHidden/>
                <w:color w:val="000000" w:themeColor="text1"/>
                <w:sz w:val="22"/>
                <w:szCs w:val="22"/>
              </w:rPr>
              <w:fldChar w:fldCharType="end"/>
            </w:r>
          </w:hyperlink>
        </w:p>
        <w:p w14:paraId="2CF4370F" w14:textId="488F8D3D" w:rsidR="00352121" w:rsidRPr="00352121" w:rsidRDefault="00352121" w:rsidP="00352121">
          <w:pPr>
            <w:pStyle w:val="TOC3"/>
            <w:tabs>
              <w:tab w:val="right" w:leader="dot" w:pos="9016"/>
            </w:tabs>
            <w:jc w:val="both"/>
            <w:rPr>
              <w:rFonts w:ascii="Arial" w:hAnsi="Arial" w:cs="Arial"/>
              <w:noProof/>
              <w:color w:val="000000" w:themeColor="text1"/>
              <w:sz w:val="22"/>
              <w:szCs w:val="22"/>
            </w:rPr>
          </w:pPr>
          <w:hyperlink w:anchor="_Toc225513965" w:history="1">
            <w:r w:rsidRPr="00352121">
              <w:rPr>
                <w:rStyle w:val="Hyperlink"/>
                <w:rFonts w:ascii="Arial" w:eastAsia="Times New Roman" w:hAnsi="Arial" w:cs="Arial"/>
                <w:noProof/>
                <w:color w:val="000000" w:themeColor="text1"/>
                <w:kern w:val="0"/>
                <w:sz w:val="22"/>
                <w:szCs w:val="22"/>
                <w:lang w:eastAsia="en-GB"/>
                <w14:ligatures w14:val="none"/>
              </w:rPr>
              <w:t>Health and Social Care Support Services</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_Toc225513965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5</w:t>
            </w:r>
            <w:r w:rsidRPr="00352121">
              <w:rPr>
                <w:rFonts w:ascii="Arial" w:hAnsi="Arial" w:cs="Arial"/>
                <w:noProof/>
                <w:webHidden/>
                <w:color w:val="000000" w:themeColor="text1"/>
                <w:sz w:val="22"/>
                <w:szCs w:val="22"/>
              </w:rPr>
              <w:fldChar w:fldCharType="end"/>
            </w:r>
          </w:hyperlink>
        </w:p>
        <w:p w14:paraId="2FF10F45" w14:textId="5E083B99" w:rsidR="00352121" w:rsidRPr="00352121" w:rsidRDefault="00352121">
          <w:pPr>
            <w:pStyle w:val="TOC2"/>
            <w:tabs>
              <w:tab w:val="right" w:leader="dot" w:pos="9016"/>
            </w:tabs>
            <w:rPr>
              <w:rFonts w:ascii="Arial" w:hAnsi="Arial" w:cs="Arial"/>
              <w:noProof/>
              <w:color w:val="000000" w:themeColor="text1"/>
              <w:sz w:val="22"/>
              <w:szCs w:val="22"/>
            </w:rPr>
          </w:pPr>
          <w:hyperlink w:anchor="_Toc225513966" w:history="1">
            <w:r w:rsidRPr="00352121">
              <w:rPr>
                <w:rStyle w:val="Hyperlink"/>
                <w:rFonts w:ascii="Arial" w:eastAsia="Times New Roman" w:hAnsi="Arial" w:cs="Arial"/>
                <w:noProof/>
                <w:color w:val="000000" w:themeColor="text1"/>
                <w:kern w:val="0"/>
                <w:sz w:val="22"/>
                <w:szCs w:val="22"/>
                <w:lang w:eastAsia="en-GB"/>
                <w14:ligatures w14:val="none"/>
              </w:rPr>
              <w:t>Conclusion</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_Toc225513966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5</w:t>
            </w:r>
            <w:r w:rsidRPr="00352121">
              <w:rPr>
                <w:rFonts w:ascii="Arial" w:hAnsi="Arial" w:cs="Arial"/>
                <w:noProof/>
                <w:webHidden/>
                <w:color w:val="000000" w:themeColor="text1"/>
                <w:sz w:val="22"/>
                <w:szCs w:val="22"/>
              </w:rPr>
              <w:fldChar w:fldCharType="end"/>
            </w:r>
          </w:hyperlink>
        </w:p>
        <w:p w14:paraId="4DE39538" w14:textId="3851A95E" w:rsidR="00352121" w:rsidRPr="00352121" w:rsidRDefault="00352121">
          <w:pPr>
            <w:pStyle w:val="TOC2"/>
            <w:tabs>
              <w:tab w:val="right" w:leader="dot" w:pos="9016"/>
            </w:tabs>
            <w:rPr>
              <w:rFonts w:ascii="Arial" w:hAnsi="Arial" w:cs="Arial"/>
              <w:noProof/>
              <w:color w:val="000000" w:themeColor="text1"/>
              <w:sz w:val="22"/>
              <w:szCs w:val="22"/>
            </w:rPr>
          </w:pPr>
          <w:hyperlink w:anchor="_Toc225513967" w:history="1">
            <w:r w:rsidRPr="00352121">
              <w:rPr>
                <w:rStyle w:val="Hyperlink"/>
                <w:rFonts w:ascii="Arial" w:eastAsia="Times New Roman" w:hAnsi="Arial" w:cs="Arial"/>
                <w:noProof/>
                <w:color w:val="000000" w:themeColor="text1"/>
                <w:kern w:val="0"/>
                <w:sz w:val="22"/>
                <w:szCs w:val="22"/>
                <w:lang w:eastAsia="en-GB"/>
                <w14:ligatures w14:val="none"/>
              </w:rPr>
              <w:t>References</w:t>
            </w:r>
            <w:r w:rsidRPr="00352121">
              <w:rPr>
                <w:rFonts w:ascii="Arial" w:hAnsi="Arial" w:cs="Arial"/>
                <w:noProof/>
                <w:webHidden/>
                <w:color w:val="000000" w:themeColor="text1"/>
                <w:sz w:val="22"/>
                <w:szCs w:val="22"/>
              </w:rPr>
              <w:tab/>
            </w:r>
            <w:r w:rsidRPr="00352121">
              <w:rPr>
                <w:rFonts w:ascii="Arial" w:hAnsi="Arial" w:cs="Arial"/>
                <w:noProof/>
                <w:webHidden/>
                <w:color w:val="000000" w:themeColor="text1"/>
                <w:sz w:val="22"/>
                <w:szCs w:val="22"/>
              </w:rPr>
              <w:fldChar w:fldCharType="begin"/>
            </w:r>
            <w:r w:rsidRPr="00352121">
              <w:rPr>
                <w:rFonts w:ascii="Arial" w:hAnsi="Arial" w:cs="Arial"/>
                <w:noProof/>
                <w:webHidden/>
                <w:color w:val="000000" w:themeColor="text1"/>
                <w:sz w:val="22"/>
                <w:szCs w:val="22"/>
              </w:rPr>
              <w:instrText xml:space="preserve"> PAGEREF _Toc225513967 \h </w:instrText>
            </w:r>
            <w:r w:rsidRPr="00352121">
              <w:rPr>
                <w:rFonts w:ascii="Arial" w:hAnsi="Arial" w:cs="Arial"/>
                <w:noProof/>
                <w:webHidden/>
                <w:color w:val="000000" w:themeColor="text1"/>
                <w:sz w:val="22"/>
                <w:szCs w:val="22"/>
              </w:rPr>
            </w:r>
            <w:r w:rsidRPr="00352121">
              <w:rPr>
                <w:rFonts w:ascii="Arial" w:hAnsi="Arial" w:cs="Arial"/>
                <w:noProof/>
                <w:webHidden/>
                <w:color w:val="000000" w:themeColor="text1"/>
                <w:sz w:val="22"/>
                <w:szCs w:val="22"/>
              </w:rPr>
              <w:fldChar w:fldCharType="separate"/>
            </w:r>
            <w:r w:rsidRPr="00352121">
              <w:rPr>
                <w:rFonts w:ascii="Arial" w:hAnsi="Arial" w:cs="Arial"/>
                <w:noProof/>
                <w:webHidden/>
                <w:color w:val="000000" w:themeColor="text1"/>
                <w:sz w:val="22"/>
                <w:szCs w:val="22"/>
              </w:rPr>
              <w:t>5</w:t>
            </w:r>
            <w:r w:rsidRPr="00352121">
              <w:rPr>
                <w:rFonts w:ascii="Arial" w:hAnsi="Arial" w:cs="Arial"/>
                <w:noProof/>
                <w:webHidden/>
                <w:color w:val="000000" w:themeColor="text1"/>
                <w:sz w:val="22"/>
                <w:szCs w:val="22"/>
              </w:rPr>
              <w:fldChar w:fldCharType="end"/>
            </w:r>
          </w:hyperlink>
        </w:p>
        <w:p w14:paraId="361062E5" w14:textId="2FDB4268" w:rsidR="00352121" w:rsidRDefault="00352121">
          <w:r w:rsidRPr="00352121">
            <w:rPr>
              <w:rFonts w:ascii="Arial" w:hAnsi="Arial" w:cs="Arial"/>
              <w:color w:val="000000" w:themeColor="text1"/>
              <w:sz w:val="22"/>
              <w:szCs w:val="22"/>
            </w:rPr>
            <w:fldChar w:fldCharType="end"/>
          </w:r>
        </w:p>
      </w:sdtContent>
    </w:sdt>
    <w:p w14:paraId="7C3D73B3" w14:textId="259983A3" w:rsidR="00165580" w:rsidRDefault="00165580"/>
    <w:p w14:paraId="1902BB63" w14:textId="77777777" w:rsidR="00165580" w:rsidRDefault="00165580"/>
    <w:p w14:paraId="394BDA55" w14:textId="77777777" w:rsidR="00165580" w:rsidRDefault="00165580"/>
    <w:p w14:paraId="60BF7D75" w14:textId="77777777" w:rsidR="00165580" w:rsidRDefault="00165580"/>
    <w:p w14:paraId="10AADCA2" w14:textId="77777777" w:rsidR="00165580" w:rsidRDefault="00165580"/>
    <w:p w14:paraId="56FFAA9B" w14:textId="77777777" w:rsidR="00165580" w:rsidRDefault="00165580"/>
    <w:p w14:paraId="362AEF93" w14:textId="77777777" w:rsidR="00165580" w:rsidRDefault="00165580"/>
    <w:p w14:paraId="2D92F43E" w14:textId="77777777" w:rsidR="00165580" w:rsidRDefault="00165580"/>
    <w:p w14:paraId="0BEFA163" w14:textId="77777777" w:rsidR="00165580" w:rsidRDefault="00165580"/>
    <w:p w14:paraId="71ADB7C6" w14:textId="77777777" w:rsidR="00165580" w:rsidRDefault="00165580"/>
    <w:p w14:paraId="56C5CC9E" w14:textId="77777777" w:rsidR="00165580" w:rsidRDefault="00165580"/>
    <w:p w14:paraId="3F48989A" w14:textId="77777777" w:rsidR="00165580" w:rsidRDefault="00165580"/>
    <w:p w14:paraId="7B447135" w14:textId="77777777" w:rsidR="00165580" w:rsidRDefault="00165580"/>
    <w:p w14:paraId="2BF76845" w14:textId="77777777" w:rsidR="00165580" w:rsidRDefault="00165580"/>
    <w:p w14:paraId="27CA9935" w14:textId="77777777" w:rsidR="00165580" w:rsidRDefault="00165580"/>
    <w:p w14:paraId="7BF3167D" w14:textId="77777777" w:rsidR="00165580" w:rsidRDefault="00165580"/>
    <w:p w14:paraId="0952B9BA" w14:textId="77777777" w:rsidR="00165580" w:rsidRPr="00165580" w:rsidRDefault="00165580" w:rsidP="00165580">
      <w:pPr>
        <w:spacing w:before="100" w:beforeAutospacing="1" w:after="100" w:afterAutospacing="1" w:line="240" w:lineRule="auto"/>
        <w:outlineLvl w:val="0"/>
        <w:rPr>
          <w:rFonts w:ascii="Arial" w:eastAsia="Times New Roman" w:hAnsi="Arial" w:cs="Arial"/>
          <w:b/>
          <w:bCs/>
          <w:kern w:val="36"/>
          <w:sz w:val="22"/>
          <w:szCs w:val="22"/>
          <w:lang w:eastAsia="en-GB"/>
          <w14:ligatures w14:val="none"/>
        </w:rPr>
      </w:pPr>
      <w:bookmarkStart w:id="0" w:name="_Toc225513960"/>
      <w:r w:rsidRPr="00165580">
        <w:rPr>
          <w:rFonts w:ascii="Arial" w:eastAsia="Times New Roman" w:hAnsi="Arial" w:cs="Arial"/>
          <w:b/>
          <w:bCs/>
          <w:kern w:val="36"/>
          <w:sz w:val="22"/>
          <w:szCs w:val="22"/>
          <w:lang w:eastAsia="en-GB"/>
          <w14:ligatures w14:val="none"/>
        </w:rPr>
        <w:lastRenderedPageBreak/>
        <w:t>Dementia: Measuring, Monitoring, and Managing Its Impact on Communities</w:t>
      </w:r>
      <w:bookmarkEnd w:id="0"/>
    </w:p>
    <w:p w14:paraId="45ABD588" w14:textId="0C91FF6B" w:rsidR="00165580" w:rsidRPr="00165580" w:rsidRDefault="00165580"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1" w:name="_Toc225513961"/>
      <w:r w:rsidRPr="00165580">
        <w:rPr>
          <w:rFonts w:ascii="Arial" w:eastAsia="Times New Roman" w:hAnsi="Arial" w:cs="Arial"/>
          <w:b/>
          <w:bCs/>
          <w:kern w:val="0"/>
          <w:sz w:val="22"/>
          <w:szCs w:val="22"/>
          <w:lang w:eastAsia="en-GB"/>
          <w14:ligatures w14:val="none"/>
        </w:rPr>
        <w:t>Introduction</w:t>
      </w:r>
      <w:bookmarkEnd w:id="1"/>
      <w:r w:rsidRPr="00165580">
        <w:rPr>
          <w:rFonts w:ascii="Arial" w:eastAsia="Times New Roman" w:hAnsi="Arial" w:cs="Arial"/>
          <w:b/>
          <w:bCs/>
          <w:kern w:val="0"/>
          <w:sz w:val="22"/>
          <w:szCs w:val="22"/>
          <w:lang w:eastAsia="en-GB"/>
          <w14:ligatures w14:val="none"/>
        </w:rPr>
        <w:t xml:space="preserve"> </w:t>
      </w:r>
    </w:p>
    <w:p w14:paraId="6C2BAEC0" w14:textId="0678D3F8"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Dementia is not a single </w:t>
      </w:r>
      <w:r w:rsidR="00352121" w:rsidRPr="00165580">
        <w:rPr>
          <w:rFonts w:ascii="Arial" w:eastAsia="Times New Roman" w:hAnsi="Arial" w:cs="Arial"/>
          <w:kern w:val="0"/>
          <w:sz w:val="22"/>
          <w:szCs w:val="22"/>
          <w:lang w:eastAsia="en-GB"/>
          <w14:ligatures w14:val="none"/>
        </w:rPr>
        <w:t>disease,</w:t>
      </w:r>
      <w:r w:rsidRPr="00165580">
        <w:rPr>
          <w:rFonts w:ascii="Arial" w:eastAsia="Times New Roman" w:hAnsi="Arial" w:cs="Arial"/>
          <w:kern w:val="0"/>
          <w:sz w:val="22"/>
          <w:szCs w:val="22"/>
          <w:lang w:eastAsia="en-GB"/>
          <w14:ligatures w14:val="none"/>
        </w:rPr>
        <w:t xml:space="preserve"> but a term used to describe a group of symptoms affecting </w:t>
      </w:r>
      <w:r w:rsidR="00352121">
        <w:rPr>
          <w:rFonts w:ascii="Arial" w:eastAsia="Times New Roman" w:hAnsi="Arial" w:cs="Arial"/>
          <w:kern w:val="0"/>
          <w:sz w:val="22"/>
          <w:szCs w:val="22"/>
          <w:lang w:eastAsia="en-GB"/>
          <w14:ligatures w14:val="none"/>
        </w:rPr>
        <w:t xml:space="preserve">a person’s </w:t>
      </w:r>
      <w:r w:rsidRPr="00165580">
        <w:rPr>
          <w:rFonts w:ascii="Arial" w:eastAsia="Times New Roman" w:hAnsi="Arial" w:cs="Arial"/>
          <w:kern w:val="0"/>
          <w:sz w:val="22"/>
          <w:szCs w:val="22"/>
          <w:lang w:eastAsia="en-GB"/>
          <w14:ligatures w14:val="none"/>
        </w:rPr>
        <w:t xml:space="preserve">memory, thinking, behaviour, and the ability to carry out </w:t>
      </w:r>
      <w:r w:rsidR="00352121">
        <w:rPr>
          <w:rFonts w:ascii="Arial" w:eastAsia="Times New Roman" w:hAnsi="Arial" w:cs="Arial"/>
          <w:kern w:val="0"/>
          <w:sz w:val="22"/>
          <w:szCs w:val="22"/>
          <w:lang w:eastAsia="en-GB"/>
          <w14:ligatures w14:val="none"/>
        </w:rPr>
        <w:t xml:space="preserve">their </w:t>
      </w:r>
      <w:r w:rsidRPr="00165580">
        <w:rPr>
          <w:rFonts w:ascii="Arial" w:eastAsia="Times New Roman" w:hAnsi="Arial" w:cs="Arial"/>
          <w:kern w:val="0"/>
          <w:sz w:val="22"/>
          <w:szCs w:val="22"/>
          <w:lang w:eastAsia="en-GB"/>
          <w14:ligatures w14:val="none"/>
        </w:rPr>
        <w:t>everyday activities. The most common form is Alzheimer’s disease, followed by vascular dementia (World Health Organization, 2023; Alzheimer’s Society, 2024). Although it mainly affects older adults, it is not a normal part of ageing.</w:t>
      </w:r>
    </w:p>
    <w:p w14:paraId="62DBEE9D" w14:textId="3B5891BB"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Common symptoms</w:t>
      </w:r>
      <w:r w:rsidR="00352121">
        <w:rPr>
          <w:rFonts w:ascii="Arial" w:eastAsia="Times New Roman" w:hAnsi="Arial" w:cs="Arial"/>
          <w:kern w:val="0"/>
          <w:sz w:val="22"/>
          <w:szCs w:val="22"/>
          <w:lang w:eastAsia="en-GB"/>
          <w14:ligatures w14:val="none"/>
        </w:rPr>
        <w:t xml:space="preserve"> of dementia</w:t>
      </w:r>
      <w:r w:rsidRPr="00165580">
        <w:rPr>
          <w:rFonts w:ascii="Arial" w:eastAsia="Times New Roman" w:hAnsi="Arial" w:cs="Arial"/>
          <w:kern w:val="0"/>
          <w:sz w:val="22"/>
          <w:szCs w:val="22"/>
          <w:lang w:eastAsia="en-GB"/>
          <w14:ligatures w14:val="none"/>
        </w:rPr>
        <w:t xml:space="preserve"> include memory loss, confusion, difficulty communicating, mood changes, and impaired judgement (NHS, 2023). As dementia progresses, individuals often become increasingly dependent on others for care and support.</w:t>
      </w:r>
    </w:p>
    <w:p w14:paraId="2A5DE869"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Globally, around 55 million people are living with dementia, with nearly 10 million new cases each year (World Health Organization, 2023). In the UK, approximately 900,000 people are affected, and this is projected to rise significantly due to an ageing population (Alzheimer’s Society, 2024; Prince et al., 2016). These statistics highlight the seriousness of dementia as a growing public health issue.</w:t>
      </w:r>
    </w:p>
    <w:p w14:paraId="6FA9C2C8" w14:textId="1BEDCB03"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1842BD80" w14:textId="77777777" w:rsidR="00165580" w:rsidRPr="00165580" w:rsidRDefault="00165580" w:rsidP="00165580">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2" w:name="_Toc225513962"/>
      <w:r w:rsidRPr="00165580">
        <w:rPr>
          <w:rFonts w:ascii="Arial" w:eastAsia="Times New Roman" w:hAnsi="Arial" w:cs="Arial"/>
          <w:b/>
          <w:bCs/>
          <w:kern w:val="0"/>
          <w:sz w:val="22"/>
          <w:szCs w:val="22"/>
          <w:lang w:eastAsia="en-GB"/>
          <w14:ligatures w14:val="none"/>
        </w:rPr>
        <w:t>Approaches to Measuring and Monitoring Dementia</w:t>
      </w:r>
      <w:bookmarkEnd w:id="2"/>
    </w:p>
    <w:p w14:paraId="536C97CA"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Measuring dementia is essential for understanding its impact and planning appropriate services. One of the main approaches is epidemiological research, which looks at patterns, causes, and effects of the disease in populations. This includes measuring incidence and prevalence, helping identify trends and risk factors (Prince et al., 2016; Livingston et al., 2020).</w:t>
      </w:r>
    </w:p>
    <w:p w14:paraId="0807F462"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In the UK, national data systems such as NHS records and dementia registries are used to monitor diagnosis rates and disease progression. These systems allow healthcare providers to track regional differences and improve service planning (NHS Digital, 2023; Public Health England, 2020).</w:t>
      </w:r>
    </w:p>
    <w:p w14:paraId="3436F878"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Screening tools also play an important role in monitoring dementia. Assessments such as the Mini-Mental State Examination (MMSE) and Montreal Cognitive Assessment (MoCA) are commonly used to evaluate cognitive function and detect early signs of impairment (</w:t>
      </w:r>
      <w:proofErr w:type="spellStart"/>
      <w:r w:rsidRPr="00165580">
        <w:rPr>
          <w:rFonts w:ascii="Arial" w:eastAsia="Times New Roman" w:hAnsi="Arial" w:cs="Arial"/>
          <w:kern w:val="0"/>
          <w:sz w:val="22"/>
          <w:szCs w:val="22"/>
          <w:lang w:eastAsia="en-GB"/>
          <w14:ligatures w14:val="none"/>
        </w:rPr>
        <w:t>Folstein</w:t>
      </w:r>
      <w:proofErr w:type="spellEnd"/>
      <w:r w:rsidRPr="00165580">
        <w:rPr>
          <w:rFonts w:ascii="Arial" w:eastAsia="Times New Roman" w:hAnsi="Arial" w:cs="Arial"/>
          <w:kern w:val="0"/>
          <w:sz w:val="22"/>
          <w:szCs w:val="22"/>
          <w:lang w:eastAsia="en-GB"/>
          <w14:ligatures w14:val="none"/>
        </w:rPr>
        <w:t xml:space="preserve"> et al., 1975; Nasreddine et al., 2005). While these tools are useful, they are often combined with clinical judgement to ensure accurate diagnosis.</w:t>
      </w:r>
    </w:p>
    <w:p w14:paraId="218C36E6" w14:textId="1D61BEE0"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Longitudinal studies provide further insight by following individuals over time. These studies help researchers understand how dementia develops and identify contributing factors such as lifestyle, genetics, and environmental influences (Livingston et al., 2020; World Health Organization, 2023).</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Additionally, public health surveillance systems collect data through surveys and national reports. This helps highlight inequalities in diagnosis and care, ensuring that vulnerable groups are not overlooked (Public Health England, 2020).</w:t>
      </w:r>
    </w:p>
    <w:p w14:paraId="1B22E774" w14:textId="471A0100"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0F179BCF" w14:textId="77777777" w:rsidR="00352121" w:rsidRDefault="00352121" w:rsidP="0035212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3" w:name="_Toc225513963"/>
    </w:p>
    <w:p w14:paraId="663C852E" w14:textId="3ACE1565" w:rsidR="00352121" w:rsidRDefault="00165580" w:rsidP="00352121">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r w:rsidRPr="00165580">
        <w:rPr>
          <w:rFonts w:ascii="Arial" w:eastAsia="Times New Roman" w:hAnsi="Arial" w:cs="Arial"/>
          <w:b/>
          <w:bCs/>
          <w:kern w:val="0"/>
          <w:sz w:val="22"/>
          <w:szCs w:val="22"/>
          <w:lang w:eastAsia="en-GB"/>
          <w14:ligatures w14:val="none"/>
        </w:rPr>
        <w:t>Control of Dementia</w:t>
      </w:r>
      <w:bookmarkEnd w:id="3"/>
      <w:r w:rsidR="00352121">
        <w:rPr>
          <w:rFonts w:ascii="Arial" w:eastAsia="Times New Roman" w:hAnsi="Arial" w:cs="Arial"/>
          <w:b/>
          <w:bCs/>
          <w:kern w:val="0"/>
          <w:sz w:val="22"/>
          <w:szCs w:val="22"/>
          <w:lang w:eastAsia="en-GB"/>
          <w14:ligatures w14:val="none"/>
        </w:rPr>
        <w:t xml:space="preserve"> </w:t>
      </w:r>
    </w:p>
    <w:p w14:paraId="69905D26" w14:textId="77777777" w:rsidR="00807C3E" w:rsidRDefault="00165580" w:rsidP="00844DEF">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lastRenderedPageBreak/>
        <w:t>Although dementia cannot be cured, various strategies are used to control its development and impact. Prevention and risk reduction are particularly important. Research suggests that up to 40% of dementia cases could be prevented by addressing modifiable risk factors such as smoking, poor diet, lack of exercise, and social isolation (Livingston et al., 2020; World Health Organization, 2019).</w:t>
      </w:r>
    </w:p>
    <w:p w14:paraId="2EB2360B" w14:textId="2E64BC16" w:rsidR="00165580" w:rsidRPr="00165580" w:rsidRDefault="00165580" w:rsidP="00844DEF">
      <w:pPr>
        <w:spacing w:before="100" w:beforeAutospacing="1" w:after="100" w:afterAutospacing="1" w:line="240" w:lineRule="auto"/>
        <w:outlineLvl w:val="2"/>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Early diagnosis is another key strategy. Identifying dementia at an early stage allows individuals to access treatment, </w:t>
      </w:r>
      <w:proofErr w:type="gramStart"/>
      <w:r w:rsidRPr="00165580">
        <w:rPr>
          <w:rFonts w:ascii="Arial" w:eastAsia="Times New Roman" w:hAnsi="Arial" w:cs="Arial"/>
          <w:kern w:val="0"/>
          <w:sz w:val="22"/>
          <w:szCs w:val="22"/>
          <w:lang w:eastAsia="en-GB"/>
          <w14:ligatures w14:val="none"/>
        </w:rPr>
        <w:t>plan for the future</w:t>
      </w:r>
      <w:proofErr w:type="gramEnd"/>
      <w:r w:rsidRPr="00165580">
        <w:rPr>
          <w:rFonts w:ascii="Arial" w:eastAsia="Times New Roman" w:hAnsi="Arial" w:cs="Arial"/>
          <w:kern w:val="0"/>
          <w:sz w:val="22"/>
          <w:szCs w:val="22"/>
          <w:lang w:eastAsia="en-GB"/>
          <w14:ligatures w14:val="none"/>
        </w:rPr>
        <w:t>, and receive appropriate support (NICE, 2022). In my view, early diagnosis can make a significant difference in maintaining independence for longer.</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Medication is often used to manage symptoms. Drugs such as cholinesterase inhibitors can help improve memory and cognitive function in some individuals (NICE, 2022; NHS, 2023). However, these treatments do not stop the progression of the disease, which highlights the importance of non-medical interventions.</w:t>
      </w:r>
    </w:p>
    <w:p w14:paraId="199FE8BD" w14:textId="61379E1A"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Non-pharmacological approaches, such as cognitive stimulation therapy, social engagement, and structured routines, are also effective in supporting individuals (Spector et al., 2003). These approaches can improve quality of life and reduce behavioural symptoms.</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Government policies and public health initiatives also play a role in controlling dementia. National strategies aim to improve awareness, reduce stigma, and ensure better access to care services (Department of Health and Social Care, 2023; Public Health England, 2020).</w:t>
      </w:r>
    </w:p>
    <w:p w14:paraId="26B061D8" w14:textId="4330EDA7"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57A6645F" w14:textId="77777777" w:rsidR="00165580" w:rsidRPr="00165580" w:rsidRDefault="00165580" w:rsidP="00165580">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4" w:name="_Toc225513964"/>
      <w:r w:rsidRPr="00165580">
        <w:rPr>
          <w:rFonts w:ascii="Arial" w:eastAsia="Times New Roman" w:hAnsi="Arial" w:cs="Arial"/>
          <w:b/>
          <w:bCs/>
          <w:kern w:val="0"/>
          <w:sz w:val="22"/>
          <w:szCs w:val="22"/>
          <w:lang w:eastAsia="en-GB"/>
          <w14:ligatures w14:val="none"/>
        </w:rPr>
        <w:t>Consequences of Dementia on Individuals and Communities</w:t>
      </w:r>
      <w:bookmarkEnd w:id="4"/>
    </w:p>
    <w:p w14:paraId="42E97F9D" w14:textId="30C505DC"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Dementia has a profound impact on individuals, affecting both physical and mental well-being. As the condition progresses, people often lose their independence and ability to perform everyday tasks, which can lead to frustration and distress (Alzheimer’s Society, 2024; NHS, 2023).</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The emotional impact is also significant. Many individuals experience anxiety, depression, and confusion as they become aware of their cognitive decline (Livingston et al., 2020). This can affect their overall quality of life.</w:t>
      </w:r>
    </w:p>
    <w:p w14:paraId="07CEBBCE" w14:textId="3EDEC7D3"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Families and carers are also deeply affected. Providing care can be physically demanding and emotionally challenging, often leading to stress and burnout (</w:t>
      </w:r>
      <w:proofErr w:type="spellStart"/>
      <w:r w:rsidRPr="00165580">
        <w:rPr>
          <w:rFonts w:ascii="Arial" w:eastAsia="Times New Roman" w:hAnsi="Arial" w:cs="Arial"/>
          <w:kern w:val="0"/>
          <w:sz w:val="22"/>
          <w:szCs w:val="22"/>
          <w:lang w:eastAsia="en-GB"/>
          <w14:ligatures w14:val="none"/>
        </w:rPr>
        <w:t>Brodaty</w:t>
      </w:r>
      <w:proofErr w:type="spellEnd"/>
      <w:r w:rsidRPr="00165580">
        <w:rPr>
          <w:rFonts w:ascii="Arial" w:eastAsia="Times New Roman" w:hAnsi="Arial" w:cs="Arial"/>
          <w:kern w:val="0"/>
          <w:sz w:val="22"/>
          <w:szCs w:val="22"/>
          <w:lang w:eastAsia="en-GB"/>
          <w14:ligatures w14:val="none"/>
        </w:rPr>
        <w:t xml:space="preserve"> and Donkin, 2009). In many cases, carers may have to reduce working hours, which can create financial </w:t>
      </w:r>
      <w:r w:rsidR="00352121" w:rsidRPr="00165580">
        <w:rPr>
          <w:rFonts w:ascii="Arial" w:eastAsia="Times New Roman" w:hAnsi="Arial" w:cs="Arial"/>
          <w:kern w:val="0"/>
          <w:sz w:val="22"/>
          <w:szCs w:val="22"/>
          <w:lang w:eastAsia="en-GB"/>
          <w14:ligatures w14:val="none"/>
        </w:rPr>
        <w:t>difficulties. Social</w:t>
      </w:r>
      <w:r w:rsidRPr="00165580">
        <w:rPr>
          <w:rFonts w:ascii="Arial" w:eastAsia="Times New Roman" w:hAnsi="Arial" w:cs="Arial"/>
          <w:kern w:val="0"/>
          <w:sz w:val="22"/>
          <w:szCs w:val="22"/>
          <w:lang w:eastAsia="en-GB"/>
          <w14:ligatures w14:val="none"/>
        </w:rPr>
        <w:t xml:space="preserve"> isolation is another major issue. People with dementia may withdraw from social activities due to communication difficulties or fear of stigma (World Health Organization, 2019). This isolation can worsen both mental and physical health.</w:t>
      </w:r>
    </w:p>
    <w:p w14:paraId="381E0A0E" w14:textId="1BDD29F4"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From an economic perspective, dementia places a significant burden on healthcare systems. The cost of care, including medical treatment, social services, and informal care, is substantial (Alzheimer’s Society, 2024; Wimo et al., 2017).</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At a community level, increasing dementia rates place pressure on health and social care services. This includes greater demand for care homes, home care services, and specialist support (Department of Health and Social Care, 2023).</w:t>
      </w:r>
    </w:p>
    <w:p w14:paraId="73748543" w14:textId="7B85483B"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582954CC" w14:textId="77777777" w:rsidR="00165580" w:rsidRPr="00165580" w:rsidRDefault="00165580" w:rsidP="00165580">
      <w:pPr>
        <w:spacing w:before="100" w:beforeAutospacing="1" w:after="100" w:afterAutospacing="1" w:line="240" w:lineRule="auto"/>
        <w:outlineLvl w:val="2"/>
        <w:rPr>
          <w:rFonts w:ascii="Arial" w:eastAsia="Times New Roman" w:hAnsi="Arial" w:cs="Arial"/>
          <w:b/>
          <w:bCs/>
          <w:kern w:val="0"/>
          <w:sz w:val="22"/>
          <w:szCs w:val="22"/>
          <w:lang w:eastAsia="en-GB"/>
          <w14:ligatures w14:val="none"/>
        </w:rPr>
      </w:pPr>
      <w:bookmarkStart w:id="5" w:name="_Toc225513965"/>
      <w:r w:rsidRPr="00165580">
        <w:rPr>
          <w:rFonts w:ascii="Arial" w:eastAsia="Times New Roman" w:hAnsi="Arial" w:cs="Arial"/>
          <w:b/>
          <w:bCs/>
          <w:kern w:val="0"/>
          <w:sz w:val="22"/>
          <w:szCs w:val="22"/>
          <w:lang w:eastAsia="en-GB"/>
          <w14:ligatures w14:val="none"/>
        </w:rPr>
        <w:t>Health and Social Care Support Services</w:t>
      </w:r>
      <w:bookmarkEnd w:id="5"/>
    </w:p>
    <w:p w14:paraId="55D9B1B8" w14:textId="34850B52"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Supporting individuals with dementia requires a coordinated approach across health and social care services. Primary care services, particularly GPs, are often the first point of contact and play a key role in diagnosis and ongoing management (NHS, 2023).</w:t>
      </w:r>
      <w:r w:rsidR="00352121">
        <w:rPr>
          <w:rFonts w:ascii="Arial" w:eastAsia="Times New Roman" w:hAnsi="Arial" w:cs="Arial"/>
          <w:kern w:val="0"/>
          <w:sz w:val="22"/>
          <w:szCs w:val="22"/>
          <w:lang w:eastAsia="en-GB"/>
          <w14:ligatures w14:val="none"/>
        </w:rPr>
        <w:t xml:space="preserve"> </w:t>
      </w:r>
      <w:proofErr w:type="gramStart"/>
      <w:r w:rsidRPr="00165580">
        <w:rPr>
          <w:rFonts w:ascii="Arial" w:eastAsia="Times New Roman" w:hAnsi="Arial" w:cs="Arial"/>
          <w:kern w:val="0"/>
          <w:sz w:val="22"/>
          <w:szCs w:val="22"/>
          <w:lang w:eastAsia="en-GB"/>
          <w14:ligatures w14:val="none"/>
        </w:rPr>
        <w:t>Specialist</w:t>
      </w:r>
      <w:proofErr w:type="gramEnd"/>
      <w:r w:rsidRPr="00165580">
        <w:rPr>
          <w:rFonts w:ascii="Arial" w:eastAsia="Times New Roman" w:hAnsi="Arial" w:cs="Arial"/>
          <w:kern w:val="0"/>
          <w:sz w:val="22"/>
          <w:szCs w:val="22"/>
          <w:lang w:eastAsia="en-GB"/>
          <w14:ligatures w14:val="none"/>
        </w:rPr>
        <w:t xml:space="preserve"> services, such as memory clinics, provide detailed assessments and tailored care plans. </w:t>
      </w:r>
      <w:r w:rsidRPr="00165580">
        <w:rPr>
          <w:rFonts w:ascii="Arial" w:eastAsia="Times New Roman" w:hAnsi="Arial" w:cs="Arial"/>
          <w:kern w:val="0"/>
          <w:sz w:val="22"/>
          <w:szCs w:val="22"/>
          <w:lang w:eastAsia="en-GB"/>
          <w14:ligatures w14:val="none"/>
        </w:rPr>
        <w:lastRenderedPageBreak/>
        <w:t>These services are essential for ensuring accurate diagnosis and appropriate treatment (NICE, 2022).</w:t>
      </w:r>
    </w:p>
    <w:p w14:paraId="2B8D912C" w14:textId="33BEA9CE"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Community care services enable individuals to remain in their homes while receiving support with daily activities. This includes home care workers, community nurses, and support staff (Department of Health and Social Care, 2023).</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For individuals with advanced dementia, residential and nursing care may be necessary. These services provide 24-hour care and ensure safety, although they can be costly and emotionally challenging for families.</w:t>
      </w:r>
    </w:p>
    <w:p w14:paraId="388F9DD3" w14:textId="7286614E"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Mental health support is also important. Counselling and therapy can help individuals cope with the emotional impact of dementia (Livingston et al., 2020</w:t>
      </w:r>
      <w:r w:rsidR="00352121" w:rsidRPr="00165580">
        <w:rPr>
          <w:rFonts w:ascii="Arial" w:eastAsia="Times New Roman" w:hAnsi="Arial" w:cs="Arial"/>
          <w:kern w:val="0"/>
          <w:sz w:val="22"/>
          <w:szCs w:val="22"/>
          <w:lang w:eastAsia="en-GB"/>
          <w14:ligatures w14:val="none"/>
        </w:rPr>
        <w:t>). Carer</w:t>
      </w:r>
      <w:r w:rsidRPr="00165580">
        <w:rPr>
          <w:rFonts w:ascii="Arial" w:eastAsia="Times New Roman" w:hAnsi="Arial" w:cs="Arial"/>
          <w:kern w:val="0"/>
          <w:sz w:val="22"/>
          <w:szCs w:val="22"/>
          <w:lang w:eastAsia="en-GB"/>
          <w14:ligatures w14:val="none"/>
        </w:rPr>
        <w:t xml:space="preserve"> support services, such as respite care and support groups, are essential in reducing stress and preventing burnout (</w:t>
      </w:r>
      <w:proofErr w:type="spellStart"/>
      <w:r w:rsidRPr="00165580">
        <w:rPr>
          <w:rFonts w:ascii="Arial" w:eastAsia="Times New Roman" w:hAnsi="Arial" w:cs="Arial"/>
          <w:kern w:val="0"/>
          <w:sz w:val="22"/>
          <w:szCs w:val="22"/>
          <w:lang w:eastAsia="en-GB"/>
          <w14:ligatures w14:val="none"/>
        </w:rPr>
        <w:t>Brodaty</w:t>
      </w:r>
      <w:proofErr w:type="spellEnd"/>
      <w:r w:rsidRPr="00165580">
        <w:rPr>
          <w:rFonts w:ascii="Arial" w:eastAsia="Times New Roman" w:hAnsi="Arial" w:cs="Arial"/>
          <w:kern w:val="0"/>
          <w:sz w:val="22"/>
          <w:szCs w:val="22"/>
          <w:lang w:eastAsia="en-GB"/>
          <w14:ligatures w14:val="none"/>
        </w:rPr>
        <w:t xml:space="preserve"> and Donkin, 2009).</w:t>
      </w:r>
    </w:p>
    <w:p w14:paraId="280481F6" w14:textId="4584364D"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Voluntary organisations, including charities, provide valuable support through helplines, education, and community programmes (Alzheimer’s Society, 2024).</w:t>
      </w:r>
      <w:r w:rsidR="00352121">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Finally, dementia-friendly communities are becoming more common. These initiatives aim to create inclusive environments that support individuals with dementia and reduce stigma (World Health Organization, 2019).</w:t>
      </w:r>
    </w:p>
    <w:p w14:paraId="4FFA92B5" w14:textId="6EB39C6F"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5ADB0983" w14:textId="73FDE7D4" w:rsidR="00165580" w:rsidRPr="00165580" w:rsidRDefault="00165580"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6" w:name="_Toc225513966"/>
      <w:r w:rsidRPr="00165580">
        <w:rPr>
          <w:rFonts w:ascii="Arial" w:eastAsia="Times New Roman" w:hAnsi="Arial" w:cs="Arial"/>
          <w:b/>
          <w:bCs/>
          <w:kern w:val="0"/>
          <w:sz w:val="22"/>
          <w:szCs w:val="22"/>
          <w:lang w:eastAsia="en-GB"/>
          <w14:ligatures w14:val="none"/>
        </w:rPr>
        <w:t>Conclusion</w:t>
      </w:r>
      <w:bookmarkEnd w:id="6"/>
      <w:r w:rsidRPr="00165580">
        <w:rPr>
          <w:rFonts w:ascii="Arial" w:eastAsia="Times New Roman" w:hAnsi="Arial" w:cs="Arial"/>
          <w:b/>
          <w:bCs/>
          <w:kern w:val="0"/>
          <w:sz w:val="22"/>
          <w:szCs w:val="22"/>
          <w:lang w:eastAsia="en-GB"/>
          <w14:ligatures w14:val="none"/>
        </w:rPr>
        <w:t xml:space="preserve"> </w:t>
      </w:r>
    </w:p>
    <w:p w14:paraId="0A1C12BE" w14:textId="77777777" w:rsidR="00807C3E" w:rsidRDefault="00165580" w:rsidP="00165580">
      <w:pPr>
        <w:spacing w:before="100" w:beforeAutospacing="1" w:after="100" w:afterAutospacing="1" w:line="240" w:lineRule="auto"/>
        <w:jc w:val="both"/>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Dementia is a complex and increasingly common condition that has a significant impact on individuals, families, and communities. As the number of people affected continues to rise, effective strategies for measuring, monitoring, and managing the condition are essential.</w:t>
      </w:r>
      <w:r>
        <w:rPr>
          <w:rFonts w:ascii="Arial" w:eastAsia="Times New Roman" w:hAnsi="Arial" w:cs="Arial"/>
          <w:kern w:val="0"/>
          <w:sz w:val="22"/>
          <w:szCs w:val="22"/>
          <w:lang w:eastAsia="en-GB"/>
          <w14:ligatures w14:val="none"/>
        </w:rPr>
        <w:t xml:space="preserve"> </w:t>
      </w:r>
      <w:proofErr w:type="gramStart"/>
      <w:r w:rsidRPr="00165580">
        <w:rPr>
          <w:rFonts w:ascii="Arial" w:eastAsia="Times New Roman" w:hAnsi="Arial" w:cs="Arial"/>
          <w:kern w:val="0"/>
          <w:sz w:val="22"/>
          <w:szCs w:val="22"/>
          <w:lang w:eastAsia="en-GB"/>
          <w14:ligatures w14:val="none"/>
        </w:rPr>
        <w:t>A</w:t>
      </w:r>
      <w:proofErr w:type="gramEnd"/>
      <w:r w:rsidRPr="00165580">
        <w:rPr>
          <w:rFonts w:ascii="Arial" w:eastAsia="Times New Roman" w:hAnsi="Arial" w:cs="Arial"/>
          <w:kern w:val="0"/>
          <w:sz w:val="22"/>
          <w:szCs w:val="22"/>
          <w:lang w:eastAsia="en-GB"/>
          <w14:ligatures w14:val="none"/>
        </w:rPr>
        <w:t xml:space="preserve"> range of approaches, including epidemiological research, national data systems, and diagnostic tools, help track dementia and inform healthcare planning. While there is no cure, strategies such as early diagnosis, risk reduction, and supportive care can improve quality of life.</w:t>
      </w:r>
    </w:p>
    <w:p w14:paraId="7636DBF0" w14:textId="7F08A7D8" w:rsidR="00165580" w:rsidRPr="00165580" w:rsidRDefault="00165580" w:rsidP="00165580">
      <w:pPr>
        <w:spacing w:before="100" w:beforeAutospacing="1" w:after="100" w:afterAutospacing="1" w:line="24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The consequences of dementia are wide-ranging, affecting emotional well-being, social relationships, and healthcare systems. This highlights the importance of accessible and well-coordinated health and social care services.</w:t>
      </w:r>
      <w:r>
        <w:rPr>
          <w:rFonts w:ascii="Arial" w:eastAsia="Times New Roman" w:hAnsi="Arial" w:cs="Arial"/>
          <w:kern w:val="0"/>
          <w:sz w:val="22"/>
          <w:szCs w:val="22"/>
          <w:lang w:eastAsia="en-GB"/>
          <w14:ligatures w14:val="none"/>
        </w:rPr>
        <w:t xml:space="preserve"> </w:t>
      </w:r>
      <w:r w:rsidRPr="00165580">
        <w:rPr>
          <w:rFonts w:ascii="Arial" w:eastAsia="Times New Roman" w:hAnsi="Arial" w:cs="Arial"/>
          <w:kern w:val="0"/>
          <w:sz w:val="22"/>
          <w:szCs w:val="22"/>
          <w:lang w:eastAsia="en-GB"/>
          <w14:ligatures w14:val="none"/>
        </w:rPr>
        <w:t>Overall, a combination of medical support, community services, and public awareness is needed to ensure individuals with dementia are supported effectively and can live with dignity.</w:t>
      </w:r>
    </w:p>
    <w:p w14:paraId="31A08E55" w14:textId="35A93093" w:rsidR="00165580" w:rsidRPr="00165580" w:rsidRDefault="00165580" w:rsidP="00165580">
      <w:pPr>
        <w:spacing w:after="0" w:line="240" w:lineRule="auto"/>
        <w:rPr>
          <w:rFonts w:ascii="Arial" w:eastAsia="Times New Roman" w:hAnsi="Arial" w:cs="Arial"/>
          <w:kern w:val="0"/>
          <w:sz w:val="22"/>
          <w:szCs w:val="22"/>
          <w:lang w:eastAsia="en-GB"/>
          <w14:ligatures w14:val="none"/>
        </w:rPr>
      </w:pPr>
    </w:p>
    <w:p w14:paraId="0F49044B"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bookmarkStart w:id="7" w:name="_Toc225513967"/>
    </w:p>
    <w:p w14:paraId="64C5BEBF"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04B7EB4A"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4F1FA362"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2371776A"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1619D469"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44E0EAE2"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1FF837E2"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77812E5D" w14:textId="5E44589F" w:rsidR="00165580" w:rsidRDefault="00165580" w:rsidP="00807C3E">
      <w:pPr>
        <w:spacing w:before="100" w:beforeAutospacing="1" w:after="100" w:afterAutospacing="1" w:line="240" w:lineRule="auto"/>
        <w:jc w:val="center"/>
        <w:outlineLvl w:val="1"/>
        <w:rPr>
          <w:rFonts w:ascii="Arial" w:eastAsia="Times New Roman" w:hAnsi="Arial" w:cs="Arial"/>
          <w:b/>
          <w:bCs/>
          <w:kern w:val="0"/>
          <w:sz w:val="22"/>
          <w:szCs w:val="22"/>
          <w:lang w:eastAsia="en-GB"/>
          <w14:ligatures w14:val="none"/>
        </w:rPr>
      </w:pPr>
      <w:r w:rsidRPr="00165580">
        <w:rPr>
          <w:rFonts w:ascii="Arial" w:eastAsia="Times New Roman" w:hAnsi="Arial" w:cs="Arial"/>
          <w:b/>
          <w:bCs/>
          <w:kern w:val="0"/>
          <w:sz w:val="22"/>
          <w:szCs w:val="22"/>
          <w:lang w:eastAsia="en-GB"/>
          <w14:ligatures w14:val="none"/>
        </w:rPr>
        <w:t>References</w:t>
      </w:r>
      <w:bookmarkEnd w:id="7"/>
    </w:p>
    <w:p w14:paraId="49E3867D" w14:textId="77777777" w:rsidR="00807C3E"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709D20DC" w14:textId="77777777" w:rsidR="00807C3E" w:rsidRPr="00165580" w:rsidRDefault="00807C3E" w:rsidP="00165580">
      <w:pPr>
        <w:spacing w:before="100" w:beforeAutospacing="1" w:after="100" w:afterAutospacing="1" w:line="240" w:lineRule="auto"/>
        <w:outlineLvl w:val="1"/>
        <w:rPr>
          <w:rFonts w:ascii="Arial" w:eastAsia="Times New Roman" w:hAnsi="Arial" w:cs="Arial"/>
          <w:b/>
          <w:bCs/>
          <w:kern w:val="0"/>
          <w:sz w:val="22"/>
          <w:szCs w:val="22"/>
          <w:lang w:eastAsia="en-GB"/>
          <w14:ligatures w14:val="none"/>
        </w:rPr>
      </w:pPr>
    </w:p>
    <w:p w14:paraId="31DC9DAC"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Alzheimer’s Society (2024) </w:t>
      </w:r>
      <w:r w:rsidRPr="00165580">
        <w:rPr>
          <w:rFonts w:ascii="Arial" w:eastAsia="Times New Roman" w:hAnsi="Arial" w:cs="Arial"/>
          <w:i/>
          <w:iCs/>
          <w:kern w:val="0"/>
          <w:sz w:val="22"/>
          <w:szCs w:val="22"/>
          <w:lang w:eastAsia="en-GB"/>
          <w14:ligatures w14:val="none"/>
        </w:rPr>
        <w:t>Dementia UK: Update</w:t>
      </w:r>
      <w:r w:rsidRPr="00165580">
        <w:rPr>
          <w:rFonts w:ascii="Arial" w:eastAsia="Times New Roman" w:hAnsi="Arial" w:cs="Arial"/>
          <w:kern w:val="0"/>
          <w:sz w:val="22"/>
          <w:szCs w:val="22"/>
          <w:lang w:eastAsia="en-GB"/>
          <w14:ligatures w14:val="none"/>
        </w:rPr>
        <w:t>. London: Alzheimer’s Society.</w:t>
      </w:r>
    </w:p>
    <w:p w14:paraId="77999AEF"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65580">
        <w:rPr>
          <w:rFonts w:ascii="Arial" w:eastAsia="Times New Roman" w:hAnsi="Arial" w:cs="Arial"/>
          <w:kern w:val="0"/>
          <w:sz w:val="22"/>
          <w:szCs w:val="22"/>
          <w:lang w:eastAsia="en-GB"/>
          <w14:ligatures w14:val="none"/>
        </w:rPr>
        <w:t>Brodaty</w:t>
      </w:r>
      <w:proofErr w:type="spellEnd"/>
      <w:r w:rsidRPr="00165580">
        <w:rPr>
          <w:rFonts w:ascii="Arial" w:eastAsia="Times New Roman" w:hAnsi="Arial" w:cs="Arial"/>
          <w:kern w:val="0"/>
          <w:sz w:val="22"/>
          <w:szCs w:val="22"/>
          <w:lang w:eastAsia="en-GB"/>
          <w14:ligatures w14:val="none"/>
        </w:rPr>
        <w:t xml:space="preserve">, H. and Donkin, M. (2009) ‘Family caregivers of people with dementia’, </w:t>
      </w:r>
      <w:r w:rsidRPr="00165580">
        <w:rPr>
          <w:rFonts w:ascii="Arial" w:eastAsia="Times New Roman" w:hAnsi="Arial" w:cs="Arial"/>
          <w:i/>
          <w:iCs/>
          <w:kern w:val="0"/>
          <w:sz w:val="22"/>
          <w:szCs w:val="22"/>
          <w:lang w:eastAsia="en-GB"/>
          <w14:ligatures w14:val="none"/>
        </w:rPr>
        <w:t>Dialogues in Clinical Neuroscience</w:t>
      </w:r>
      <w:r w:rsidRPr="00165580">
        <w:rPr>
          <w:rFonts w:ascii="Arial" w:eastAsia="Times New Roman" w:hAnsi="Arial" w:cs="Arial"/>
          <w:kern w:val="0"/>
          <w:sz w:val="22"/>
          <w:szCs w:val="22"/>
          <w:lang w:eastAsia="en-GB"/>
          <w14:ligatures w14:val="none"/>
        </w:rPr>
        <w:t>, 11(2), pp. 217–228.</w:t>
      </w:r>
    </w:p>
    <w:p w14:paraId="5AD9BFA7"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Department of Health and Social Care (2023) </w:t>
      </w:r>
      <w:r w:rsidRPr="00165580">
        <w:rPr>
          <w:rFonts w:ascii="Arial" w:eastAsia="Times New Roman" w:hAnsi="Arial" w:cs="Arial"/>
          <w:i/>
          <w:iCs/>
          <w:kern w:val="0"/>
          <w:sz w:val="22"/>
          <w:szCs w:val="22"/>
          <w:lang w:eastAsia="en-GB"/>
          <w14:ligatures w14:val="none"/>
        </w:rPr>
        <w:t>UK Dementia Strategy</w:t>
      </w:r>
      <w:r w:rsidRPr="00165580">
        <w:rPr>
          <w:rFonts w:ascii="Arial" w:eastAsia="Times New Roman" w:hAnsi="Arial" w:cs="Arial"/>
          <w:kern w:val="0"/>
          <w:sz w:val="22"/>
          <w:szCs w:val="22"/>
          <w:lang w:eastAsia="en-GB"/>
          <w14:ligatures w14:val="none"/>
        </w:rPr>
        <w:t>. London: DHSC.</w:t>
      </w:r>
    </w:p>
    <w:p w14:paraId="6E9A5B2F"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165580">
        <w:rPr>
          <w:rFonts w:ascii="Arial" w:eastAsia="Times New Roman" w:hAnsi="Arial" w:cs="Arial"/>
          <w:kern w:val="0"/>
          <w:sz w:val="22"/>
          <w:szCs w:val="22"/>
          <w:lang w:eastAsia="en-GB"/>
          <w14:ligatures w14:val="none"/>
        </w:rPr>
        <w:t>Folstein</w:t>
      </w:r>
      <w:proofErr w:type="spellEnd"/>
      <w:r w:rsidRPr="00165580">
        <w:rPr>
          <w:rFonts w:ascii="Arial" w:eastAsia="Times New Roman" w:hAnsi="Arial" w:cs="Arial"/>
          <w:kern w:val="0"/>
          <w:sz w:val="22"/>
          <w:szCs w:val="22"/>
          <w:lang w:eastAsia="en-GB"/>
          <w14:ligatures w14:val="none"/>
        </w:rPr>
        <w:t xml:space="preserve">, M.F., Folstein, S.E. and McHugh, P.R. (1975) ‘Mini-mental state’, </w:t>
      </w:r>
      <w:r w:rsidRPr="00165580">
        <w:rPr>
          <w:rFonts w:ascii="Arial" w:eastAsia="Times New Roman" w:hAnsi="Arial" w:cs="Arial"/>
          <w:i/>
          <w:iCs/>
          <w:kern w:val="0"/>
          <w:sz w:val="22"/>
          <w:szCs w:val="22"/>
          <w:lang w:eastAsia="en-GB"/>
          <w14:ligatures w14:val="none"/>
        </w:rPr>
        <w:t>Journal of Psychiatric Research</w:t>
      </w:r>
      <w:r w:rsidRPr="00165580">
        <w:rPr>
          <w:rFonts w:ascii="Arial" w:eastAsia="Times New Roman" w:hAnsi="Arial" w:cs="Arial"/>
          <w:kern w:val="0"/>
          <w:sz w:val="22"/>
          <w:szCs w:val="22"/>
          <w:lang w:eastAsia="en-GB"/>
          <w14:ligatures w14:val="none"/>
        </w:rPr>
        <w:t>, 12(3), pp. 189–198.</w:t>
      </w:r>
    </w:p>
    <w:p w14:paraId="32A8FB08"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Livingston, G. et al. (2020) ‘Dementia prevention, intervention, and care’, </w:t>
      </w:r>
      <w:r w:rsidRPr="00165580">
        <w:rPr>
          <w:rFonts w:ascii="Arial" w:eastAsia="Times New Roman" w:hAnsi="Arial" w:cs="Arial"/>
          <w:i/>
          <w:iCs/>
          <w:kern w:val="0"/>
          <w:sz w:val="22"/>
          <w:szCs w:val="22"/>
          <w:lang w:eastAsia="en-GB"/>
          <w14:ligatures w14:val="none"/>
        </w:rPr>
        <w:t>The Lancet</w:t>
      </w:r>
      <w:r w:rsidRPr="00165580">
        <w:rPr>
          <w:rFonts w:ascii="Arial" w:eastAsia="Times New Roman" w:hAnsi="Arial" w:cs="Arial"/>
          <w:kern w:val="0"/>
          <w:sz w:val="22"/>
          <w:szCs w:val="22"/>
          <w:lang w:eastAsia="en-GB"/>
          <w14:ligatures w14:val="none"/>
        </w:rPr>
        <w:t>, 396(10248), pp. 413–446.</w:t>
      </w:r>
    </w:p>
    <w:p w14:paraId="17B33D8C"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Nasreddine, Z.S. et al. (2005) ‘The Montreal Cognitive Assessment’, </w:t>
      </w:r>
      <w:r w:rsidRPr="00165580">
        <w:rPr>
          <w:rFonts w:ascii="Arial" w:eastAsia="Times New Roman" w:hAnsi="Arial" w:cs="Arial"/>
          <w:i/>
          <w:iCs/>
          <w:kern w:val="0"/>
          <w:sz w:val="22"/>
          <w:szCs w:val="22"/>
          <w:lang w:eastAsia="en-GB"/>
          <w14:ligatures w14:val="none"/>
        </w:rPr>
        <w:t>Journal of the American Geriatrics Society</w:t>
      </w:r>
      <w:r w:rsidRPr="00165580">
        <w:rPr>
          <w:rFonts w:ascii="Arial" w:eastAsia="Times New Roman" w:hAnsi="Arial" w:cs="Arial"/>
          <w:kern w:val="0"/>
          <w:sz w:val="22"/>
          <w:szCs w:val="22"/>
          <w:lang w:eastAsia="en-GB"/>
          <w14:ligatures w14:val="none"/>
        </w:rPr>
        <w:t>, 53(4), pp. 695–699.</w:t>
      </w:r>
    </w:p>
    <w:p w14:paraId="524CDCF4"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NHS (2023) </w:t>
      </w:r>
      <w:r w:rsidRPr="00165580">
        <w:rPr>
          <w:rFonts w:ascii="Arial" w:eastAsia="Times New Roman" w:hAnsi="Arial" w:cs="Arial"/>
          <w:i/>
          <w:iCs/>
          <w:kern w:val="0"/>
          <w:sz w:val="22"/>
          <w:szCs w:val="22"/>
          <w:lang w:eastAsia="en-GB"/>
          <w14:ligatures w14:val="none"/>
        </w:rPr>
        <w:t>Dementia Overview</w:t>
      </w:r>
      <w:r w:rsidRPr="00165580">
        <w:rPr>
          <w:rFonts w:ascii="Arial" w:eastAsia="Times New Roman" w:hAnsi="Arial" w:cs="Arial"/>
          <w:kern w:val="0"/>
          <w:sz w:val="22"/>
          <w:szCs w:val="22"/>
          <w:lang w:eastAsia="en-GB"/>
          <w14:ligatures w14:val="none"/>
        </w:rPr>
        <w:t xml:space="preserve">. Available at: </w:t>
      </w:r>
      <w:hyperlink r:id="rId7" w:tgtFrame="_new" w:history="1">
        <w:r w:rsidRPr="00165580">
          <w:rPr>
            <w:rFonts w:ascii="Arial" w:eastAsia="Times New Roman" w:hAnsi="Arial" w:cs="Arial"/>
            <w:color w:val="0000FF"/>
            <w:kern w:val="0"/>
            <w:sz w:val="22"/>
            <w:szCs w:val="22"/>
            <w:u w:val="single"/>
            <w:lang w:eastAsia="en-GB"/>
            <w14:ligatures w14:val="none"/>
          </w:rPr>
          <w:t>https://www.nhs.uk</w:t>
        </w:r>
      </w:hyperlink>
    </w:p>
    <w:p w14:paraId="69C56636"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NHS Digital (2023) </w:t>
      </w:r>
      <w:r w:rsidRPr="00165580">
        <w:rPr>
          <w:rFonts w:ascii="Arial" w:eastAsia="Times New Roman" w:hAnsi="Arial" w:cs="Arial"/>
          <w:i/>
          <w:iCs/>
          <w:kern w:val="0"/>
          <w:sz w:val="22"/>
          <w:szCs w:val="22"/>
          <w:lang w:eastAsia="en-GB"/>
          <w14:ligatures w14:val="none"/>
        </w:rPr>
        <w:t>Dementia Data Profile</w:t>
      </w:r>
      <w:r w:rsidRPr="00165580">
        <w:rPr>
          <w:rFonts w:ascii="Arial" w:eastAsia="Times New Roman" w:hAnsi="Arial" w:cs="Arial"/>
          <w:kern w:val="0"/>
          <w:sz w:val="22"/>
          <w:szCs w:val="22"/>
          <w:lang w:eastAsia="en-GB"/>
          <w14:ligatures w14:val="none"/>
        </w:rPr>
        <w:t>.</w:t>
      </w:r>
    </w:p>
    <w:p w14:paraId="54EF2332"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NICE (2022) </w:t>
      </w:r>
      <w:r w:rsidRPr="00165580">
        <w:rPr>
          <w:rFonts w:ascii="Arial" w:eastAsia="Times New Roman" w:hAnsi="Arial" w:cs="Arial"/>
          <w:i/>
          <w:iCs/>
          <w:kern w:val="0"/>
          <w:sz w:val="22"/>
          <w:szCs w:val="22"/>
          <w:lang w:eastAsia="en-GB"/>
          <w14:ligatures w14:val="none"/>
        </w:rPr>
        <w:t>Dementia: Assessment, management and support</w:t>
      </w:r>
      <w:r w:rsidRPr="00165580">
        <w:rPr>
          <w:rFonts w:ascii="Arial" w:eastAsia="Times New Roman" w:hAnsi="Arial" w:cs="Arial"/>
          <w:kern w:val="0"/>
          <w:sz w:val="22"/>
          <w:szCs w:val="22"/>
          <w:lang w:eastAsia="en-GB"/>
          <w14:ligatures w14:val="none"/>
        </w:rPr>
        <w:t>. London: NICE.</w:t>
      </w:r>
    </w:p>
    <w:p w14:paraId="75261F7C"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Prince, M. et al. (2016) </w:t>
      </w:r>
      <w:r w:rsidRPr="00165580">
        <w:rPr>
          <w:rFonts w:ascii="Arial" w:eastAsia="Times New Roman" w:hAnsi="Arial" w:cs="Arial"/>
          <w:i/>
          <w:iCs/>
          <w:kern w:val="0"/>
          <w:sz w:val="22"/>
          <w:szCs w:val="22"/>
          <w:lang w:eastAsia="en-GB"/>
          <w14:ligatures w14:val="none"/>
        </w:rPr>
        <w:t>World Alzheimer Report 2016</w:t>
      </w:r>
      <w:r w:rsidRPr="00165580">
        <w:rPr>
          <w:rFonts w:ascii="Arial" w:eastAsia="Times New Roman" w:hAnsi="Arial" w:cs="Arial"/>
          <w:kern w:val="0"/>
          <w:sz w:val="22"/>
          <w:szCs w:val="22"/>
          <w:lang w:eastAsia="en-GB"/>
          <w14:ligatures w14:val="none"/>
        </w:rPr>
        <w:t>. London: Alzheimer’s Disease International.</w:t>
      </w:r>
    </w:p>
    <w:p w14:paraId="5292CE95"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Public Health England (2020) </w:t>
      </w:r>
      <w:r w:rsidRPr="00165580">
        <w:rPr>
          <w:rFonts w:ascii="Arial" w:eastAsia="Times New Roman" w:hAnsi="Arial" w:cs="Arial"/>
          <w:i/>
          <w:iCs/>
          <w:kern w:val="0"/>
          <w:sz w:val="22"/>
          <w:szCs w:val="22"/>
          <w:lang w:eastAsia="en-GB"/>
          <w14:ligatures w14:val="none"/>
        </w:rPr>
        <w:t>Dementia Profile</w:t>
      </w:r>
      <w:r w:rsidRPr="00165580">
        <w:rPr>
          <w:rFonts w:ascii="Arial" w:eastAsia="Times New Roman" w:hAnsi="Arial" w:cs="Arial"/>
          <w:kern w:val="0"/>
          <w:sz w:val="22"/>
          <w:szCs w:val="22"/>
          <w:lang w:eastAsia="en-GB"/>
          <w14:ligatures w14:val="none"/>
        </w:rPr>
        <w:t>.</w:t>
      </w:r>
    </w:p>
    <w:p w14:paraId="650C11C1"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Spector, A. et al. (2003) ‘Cognitive stimulation therapy’, </w:t>
      </w:r>
      <w:r w:rsidRPr="00165580">
        <w:rPr>
          <w:rFonts w:ascii="Arial" w:eastAsia="Times New Roman" w:hAnsi="Arial" w:cs="Arial"/>
          <w:i/>
          <w:iCs/>
          <w:kern w:val="0"/>
          <w:sz w:val="22"/>
          <w:szCs w:val="22"/>
          <w:lang w:eastAsia="en-GB"/>
          <w14:ligatures w14:val="none"/>
        </w:rPr>
        <w:t>British Journal of Psychiatry</w:t>
      </w:r>
      <w:r w:rsidRPr="00165580">
        <w:rPr>
          <w:rFonts w:ascii="Arial" w:eastAsia="Times New Roman" w:hAnsi="Arial" w:cs="Arial"/>
          <w:kern w:val="0"/>
          <w:sz w:val="22"/>
          <w:szCs w:val="22"/>
          <w:lang w:eastAsia="en-GB"/>
          <w14:ligatures w14:val="none"/>
        </w:rPr>
        <w:t>, 183(3), pp. 248–254.</w:t>
      </w:r>
    </w:p>
    <w:p w14:paraId="1B11FAF9"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Wimo, A. et al. (2017) ‘Global cost of dementia’, </w:t>
      </w:r>
      <w:r w:rsidRPr="00165580">
        <w:rPr>
          <w:rFonts w:ascii="Arial" w:eastAsia="Times New Roman" w:hAnsi="Arial" w:cs="Arial"/>
          <w:i/>
          <w:iCs/>
          <w:kern w:val="0"/>
          <w:sz w:val="22"/>
          <w:szCs w:val="22"/>
          <w:lang w:eastAsia="en-GB"/>
          <w14:ligatures w14:val="none"/>
        </w:rPr>
        <w:t>Alzheimer’s &amp; Dementia</w:t>
      </w:r>
      <w:r w:rsidRPr="00165580">
        <w:rPr>
          <w:rFonts w:ascii="Arial" w:eastAsia="Times New Roman" w:hAnsi="Arial" w:cs="Arial"/>
          <w:kern w:val="0"/>
          <w:sz w:val="22"/>
          <w:szCs w:val="22"/>
          <w:lang w:eastAsia="en-GB"/>
          <w14:ligatures w14:val="none"/>
        </w:rPr>
        <w:t>, 13(1), pp. 1–7.</w:t>
      </w:r>
    </w:p>
    <w:p w14:paraId="1BD5DE7A"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World Health Organization (2019) </w:t>
      </w:r>
      <w:r w:rsidRPr="00165580">
        <w:rPr>
          <w:rFonts w:ascii="Arial" w:eastAsia="Times New Roman" w:hAnsi="Arial" w:cs="Arial"/>
          <w:i/>
          <w:iCs/>
          <w:kern w:val="0"/>
          <w:sz w:val="22"/>
          <w:szCs w:val="22"/>
          <w:lang w:eastAsia="en-GB"/>
          <w14:ligatures w14:val="none"/>
        </w:rPr>
        <w:t>Risk reduction of cognitive decline and dementia</w:t>
      </w:r>
      <w:r w:rsidRPr="00165580">
        <w:rPr>
          <w:rFonts w:ascii="Arial" w:eastAsia="Times New Roman" w:hAnsi="Arial" w:cs="Arial"/>
          <w:kern w:val="0"/>
          <w:sz w:val="22"/>
          <w:szCs w:val="22"/>
          <w:lang w:eastAsia="en-GB"/>
          <w14:ligatures w14:val="none"/>
        </w:rPr>
        <w:t>. Geneva: WHO.</w:t>
      </w:r>
    </w:p>
    <w:p w14:paraId="76C4B4C0" w14:textId="77777777" w:rsidR="00165580" w:rsidRPr="00165580" w:rsidRDefault="00165580" w:rsidP="00165580">
      <w:pPr>
        <w:spacing w:before="100" w:beforeAutospacing="1" w:after="100" w:afterAutospacing="1" w:line="240" w:lineRule="auto"/>
        <w:rPr>
          <w:rFonts w:ascii="Arial" w:eastAsia="Times New Roman" w:hAnsi="Arial" w:cs="Arial"/>
          <w:kern w:val="0"/>
          <w:sz w:val="22"/>
          <w:szCs w:val="22"/>
          <w:lang w:eastAsia="en-GB"/>
          <w14:ligatures w14:val="none"/>
        </w:rPr>
      </w:pPr>
      <w:r w:rsidRPr="00165580">
        <w:rPr>
          <w:rFonts w:ascii="Arial" w:eastAsia="Times New Roman" w:hAnsi="Arial" w:cs="Arial"/>
          <w:kern w:val="0"/>
          <w:sz w:val="22"/>
          <w:szCs w:val="22"/>
          <w:lang w:eastAsia="en-GB"/>
          <w14:ligatures w14:val="none"/>
        </w:rPr>
        <w:t xml:space="preserve">World Health Organization (2023) </w:t>
      </w:r>
      <w:r w:rsidRPr="00165580">
        <w:rPr>
          <w:rFonts w:ascii="Arial" w:eastAsia="Times New Roman" w:hAnsi="Arial" w:cs="Arial"/>
          <w:i/>
          <w:iCs/>
          <w:kern w:val="0"/>
          <w:sz w:val="22"/>
          <w:szCs w:val="22"/>
          <w:lang w:eastAsia="en-GB"/>
          <w14:ligatures w14:val="none"/>
        </w:rPr>
        <w:t>Dementia Fact Sheet</w:t>
      </w:r>
      <w:r w:rsidRPr="00165580">
        <w:rPr>
          <w:rFonts w:ascii="Arial" w:eastAsia="Times New Roman" w:hAnsi="Arial" w:cs="Arial"/>
          <w:kern w:val="0"/>
          <w:sz w:val="22"/>
          <w:szCs w:val="22"/>
          <w:lang w:eastAsia="en-GB"/>
          <w14:ligatures w14:val="none"/>
        </w:rPr>
        <w:t>. Geneva: WHO.</w:t>
      </w:r>
    </w:p>
    <w:p w14:paraId="6088E8D5" w14:textId="77777777" w:rsidR="00165580" w:rsidRPr="00165580" w:rsidRDefault="00165580">
      <w:pPr>
        <w:rPr>
          <w:rFonts w:ascii="Arial" w:hAnsi="Arial" w:cs="Arial"/>
          <w:sz w:val="22"/>
          <w:szCs w:val="22"/>
        </w:rPr>
      </w:pPr>
    </w:p>
    <w:sectPr w:rsidR="00165580" w:rsidRPr="00165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580"/>
    <w:rsid w:val="00165580"/>
    <w:rsid w:val="002D0F30"/>
    <w:rsid w:val="00352121"/>
    <w:rsid w:val="00807C3E"/>
    <w:rsid w:val="00844DEF"/>
    <w:rsid w:val="00CC58E9"/>
    <w:rsid w:val="00E5259D"/>
    <w:rsid w:val="00EB5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569E5"/>
  <w15:chartTrackingRefBased/>
  <w15:docId w15:val="{423C3814-1369-4BEC-A396-7DE8EA6A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5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55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5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5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5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5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55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5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5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5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580"/>
    <w:rPr>
      <w:rFonts w:eastAsiaTheme="majorEastAsia" w:cstheme="majorBidi"/>
      <w:color w:val="272727" w:themeColor="text1" w:themeTint="D8"/>
    </w:rPr>
  </w:style>
  <w:style w:type="paragraph" w:styleId="Title">
    <w:name w:val="Title"/>
    <w:basedOn w:val="Normal"/>
    <w:next w:val="Normal"/>
    <w:link w:val="TitleChar"/>
    <w:uiPriority w:val="10"/>
    <w:qFormat/>
    <w:rsid w:val="00165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580"/>
    <w:pPr>
      <w:spacing w:before="160"/>
      <w:jc w:val="center"/>
    </w:pPr>
    <w:rPr>
      <w:i/>
      <w:iCs/>
      <w:color w:val="404040" w:themeColor="text1" w:themeTint="BF"/>
    </w:rPr>
  </w:style>
  <w:style w:type="character" w:customStyle="1" w:styleId="QuoteChar">
    <w:name w:val="Quote Char"/>
    <w:basedOn w:val="DefaultParagraphFont"/>
    <w:link w:val="Quote"/>
    <w:uiPriority w:val="29"/>
    <w:rsid w:val="00165580"/>
    <w:rPr>
      <w:i/>
      <w:iCs/>
      <w:color w:val="404040" w:themeColor="text1" w:themeTint="BF"/>
    </w:rPr>
  </w:style>
  <w:style w:type="paragraph" w:styleId="ListParagraph">
    <w:name w:val="List Paragraph"/>
    <w:basedOn w:val="Normal"/>
    <w:uiPriority w:val="34"/>
    <w:qFormat/>
    <w:rsid w:val="00165580"/>
    <w:pPr>
      <w:ind w:left="720"/>
      <w:contextualSpacing/>
    </w:pPr>
  </w:style>
  <w:style w:type="character" w:styleId="IntenseEmphasis">
    <w:name w:val="Intense Emphasis"/>
    <w:basedOn w:val="DefaultParagraphFont"/>
    <w:uiPriority w:val="21"/>
    <w:qFormat/>
    <w:rsid w:val="00165580"/>
    <w:rPr>
      <w:i/>
      <w:iCs/>
      <w:color w:val="0F4761" w:themeColor="accent1" w:themeShade="BF"/>
    </w:rPr>
  </w:style>
  <w:style w:type="paragraph" w:styleId="IntenseQuote">
    <w:name w:val="Intense Quote"/>
    <w:basedOn w:val="Normal"/>
    <w:next w:val="Normal"/>
    <w:link w:val="IntenseQuoteChar"/>
    <w:uiPriority w:val="30"/>
    <w:qFormat/>
    <w:rsid w:val="001655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580"/>
    <w:rPr>
      <w:i/>
      <w:iCs/>
      <w:color w:val="0F4761" w:themeColor="accent1" w:themeShade="BF"/>
    </w:rPr>
  </w:style>
  <w:style w:type="character" w:styleId="IntenseReference">
    <w:name w:val="Intense Reference"/>
    <w:basedOn w:val="DefaultParagraphFont"/>
    <w:uiPriority w:val="32"/>
    <w:qFormat/>
    <w:rsid w:val="00165580"/>
    <w:rPr>
      <w:b/>
      <w:bCs/>
      <w:smallCaps/>
      <w:color w:val="0F4761" w:themeColor="accent1" w:themeShade="BF"/>
      <w:spacing w:val="5"/>
    </w:rPr>
  </w:style>
  <w:style w:type="paragraph" w:styleId="TOCHeading">
    <w:name w:val="TOC Heading"/>
    <w:basedOn w:val="Heading1"/>
    <w:next w:val="Normal"/>
    <w:uiPriority w:val="39"/>
    <w:unhideWhenUsed/>
    <w:qFormat/>
    <w:rsid w:val="0035212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52121"/>
    <w:pPr>
      <w:spacing w:after="100"/>
    </w:pPr>
  </w:style>
  <w:style w:type="paragraph" w:styleId="TOC2">
    <w:name w:val="toc 2"/>
    <w:basedOn w:val="Normal"/>
    <w:next w:val="Normal"/>
    <w:autoRedefine/>
    <w:uiPriority w:val="39"/>
    <w:unhideWhenUsed/>
    <w:rsid w:val="00352121"/>
    <w:pPr>
      <w:spacing w:after="100"/>
      <w:ind w:left="240"/>
    </w:pPr>
  </w:style>
  <w:style w:type="paragraph" w:styleId="TOC3">
    <w:name w:val="toc 3"/>
    <w:basedOn w:val="Normal"/>
    <w:next w:val="Normal"/>
    <w:autoRedefine/>
    <w:uiPriority w:val="39"/>
    <w:unhideWhenUsed/>
    <w:rsid w:val="00352121"/>
    <w:pPr>
      <w:spacing w:after="100"/>
      <w:ind w:left="480"/>
    </w:pPr>
  </w:style>
  <w:style w:type="character" w:styleId="Hyperlink">
    <w:name w:val="Hyperlink"/>
    <w:basedOn w:val="DefaultParagraphFont"/>
    <w:uiPriority w:val="99"/>
    <w:unhideWhenUsed/>
    <w:rsid w:val="0035212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8748a841285c57bdeb8b2e108e417361">
  <xsd:schema xmlns:xsd="http://www.w3.org/2001/XMLSchema" xmlns:xs="http://www.w3.org/2001/XMLSchema" xmlns:p="http://schemas.microsoft.com/office/2006/metadata/properties" xmlns:ns3="3ef5847a-e696-4fee-a2c0-6c3f87568321" targetNamespace="http://schemas.microsoft.com/office/2006/metadata/properties" ma:root="true" ma:fieldsID="f60f7cbe39f96099040bd27c87a147cd"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40FFEBB-66DC-46D0-8FCF-D8FF32D796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8B722FB-B653-4B8C-B60B-0EA29C5EF258}">
  <ds:schemaRefs>
    <ds:schemaRef ds:uri="http://schemas.microsoft.com/sharepoint/v3/contenttype/forms"/>
  </ds:schemaRefs>
</ds:datastoreItem>
</file>

<file path=customXml/itemProps3.xml><?xml version="1.0" encoding="utf-8"?>
<ds:datastoreItem xmlns:ds="http://schemas.openxmlformats.org/officeDocument/2006/customXml" ds:itemID="{FEB2980E-191D-4B06-A9C0-6635529DD521}">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1534</Words>
  <Characters>9378</Characters>
  <Application>Microsoft Office Word</Application>
  <DocSecurity>0</DocSecurity>
  <Lines>275</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Louise Diane Hathaway (2509405)</dc:creator>
  <cp:keywords/>
  <dc:description/>
  <cp:lastModifiedBy>Rachel Louise Diane Hathaway (2509405)</cp:lastModifiedBy>
  <cp:revision>2</cp:revision>
  <dcterms:created xsi:type="dcterms:W3CDTF">2026-03-27T15:34:00Z</dcterms:created>
  <dcterms:modified xsi:type="dcterms:W3CDTF">2026-03-27T15:34:00Z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