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1406E" w:rsidRPr="00A1406E" w:rsidRDefault="00A1406E" w:rsidP="00A1406E">
      <w:pPr>
        <w:rPr>
          <w:b/>
        </w:rPr>
      </w:pPr>
      <w:r w:rsidRPr="00A1406E">
        <w:rPr>
          <w:b/>
        </w:rPr>
        <w:t>Exam 3</w:t>
      </w:r>
    </w:p>
    <w:p w:rsidR="00F366C2" w:rsidRPr="00A1406E" w:rsidRDefault="00A1406E">
      <w:pPr>
        <w:rPr>
          <w:b/>
        </w:rPr>
      </w:pPr>
      <w:r w:rsidRPr="00A1406E">
        <w:rPr>
          <w:b/>
        </w:rPr>
        <w:t>Anthony Aylen</w:t>
      </w:r>
    </w:p>
    <w:p w:rsidR="00A1406E" w:rsidRDefault="00A1406E">
      <w:pPr>
        <w:rPr>
          <w:b/>
        </w:rPr>
      </w:pPr>
      <w:r w:rsidRPr="00A1406E">
        <w:rPr>
          <w:b/>
        </w:rPr>
        <w:t>Student Number</w:t>
      </w:r>
      <w:r>
        <w:rPr>
          <w:b/>
        </w:rPr>
        <w:t>:</w:t>
      </w:r>
      <w:r w:rsidRPr="00A1406E">
        <w:rPr>
          <w:b/>
        </w:rPr>
        <w:t xml:space="preserve"> 1916266</w:t>
      </w:r>
    </w:p>
    <w:p w:rsidR="008D498A" w:rsidRDefault="008D498A">
      <w:pPr>
        <w:rPr>
          <w:b/>
        </w:rPr>
      </w:pPr>
    </w:p>
    <w:p w:rsidR="008D498A" w:rsidRDefault="008D498A" w:rsidP="008D498A">
      <w:pPr>
        <w:pStyle w:val="ListParagraph"/>
        <w:numPr>
          <w:ilvl w:val="0"/>
          <w:numId w:val="1"/>
        </w:numPr>
      </w:pPr>
      <w:r w:rsidRPr="008D498A">
        <w:t xml:space="preserve">S. 163 gives a Constable </w:t>
      </w:r>
      <w:r w:rsidR="002B6048">
        <w:t>in uniform with reasonable grounds to suspect</w:t>
      </w:r>
      <w:r w:rsidRPr="008D498A">
        <w:t xml:space="preserve"> </w:t>
      </w:r>
      <w:r w:rsidR="002B6048">
        <w:t>an offence may have been or is about to be committed, t</w:t>
      </w:r>
      <w:r w:rsidRPr="008D498A">
        <w:t xml:space="preserve">he power to stop a vehicle on a road or in a public place </w:t>
      </w:r>
      <w:r>
        <w:t>for the purposes of investigating an incident or questioning the driver</w:t>
      </w:r>
      <w:r w:rsidR="002B6048">
        <w:t xml:space="preserve"> for the purpose of investigating any potential offence or carrying out necessary checks. </w:t>
      </w:r>
    </w:p>
    <w:p w:rsidR="008D498A" w:rsidRDefault="008D498A" w:rsidP="008D498A"/>
    <w:p w:rsidR="008D498A" w:rsidRDefault="008D498A" w:rsidP="008D498A"/>
    <w:p w:rsidR="008D498A" w:rsidRDefault="008D498A" w:rsidP="008D498A">
      <w:pPr>
        <w:pStyle w:val="ListParagraph"/>
        <w:numPr>
          <w:ilvl w:val="0"/>
          <w:numId w:val="1"/>
        </w:numPr>
      </w:pPr>
      <w:r>
        <w:t>S. 6. 4 RTA 1988 allows</w:t>
      </w:r>
      <w:r w:rsidR="002B6048">
        <w:t xml:space="preserve"> for a constable </w:t>
      </w:r>
      <w:r w:rsidR="003A3FBB">
        <w:t xml:space="preserve">to question the suspected driver of a vehicle for an </w:t>
      </w:r>
      <w:r w:rsidR="002B6048">
        <w:t xml:space="preserve">offence that </w:t>
      </w:r>
      <w:r w:rsidR="003A3FBB">
        <w:t xml:space="preserve">either has taken place he/ she  suspects that driver may have been involved in for the purposes of further investigation and to determine if they have involvement in the offence. </w:t>
      </w:r>
    </w:p>
    <w:p w:rsidR="008D498A" w:rsidRDefault="008D498A" w:rsidP="008D498A"/>
    <w:p w:rsidR="008D498A" w:rsidRDefault="008D498A" w:rsidP="008D498A"/>
    <w:p w:rsidR="002B6048" w:rsidRDefault="008D498A" w:rsidP="008D498A">
      <w:pPr>
        <w:pStyle w:val="ListParagraph"/>
        <w:numPr>
          <w:ilvl w:val="0"/>
          <w:numId w:val="1"/>
        </w:numPr>
      </w:pPr>
      <w:r>
        <w:t>S. 3 RTA 1988 – the offence of driving without due car and attention</w:t>
      </w:r>
      <w:r w:rsidR="002B6048">
        <w:t xml:space="preserve">, or reasonable consideration, to other road users is complete when a driver of a mechanically powered vehicle intentionally or recklessly  drives in a manner causing danger to other road users.  </w:t>
      </w:r>
    </w:p>
    <w:p w:rsidR="008D498A" w:rsidRDefault="002B6048" w:rsidP="002B6048">
      <w:pPr>
        <w:ind w:left="583"/>
      </w:pPr>
      <w:r>
        <w:t>If the standard of driving falls below that of the competent and considerate driver and another driver/ road user would be caused inconvenience, the offence is complete.</w:t>
      </w:r>
    </w:p>
    <w:p w:rsidR="003A3FBB" w:rsidRDefault="003A3FBB" w:rsidP="002B6048">
      <w:pPr>
        <w:ind w:left="583"/>
      </w:pPr>
    </w:p>
    <w:p w:rsidR="003A3FBB" w:rsidRDefault="003A3FBB" w:rsidP="003A3FBB">
      <w:pPr>
        <w:pStyle w:val="ListParagraph"/>
        <w:numPr>
          <w:ilvl w:val="0"/>
          <w:numId w:val="1"/>
        </w:numPr>
      </w:pPr>
      <w:r>
        <w:t xml:space="preserve"> The effective use of roads policing powers  can help in reduction of criminal activity in a number of ways:</w:t>
      </w:r>
    </w:p>
    <w:p w:rsidR="003A3FBB" w:rsidRDefault="003A3FBB" w:rsidP="00AF7FD8">
      <w:pPr>
        <w:pStyle w:val="ListParagraph"/>
        <w:numPr>
          <w:ilvl w:val="0"/>
          <w:numId w:val="3"/>
        </w:numPr>
      </w:pPr>
      <w:r>
        <w:t xml:space="preserve">Presence of visible patrols can help deter poor driver behaviour- when road users know there is a greater likelihood of them being </w:t>
      </w:r>
      <w:r w:rsidR="00AF7FD8">
        <w:t>caught for offending.</w:t>
      </w:r>
    </w:p>
    <w:p w:rsidR="00AF7FD8" w:rsidRDefault="00AF7FD8" w:rsidP="00AF7FD8">
      <w:pPr>
        <w:pStyle w:val="ListParagraph"/>
        <w:numPr>
          <w:ilvl w:val="0"/>
          <w:numId w:val="3"/>
        </w:numPr>
      </w:pPr>
      <w:r>
        <w:t xml:space="preserve">Road policing allows for the pursuit of criminals who may be undertaking serious of organised crime- </w:t>
      </w:r>
      <w:proofErr w:type="spellStart"/>
      <w:r>
        <w:t>eg</w:t>
      </w:r>
      <w:proofErr w:type="spellEnd"/>
      <w:r>
        <w:t xml:space="preserve"> stopping vehicles for drugs searches</w:t>
      </w:r>
    </w:p>
    <w:p w:rsidR="00AF7FD8" w:rsidRDefault="00AF7FD8" w:rsidP="00AF7FD8">
      <w:pPr>
        <w:pStyle w:val="ListParagraph"/>
        <w:numPr>
          <w:ilvl w:val="0"/>
          <w:numId w:val="3"/>
        </w:numPr>
      </w:pPr>
      <w:r>
        <w:t>Criminals use cars and vehicles. The police need to be capable of meeting this challenge with an effective roads policing response and resource.</w:t>
      </w:r>
    </w:p>
    <w:p w:rsidR="00AF7FD8" w:rsidRDefault="00AF7FD8" w:rsidP="003A3FBB">
      <w:pPr>
        <w:ind w:left="643"/>
      </w:pPr>
    </w:p>
    <w:p w:rsidR="00AF7FD8" w:rsidRDefault="00AF7FD8" w:rsidP="003A3FBB">
      <w:pPr>
        <w:ind w:left="643"/>
      </w:pPr>
    </w:p>
    <w:p w:rsidR="00AF7FD8" w:rsidRDefault="00AF7FD8" w:rsidP="00AF7FD8">
      <w:pPr>
        <w:pStyle w:val="ListParagraph"/>
        <w:numPr>
          <w:ilvl w:val="0"/>
          <w:numId w:val="1"/>
        </w:numPr>
      </w:pPr>
      <w:r>
        <w:t>S. 165a RTA 1988</w:t>
      </w:r>
    </w:p>
    <w:p w:rsidR="00AF7FD8" w:rsidRDefault="00AF7FD8" w:rsidP="00AF7FD8"/>
    <w:p w:rsidR="00AF7FD8" w:rsidRDefault="00AF7FD8" w:rsidP="00AF7FD8"/>
    <w:p w:rsidR="00AF7FD8" w:rsidRDefault="00AF7FD8" w:rsidP="00AF7FD8"/>
    <w:p w:rsidR="00AF7FD8" w:rsidRDefault="00AF7FD8" w:rsidP="00AF7FD8">
      <w:pPr>
        <w:pStyle w:val="ListParagraph"/>
        <w:numPr>
          <w:ilvl w:val="0"/>
          <w:numId w:val="1"/>
        </w:numPr>
      </w:pPr>
      <w:r>
        <w:t xml:space="preserve"> S.170 (1) RTA 1988</w:t>
      </w:r>
    </w:p>
    <w:p w:rsidR="00AF7FD8" w:rsidRDefault="00AF7FD8" w:rsidP="00363AF8">
      <w:pPr>
        <w:pStyle w:val="ListParagraph"/>
        <w:numPr>
          <w:ilvl w:val="0"/>
          <w:numId w:val="1"/>
        </w:numPr>
      </w:pPr>
      <w:r>
        <w:lastRenderedPageBreak/>
        <w:t xml:space="preserve">Fatalities on the road are inevitably very significant and traumatic events for those involved as either victims or investigators. </w:t>
      </w:r>
      <w:r>
        <w:tab/>
      </w:r>
      <w:r>
        <w:tab/>
      </w:r>
      <w:r>
        <w:tab/>
      </w:r>
      <w:r>
        <w:tab/>
      </w:r>
      <w:r>
        <w:tab/>
      </w:r>
      <w:r>
        <w:tab/>
      </w:r>
      <w:r>
        <w:tab/>
      </w:r>
      <w:r>
        <w:tab/>
      </w:r>
    </w:p>
    <w:p w:rsidR="007B74FD" w:rsidRDefault="00AF7FD8" w:rsidP="00AF7FD8">
      <w:pPr>
        <w:pStyle w:val="ListParagraph"/>
        <w:ind w:left="643"/>
      </w:pPr>
      <w:r>
        <w:t xml:space="preserve">A </w:t>
      </w:r>
      <w:r w:rsidR="007B74FD">
        <w:t xml:space="preserve">Police </w:t>
      </w:r>
      <w:r>
        <w:t xml:space="preserve">Family Liaison Officer </w:t>
      </w:r>
      <w:r w:rsidR="007B74FD">
        <w:t xml:space="preserve">is appointed in the event of a serious incident, particularly when there is a fatality. The FLO is trained to act as the single point of contact and representative to support the family of a fatal victim, who are indeed themselves victims of a loss and may be severely traumatised either directly or indirectly. The FLO can offer direct support as the point of contact or indirect support by involving other agencies and helping the victim’s family access such services. These services may include, counselling, social care or welfare arrangements- notably if Children or vulnerable persons may be left exposed by the loss of life.  </w:t>
      </w:r>
    </w:p>
    <w:p w:rsidR="00AF7FD8" w:rsidRDefault="007B74FD" w:rsidP="00AF7FD8">
      <w:pPr>
        <w:pStyle w:val="ListParagraph"/>
        <w:ind w:left="643"/>
      </w:pPr>
      <w:r>
        <w:t xml:space="preserve">The FLO can also be a key person in terms of assisting the investigation into any incident where they may be required to support a family by enabling their co-operation and supporting them alongside the investigative process.   </w:t>
      </w:r>
    </w:p>
    <w:p w:rsidR="007B74FD" w:rsidRDefault="007B74FD" w:rsidP="00AF7FD8">
      <w:pPr>
        <w:pStyle w:val="ListParagraph"/>
        <w:ind w:left="643"/>
      </w:pPr>
    </w:p>
    <w:p w:rsidR="007B74FD" w:rsidRDefault="007B74FD" w:rsidP="00AF7FD8">
      <w:pPr>
        <w:pStyle w:val="ListParagraph"/>
        <w:ind w:left="643"/>
      </w:pPr>
    </w:p>
    <w:p w:rsidR="008C28F5" w:rsidRDefault="007B74FD" w:rsidP="007B74FD">
      <w:pPr>
        <w:pStyle w:val="ListParagraph"/>
        <w:numPr>
          <w:ilvl w:val="0"/>
          <w:numId w:val="1"/>
        </w:numPr>
      </w:pPr>
      <w:r>
        <w:t xml:space="preserve"> </w:t>
      </w:r>
      <w:r w:rsidR="008C28F5">
        <w:t>S 170 RTA 1988 makes out the offence of failing to report an RTC where there is necessity to fulfil this obligation.</w:t>
      </w:r>
    </w:p>
    <w:p w:rsidR="008C28F5" w:rsidRDefault="008C28F5" w:rsidP="008C28F5">
      <w:pPr>
        <w:ind w:left="643"/>
      </w:pPr>
      <w:r>
        <w:t>It sets out the responsibility of the driver of a vehicle on a road or in an accessible public place to ensure that if they are involved in a collision that causes injury to any person or damage to any property, or vehicle, other than the one being driven as a result of the collision, this is reported.</w:t>
      </w:r>
    </w:p>
    <w:p w:rsidR="00F95667" w:rsidRDefault="008C28F5" w:rsidP="008C28F5">
      <w:pPr>
        <w:ind w:left="643"/>
      </w:pPr>
      <w:r>
        <w:t>The driver’s responsibility is critical to allow for determination of the need for any potential investigation to be undertaken swiftly- to establish if any crime has been committed. It is also incumbent on the driver to produce the necessary documentation to determine ownership, responsibility for the vehicle driven and prov</w:t>
      </w:r>
      <w:r w:rsidR="00F95667">
        <w:t>i</w:t>
      </w:r>
      <w:r>
        <w:t>sion</w:t>
      </w:r>
      <w:r w:rsidR="00F95667">
        <w:t xml:space="preserve"> of insurance documentation. It may also be necessary to determine the legal status (or otherwise) of the involved drivers.</w:t>
      </w:r>
    </w:p>
    <w:p w:rsidR="00F95667" w:rsidRDefault="00F95667" w:rsidP="008C28F5">
      <w:pPr>
        <w:ind w:left="643"/>
      </w:pPr>
    </w:p>
    <w:p w:rsidR="00F95667" w:rsidRDefault="00F95667" w:rsidP="008C28F5">
      <w:pPr>
        <w:ind w:left="643"/>
      </w:pPr>
    </w:p>
    <w:p w:rsidR="00F95667" w:rsidRDefault="00F95667" w:rsidP="00F95667">
      <w:pPr>
        <w:pStyle w:val="ListParagraph"/>
        <w:numPr>
          <w:ilvl w:val="0"/>
          <w:numId w:val="1"/>
        </w:numPr>
      </w:pPr>
      <w:r>
        <w:t>S 6E RTA 1988 is a police power of entry which may be exercised to apprehend any person suspected  of driving over the prescribed limit for alcohol or drugs, in contravention of s. 4 RTA 1988</w:t>
      </w:r>
      <w:r w:rsidR="00CE1C4F">
        <w:t>.</w:t>
      </w:r>
    </w:p>
    <w:p w:rsidR="00CE1C4F" w:rsidRDefault="00CE1C4F" w:rsidP="00CE1C4F">
      <w:pPr>
        <w:ind w:left="283"/>
      </w:pPr>
      <w:r>
        <w:t xml:space="preserve">       </w:t>
      </w:r>
    </w:p>
    <w:p w:rsidR="007B74FD" w:rsidRDefault="008C28F5" w:rsidP="00F95667">
      <w:r>
        <w:t xml:space="preserve">  </w:t>
      </w:r>
    </w:p>
    <w:p w:rsidR="00F95667" w:rsidRDefault="00F95667" w:rsidP="00F95667"/>
    <w:p w:rsidR="00F95667" w:rsidRDefault="00F95667" w:rsidP="00F95667"/>
    <w:p w:rsidR="00F95667" w:rsidRDefault="00F95667" w:rsidP="00CE1C4F">
      <w:pPr>
        <w:pStyle w:val="ListParagraph"/>
        <w:numPr>
          <w:ilvl w:val="0"/>
          <w:numId w:val="1"/>
        </w:numPr>
      </w:pPr>
      <w:r>
        <w:t xml:space="preserve">S 1 RTA 1988 </w:t>
      </w:r>
      <w:proofErr w:type="gramStart"/>
      <w:r>
        <w:t>-  Causing</w:t>
      </w:r>
      <w:proofErr w:type="gramEnd"/>
      <w:r>
        <w:t xml:space="preserve"> Death by Dangerous Driving.  A person is guilty of this offence is he causes the death of another road user whilst driving a mechanically propelled vehicle dangerously</w:t>
      </w:r>
      <w:r w:rsidR="00CE1C4F">
        <w:t xml:space="preserve"> on a road or in a place to which the public has access</w:t>
      </w:r>
      <w:r>
        <w:t>.</w:t>
      </w:r>
    </w:p>
    <w:p w:rsidR="00CE1C4F" w:rsidRDefault="00CE1C4F" w:rsidP="00CE1C4F"/>
    <w:p w:rsidR="00CE1C4F" w:rsidRDefault="00CE1C4F" w:rsidP="00CE1C4F"/>
    <w:p w:rsidR="00CE1C4F" w:rsidRDefault="00CE1C4F" w:rsidP="001F33FC">
      <w:pPr>
        <w:pStyle w:val="ListParagraph"/>
        <w:numPr>
          <w:ilvl w:val="0"/>
          <w:numId w:val="1"/>
        </w:numPr>
        <w:ind w:left="425"/>
      </w:pPr>
      <w:r>
        <w:lastRenderedPageBreak/>
        <w:t xml:space="preserve"> Alcohol :</w:t>
      </w:r>
      <w:r w:rsidRPr="00CE1C4F">
        <w:rPr>
          <w:sz w:val="20"/>
        </w:rPr>
        <w:t>35 micrograms per 100ml breath</w:t>
      </w:r>
      <w:r>
        <w:rPr>
          <w:sz w:val="20"/>
        </w:rPr>
        <w:t xml:space="preserve">; </w:t>
      </w:r>
      <w:r w:rsidRPr="00CE1C4F">
        <w:rPr>
          <w:sz w:val="20"/>
        </w:rPr>
        <w:t xml:space="preserve">80 </w:t>
      </w:r>
      <w:r>
        <w:t>milligrams per 100ml blood</w:t>
      </w:r>
      <w:r>
        <w:t xml:space="preserve"> and 110 milligrams per 100ml of urine</w:t>
      </w:r>
    </w:p>
    <w:p w:rsidR="00CE1C4F" w:rsidRDefault="00CE1C4F" w:rsidP="00CE1C4F">
      <w:pPr>
        <w:ind w:left="425"/>
      </w:pPr>
      <w:r>
        <w:t>Drugs</w:t>
      </w:r>
      <w:r w:rsidR="00B16D59">
        <w:t>:</w:t>
      </w:r>
      <w:r>
        <w:t xml:space="preserve">   Class </w:t>
      </w:r>
      <w:proofErr w:type="gramStart"/>
      <w:r>
        <w:t>A</w:t>
      </w:r>
      <w:proofErr w:type="gramEnd"/>
      <w:r>
        <w:t xml:space="preserve"> 2mg / 100ml blood and Class B 10mg per 100ml blood</w:t>
      </w:r>
    </w:p>
    <w:p w:rsidR="00CE1C4F" w:rsidRDefault="00CE1C4F" w:rsidP="00CE1C4F">
      <w:pPr>
        <w:ind w:left="720"/>
      </w:pPr>
      <w:r>
        <w:t xml:space="preserve">     </w:t>
      </w:r>
    </w:p>
    <w:p w:rsidR="00CE1C4F" w:rsidRDefault="00CE1C4F" w:rsidP="00CE1C4F">
      <w:pPr>
        <w:pStyle w:val="ListParagraph"/>
      </w:pPr>
    </w:p>
    <w:p w:rsidR="00B16D59" w:rsidRDefault="00B16D59" w:rsidP="007230FF">
      <w:pPr>
        <w:pStyle w:val="ListParagraph"/>
        <w:numPr>
          <w:ilvl w:val="0"/>
          <w:numId w:val="1"/>
        </w:numPr>
      </w:pPr>
      <w:r>
        <w:t>In the suspect interviews for these individuals others present may include the following persons:</w:t>
      </w:r>
    </w:p>
    <w:p w:rsidR="00B16D59" w:rsidRDefault="00B16D59" w:rsidP="00B16D59">
      <w:pPr>
        <w:pStyle w:val="ListParagraph"/>
        <w:numPr>
          <w:ilvl w:val="0"/>
          <w:numId w:val="4"/>
        </w:numPr>
      </w:pPr>
      <w:r>
        <w:t>A Legal Representative (Solicitor) for each suspect</w:t>
      </w:r>
    </w:p>
    <w:p w:rsidR="00B16D59" w:rsidRDefault="00B16D59" w:rsidP="00B16D59">
      <w:pPr>
        <w:pStyle w:val="ListParagraph"/>
        <w:numPr>
          <w:ilvl w:val="0"/>
          <w:numId w:val="4"/>
        </w:numPr>
      </w:pPr>
      <w:r>
        <w:t xml:space="preserve">Dependant on status of the suspect (s) </w:t>
      </w:r>
      <w:proofErr w:type="spellStart"/>
      <w:r w:rsidRPr="00B16D59">
        <w:rPr>
          <w:i/>
        </w:rPr>
        <w:t>eg</w:t>
      </w:r>
      <w:proofErr w:type="spellEnd"/>
      <w:r>
        <w:t xml:space="preserve"> if a vulnerable adult or child- an appropriate person to support them as a safeguard.</w:t>
      </w:r>
    </w:p>
    <w:p w:rsidR="00B16D59" w:rsidRDefault="00B16D59" w:rsidP="00B16D59">
      <w:pPr>
        <w:pStyle w:val="ListParagraph"/>
        <w:numPr>
          <w:ilvl w:val="0"/>
          <w:numId w:val="4"/>
        </w:numPr>
      </w:pPr>
      <w:r>
        <w:t>A second Interviewing Police Officer may be present</w:t>
      </w:r>
    </w:p>
    <w:p w:rsidR="00B16D59" w:rsidRDefault="00B16D59" w:rsidP="00B16D59">
      <w:pPr>
        <w:pStyle w:val="ListParagraph"/>
        <w:numPr>
          <w:ilvl w:val="0"/>
          <w:numId w:val="4"/>
        </w:numPr>
      </w:pPr>
      <w:r>
        <w:t xml:space="preserve">An interpreter may need to be present  </w:t>
      </w:r>
    </w:p>
    <w:p w:rsidR="00CE1C4F" w:rsidRDefault="00CE1C4F" w:rsidP="00B16D59"/>
    <w:p w:rsidR="00CE1C4F" w:rsidRDefault="00CE1C4F" w:rsidP="00CE1C4F"/>
    <w:p w:rsidR="00CE1C4F" w:rsidRDefault="00B16D59" w:rsidP="00CE1C4F">
      <w:pPr>
        <w:pStyle w:val="ListParagraph"/>
        <w:numPr>
          <w:ilvl w:val="0"/>
          <w:numId w:val="1"/>
        </w:numPr>
      </w:pPr>
      <w:r>
        <w:t>The National Police Interviewing Model or PEACE model can be summarised as follows</w:t>
      </w:r>
    </w:p>
    <w:p w:rsidR="00B16D59" w:rsidRDefault="00B16D59" w:rsidP="00B16D59"/>
    <w:p w:rsidR="00B16D59" w:rsidRDefault="00B16D59" w:rsidP="00B16D59">
      <w:pPr>
        <w:ind w:left="425"/>
      </w:pPr>
      <w:r w:rsidRPr="000C19C6">
        <w:rPr>
          <w:b/>
        </w:rPr>
        <w:t>Planning and preparation</w:t>
      </w:r>
      <w:r>
        <w:t xml:space="preserve">- ensure </w:t>
      </w:r>
      <w:r w:rsidR="000C19C6">
        <w:t xml:space="preserve">adequate preparation of materials </w:t>
      </w:r>
      <w:proofErr w:type="spellStart"/>
      <w:r w:rsidR="000C19C6">
        <w:t>eg</w:t>
      </w:r>
      <w:proofErr w:type="spellEnd"/>
      <w:r w:rsidR="000C19C6">
        <w:t xml:space="preserve"> statements is done. Ensure appropriate time and place for interviews are set up and arranged. Adequate welfare arrangements, Ensure </w:t>
      </w:r>
      <w:proofErr w:type="gramStart"/>
      <w:r w:rsidR="000C19C6">
        <w:t>PACE  Code</w:t>
      </w:r>
      <w:proofErr w:type="gramEnd"/>
      <w:r w:rsidR="000C19C6">
        <w:t xml:space="preserve"> C ( elements E and G) are complied with</w:t>
      </w:r>
      <w:r w:rsidR="00051E7F">
        <w:t xml:space="preserve"> in Suspect interviews</w:t>
      </w:r>
      <w:r w:rsidR="000C19C6">
        <w:t>. Ensure compliance with Article 6 ECHR is complied with</w:t>
      </w:r>
      <w:r w:rsidR="00051E7F">
        <w:t>.</w:t>
      </w:r>
      <w:r w:rsidR="000C19C6">
        <w:t xml:space="preserve"> </w:t>
      </w:r>
    </w:p>
    <w:p w:rsidR="000C19C6" w:rsidRDefault="000C19C6" w:rsidP="00B16D59">
      <w:pPr>
        <w:ind w:left="425"/>
      </w:pPr>
      <w:r>
        <w:rPr>
          <w:b/>
        </w:rPr>
        <w:t xml:space="preserve">Engage and Explain- </w:t>
      </w:r>
      <w:r w:rsidRPr="000C19C6">
        <w:t>Use the GRRR model</w:t>
      </w:r>
      <w:r>
        <w:t>, Greet, Outline routine and purpose for the interview, Try and be conversational and personable in approach to subject, especially witnesses- make them feel comfortable.</w:t>
      </w:r>
      <w:r w:rsidR="00051E7F">
        <w:t xml:space="preserve"> Undertake full aid memoire read through in Suspect interviews- ensuring Caution is clearly given and note reply. Address legal advice and advisor as necessary.</w:t>
      </w:r>
    </w:p>
    <w:p w:rsidR="00051E7F" w:rsidRDefault="000C19C6" w:rsidP="00B16D59">
      <w:pPr>
        <w:ind w:left="425"/>
      </w:pPr>
      <w:r>
        <w:rPr>
          <w:b/>
        </w:rPr>
        <w:t xml:space="preserve">Account and questions- </w:t>
      </w:r>
      <w:r w:rsidRPr="000C19C6">
        <w:t>Use the Cone system of questioning</w:t>
      </w:r>
      <w:r>
        <w:t>- Open questions, invite the witness or suspect to explain and tell their story-free narrative. Then engage with probing questions around relevant topics. Share questioning between both officers if present to ensure everything is covered. Use spider diagrams to capture accounts.</w:t>
      </w:r>
    </w:p>
    <w:p w:rsidR="00051E7F" w:rsidRDefault="00051E7F" w:rsidP="00B16D59">
      <w:pPr>
        <w:ind w:left="425"/>
      </w:pPr>
      <w:r>
        <w:rPr>
          <w:b/>
        </w:rPr>
        <w:t xml:space="preserve">Conclusion and Challenge- </w:t>
      </w:r>
      <w:r w:rsidRPr="00051E7F">
        <w:t xml:space="preserve">Introduce challenges where appropriate – use s36 and 37 </w:t>
      </w:r>
      <w:r>
        <w:t xml:space="preserve">statements where known facts can be challenged. Avoid aggressive or oppressive questioning styles ( be s76 PACE compliant) Lesson learnt from the past in cases which led to miscarriages of justice such as Maxwell </w:t>
      </w:r>
      <w:proofErr w:type="spellStart"/>
      <w:r>
        <w:t>Confait</w:t>
      </w:r>
      <w:proofErr w:type="spellEnd"/>
      <w:r>
        <w:t xml:space="preserve"> and Lynette White murders in the 1970s and 1980s.</w:t>
      </w:r>
    </w:p>
    <w:p w:rsidR="00B16D59" w:rsidRDefault="00051E7F" w:rsidP="00B16D59">
      <w:pPr>
        <w:ind w:left="425"/>
      </w:pPr>
      <w:r>
        <w:rPr>
          <w:b/>
        </w:rPr>
        <w:t>Evaluation-</w:t>
      </w:r>
      <w:r>
        <w:t xml:space="preserve"> Sum up, ask the subject if they have anything else they want to say or add. Consider a </w:t>
      </w:r>
      <w:proofErr w:type="spellStart"/>
      <w:r>
        <w:t>self evaluation</w:t>
      </w:r>
      <w:proofErr w:type="spellEnd"/>
      <w:r>
        <w:t xml:space="preserve"> of performance from your own perspective.</w:t>
      </w:r>
    </w:p>
    <w:p w:rsidR="00CE1C4F" w:rsidRDefault="00CE1C4F" w:rsidP="00CE1C4F">
      <w:pPr>
        <w:pStyle w:val="ListParagraph"/>
      </w:pPr>
    </w:p>
    <w:p w:rsidR="00686EC6" w:rsidRDefault="00051E7F" w:rsidP="002A6A43">
      <w:pPr>
        <w:pStyle w:val="ListParagraph"/>
        <w:numPr>
          <w:ilvl w:val="0"/>
          <w:numId w:val="1"/>
        </w:numPr>
      </w:pPr>
      <w:r>
        <w:t xml:space="preserve">Coercive or controlling behaviour was identified by Evan Stark. </w:t>
      </w:r>
      <w:r w:rsidR="00686EC6">
        <w:tab/>
        <w:t xml:space="preserve">S 76 of the Serious Crime Act 2015 has provided a statutory definition, identifying, the intended repeated and ongoing behaviour of one </w:t>
      </w:r>
      <w:proofErr w:type="gramStart"/>
      <w:r w:rsidR="00686EC6">
        <w:t>individual  (</w:t>
      </w:r>
      <w:proofErr w:type="gramEnd"/>
      <w:r w:rsidR="00686EC6">
        <w:t>A) towards another (B) being of a coercive and controlling nature with (A)  knowing or ought to know this will cause harm.</w:t>
      </w:r>
    </w:p>
    <w:p w:rsidR="00686EC6" w:rsidRDefault="00686EC6" w:rsidP="00686EC6"/>
    <w:p w:rsidR="0033286C" w:rsidRDefault="00686EC6" w:rsidP="00E4070E">
      <w:pPr>
        <w:pStyle w:val="ListParagraph"/>
        <w:numPr>
          <w:ilvl w:val="0"/>
          <w:numId w:val="1"/>
        </w:numPr>
      </w:pPr>
      <w:r>
        <w:lastRenderedPageBreak/>
        <w:t xml:space="preserve">The offence of Coercive Control is important as it provides a statutory means of criminalising a serious offence which can if prevented early possibly flag up and help prevent further offending behaviour characterised by </w:t>
      </w:r>
      <w:r w:rsidR="0033286C">
        <w:t>domestic violence and serious harm arising. Coercive and controlling behaviour can be viewed as a marker on the path to more serious offences, so this is a positive step forward.</w:t>
      </w:r>
    </w:p>
    <w:p w:rsidR="0033286C" w:rsidRDefault="0033286C" w:rsidP="0033286C">
      <w:pPr>
        <w:pStyle w:val="ListParagraph"/>
      </w:pPr>
    </w:p>
    <w:p w:rsidR="0033286C" w:rsidRDefault="0033286C" w:rsidP="00E4070E">
      <w:pPr>
        <w:pStyle w:val="ListParagraph"/>
        <w:numPr>
          <w:ilvl w:val="0"/>
          <w:numId w:val="1"/>
        </w:numPr>
      </w:pPr>
      <w:r>
        <w:t xml:space="preserve">Provision of </w:t>
      </w:r>
      <w:proofErr w:type="spellStart"/>
      <w:r>
        <w:t>multi agency</w:t>
      </w:r>
      <w:proofErr w:type="spellEnd"/>
      <w:r>
        <w:t xml:space="preserve"> support- MARAC meetings, Social Worker </w:t>
      </w:r>
      <w:proofErr w:type="spellStart"/>
      <w:r>
        <w:t>Enagement</w:t>
      </w:r>
      <w:proofErr w:type="spellEnd"/>
      <w:r>
        <w:t>. Police can issue a Public Protection Order (PPO) as an intervention and remove the child to a place of safety for up to 72 hours under s 46 Children Act 1989.</w:t>
      </w:r>
    </w:p>
    <w:p w:rsidR="0033286C" w:rsidRDefault="0033286C" w:rsidP="0033286C">
      <w:pPr>
        <w:pStyle w:val="ListParagraph"/>
      </w:pPr>
    </w:p>
    <w:p w:rsidR="0033286C" w:rsidRDefault="0033286C" w:rsidP="00E4070E">
      <w:pPr>
        <w:pStyle w:val="ListParagraph"/>
        <w:numPr>
          <w:ilvl w:val="0"/>
          <w:numId w:val="1"/>
        </w:numPr>
      </w:pPr>
      <w:r>
        <w:t>Child Cruelty under s1 of this Act is typified by a person over 16 years of age wilfully neglecting or harming a child under their care or supervision of under 16 years of age.</w:t>
      </w:r>
    </w:p>
    <w:p w:rsidR="0033286C" w:rsidRDefault="0033286C" w:rsidP="0033286C">
      <w:pPr>
        <w:pStyle w:val="ListParagraph"/>
      </w:pPr>
    </w:p>
    <w:p w:rsidR="0033286C" w:rsidRDefault="0033286C" w:rsidP="00973181">
      <w:pPr>
        <w:pStyle w:val="ListParagraph"/>
        <w:numPr>
          <w:ilvl w:val="0"/>
          <w:numId w:val="1"/>
        </w:numPr>
      </w:pPr>
      <w:r>
        <w:t>The model to be used here requires multi agency approach to manage abuse. Investigators should consider MARAC referral and involvement of specialist services such as Social Services, Local authority care provision to assist with interventions. The MARAC conference should cover all agencies who need to direct the relevant support package towards the victim.</w:t>
      </w:r>
    </w:p>
    <w:p w:rsidR="008C6B68" w:rsidRDefault="008C6B68" w:rsidP="008C6B68">
      <w:pPr>
        <w:pStyle w:val="ListParagraph"/>
      </w:pPr>
    </w:p>
    <w:p w:rsidR="008C6B68" w:rsidRDefault="008C6B68" w:rsidP="00FA719F">
      <w:pPr>
        <w:pStyle w:val="ListParagraph"/>
        <w:numPr>
          <w:ilvl w:val="0"/>
          <w:numId w:val="1"/>
        </w:numPr>
      </w:pPr>
      <w:r>
        <w:t>PPN requires offending individual- person on whom notice is served to stay away from their victim. If this order is breached, then the offender may be arrested and removed to custody. The notice serves to provide the victim with safe space and time in order to make arrangements to protect themselves further.</w:t>
      </w:r>
    </w:p>
    <w:p w:rsidR="008C6B68" w:rsidRDefault="008C6B68" w:rsidP="008C6B68">
      <w:pPr>
        <w:pStyle w:val="ListParagraph"/>
      </w:pPr>
    </w:p>
    <w:p w:rsidR="00AF7FD8" w:rsidRDefault="008C6B68" w:rsidP="00FA719F">
      <w:pPr>
        <w:pStyle w:val="ListParagraph"/>
        <w:numPr>
          <w:ilvl w:val="0"/>
          <w:numId w:val="1"/>
        </w:numPr>
      </w:pPr>
      <w:r>
        <w:t xml:space="preserve">A DVPN is a disposal option to prevent the perpetrator from repeating their offending. If the investigation determines this to be appropriate it is an effective means of tying down the aggressor in order to prevent further offending. </w:t>
      </w:r>
    </w:p>
    <w:p w:rsidR="008C6B68" w:rsidRDefault="008C6B68" w:rsidP="008C6B68">
      <w:pPr>
        <w:pStyle w:val="ListParagraph"/>
      </w:pPr>
    </w:p>
    <w:p w:rsidR="008C6B68" w:rsidRDefault="008C6B68" w:rsidP="001344C4">
      <w:pPr>
        <w:pStyle w:val="ListParagraph"/>
        <w:numPr>
          <w:ilvl w:val="0"/>
          <w:numId w:val="1"/>
        </w:numPr>
      </w:pPr>
      <w:r>
        <w:t>Child Sexual Exploitation is the abuse and use of children under the age of 16 for the purposes of criminal benefit- often sexual or financial</w:t>
      </w:r>
      <w:r w:rsidR="001F2A03">
        <w:t xml:space="preserve"> gain</w:t>
      </w:r>
      <w:bookmarkStart w:id="0" w:name="_GoBack"/>
      <w:bookmarkEnd w:id="0"/>
      <w:r>
        <w:t xml:space="preserve"> of the individuals who </w:t>
      </w:r>
      <w:r w:rsidR="001F2A03">
        <w:t>exploit young vulnerable children</w:t>
      </w:r>
      <w:r>
        <w:t xml:space="preserve"> </w:t>
      </w:r>
      <w:r w:rsidR="001F2A03">
        <w:t>.</w:t>
      </w:r>
    </w:p>
    <w:p w:rsidR="008C6B68" w:rsidRDefault="008C6B68" w:rsidP="008C6B68">
      <w:pPr>
        <w:pStyle w:val="ListParagraph"/>
      </w:pPr>
    </w:p>
    <w:p w:rsidR="008C6B68" w:rsidRDefault="008C6B68" w:rsidP="001344C4">
      <w:pPr>
        <w:pStyle w:val="ListParagraph"/>
        <w:numPr>
          <w:ilvl w:val="0"/>
          <w:numId w:val="1"/>
        </w:numPr>
      </w:pPr>
      <w:r>
        <w:t xml:space="preserve">The scheme allows for residents of a neighbourhood to have visibility of any potential sex offender that may be brought to live in the locality </w:t>
      </w:r>
    </w:p>
    <w:p w:rsidR="008C6B68" w:rsidRDefault="008C6B68" w:rsidP="008C6B68">
      <w:pPr>
        <w:pStyle w:val="ListParagraph"/>
      </w:pPr>
    </w:p>
    <w:p w:rsidR="008D498A" w:rsidRDefault="00AF7FD8" w:rsidP="00172019">
      <w:pPr>
        <w:pStyle w:val="ListParagraph"/>
        <w:numPr>
          <w:ilvl w:val="0"/>
          <w:numId w:val="1"/>
        </w:numPr>
      </w:pPr>
      <w:r>
        <w:t xml:space="preserve"> </w:t>
      </w:r>
      <w:r w:rsidR="001F2A03">
        <w:t xml:space="preserve">S74 Sexual Offences Act 2003 defines consent as being given only if the individual has choice, freedom and capacity to give </w:t>
      </w:r>
      <w:proofErr w:type="gramStart"/>
      <w:r w:rsidR="001F2A03">
        <w:t>consent  for</w:t>
      </w:r>
      <w:proofErr w:type="gramEnd"/>
      <w:r w:rsidR="001F2A03">
        <w:t xml:space="preserve"> sex. Anything less than this is not consent. The law under s 74 and s 76 of the Act lays down evidential and                   presumptions which are viewed as guidelines for the court. An example of an evidential presumption would be the fact that an individual may be incapacitated or unable to make consensual a decision due to duress or pressure, if known or evidenced, would rule any act unlawful. </w:t>
      </w:r>
    </w:p>
    <w:p w:rsidR="001F2A03" w:rsidRDefault="001F2A03" w:rsidP="001F2A03">
      <w:pPr>
        <w:pStyle w:val="ListParagraph"/>
      </w:pPr>
    </w:p>
    <w:p w:rsidR="008D498A" w:rsidRPr="008D498A" w:rsidRDefault="001F2A03" w:rsidP="001F2A03">
      <w:pPr>
        <w:ind w:left="425"/>
      </w:pPr>
      <w:r>
        <w:t>25.</w:t>
      </w:r>
      <w:r w:rsidR="008D498A" w:rsidRPr="008D498A">
        <w:t xml:space="preserve"> </w:t>
      </w:r>
      <w:r>
        <w:t xml:space="preserve"> Effectively when and only when full evidence is disclosed or made available and is fully    presentable for a case to be successfully made.</w:t>
      </w:r>
    </w:p>
    <w:p w:rsidR="00A1406E" w:rsidRPr="00A1406E" w:rsidRDefault="00A1406E">
      <w:pPr>
        <w:rPr>
          <w:b/>
        </w:rPr>
      </w:pPr>
    </w:p>
    <w:sectPr w:rsidR="00A1406E" w:rsidRPr="00A1406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CB689B"/>
    <w:multiLevelType w:val="hybridMultilevel"/>
    <w:tmpl w:val="B8063D6E"/>
    <w:lvl w:ilvl="0" w:tplc="08090001">
      <w:start w:val="1"/>
      <w:numFmt w:val="bullet"/>
      <w:lvlText w:val=""/>
      <w:lvlJc w:val="left"/>
      <w:pPr>
        <w:ind w:left="1363" w:hanging="360"/>
      </w:pPr>
      <w:rPr>
        <w:rFonts w:ascii="Symbol" w:hAnsi="Symbol" w:hint="default"/>
      </w:rPr>
    </w:lvl>
    <w:lvl w:ilvl="1" w:tplc="08090003" w:tentative="1">
      <w:start w:val="1"/>
      <w:numFmt w:val="bullet"/>
      <w:lvlText w:val="o"/>
      <w:lvlJc w:val="left"/>
      <w:pPr>
        <w:ind w:left="2083" w:hanging="360"/>
      </w:pPr>
      <w:rPr>
        <w:rFonts w:ascii="Courier New" w:hAnsi="Courier New" w:cs="Courier New" w:hint="default"/>
      </w:rPr>
    </w:lvl>
    <w:lvl w:ilvl="2" w:tplc="08090005" w:tentative="1">
      <w:start w:val="1"/>
      <w:numFmt w:val="bullet"/>
      <w:lvlText w:val=""/>
      <w:lvlJc w:val="left"/>
      <w:pPr>
        <w:ind w:left="2803" w:hanging="360"/>
      </w:pPr>
      <w:rPr>
        <w:rFonts w:ascii="Wingdings" w:hAnsi="Wingdings" w:hint="default"/>
      </w:rPr>
    </w:lvl>
    <w:lvl w:ilvl="3" w:tplc="08090001" w:tentative="1">
      <w:start w:val="1"/>
      <w:numFmt w:val="bullet"/>
      <w:lvlText w:val=""/>
      <w:lvlJc w:val="left"/>
      <w:pPr>
        <w:ind w:left="3523" w:hanging="360"/>
      </w:pPr>
      <w:rPr>
        <w:rFonts w:ascii="Symbol" w:hAnsi="Symbol" w:hint="default"/>
      </w:rPr>
    </w:lvl>
    <w:lvl w:ilvl="4" w:tplc="08090003" w:tentative="1">
      <w:start w:val="1"/>
      <w:numFmt w:val="bullet"/>
      <w:lvlText w:val="o"/>
      <w:lvlJc w:val="left"/>
      <w:pPr>
        <w:ind w:left="4243" w:hanging="360"/>
      </w:pPr>
      <w:rPr>
        <w:rFonts w:ascii="Courier New" w:hAnsi="Courier New" w:cs="Courier New" w:hint="default"/>
      </w:rPr>
    </w:lvl>
    <w:lvl w:ilvl="5" w:tplc="08090005" w:tentative="1">
      <w:start w:val="1"/>
      <w:numFmt w:val="bullet"/>
      <w:lvlText w:val=""/>
      <w:lvlJc w:val="left"/>
      <w:pPr>
        <w:ind w:left="4963" w:hanging="360"/>
      </w:pPr>
      <w:rPr>
        <w:rFonts w:ascii="Wingdings" w:hAnsi="Wingdings" w:hint="default"/>
      </w:rPr>
    </w:lvl>
    <w:lvl w:ilvl="6" w:tplc="08090001" w:tentative="1">
      <w:start w:val="1"/>
      <w:numFmt w:val="bullet"/>
      <w:lvlText w:val=""/>
      <w:lvlJc w:val="left"/>
      <w:pPr>
        <w:ind w:left="5683" w:hanging="360"/>
      </w:pPr>
      <w:rPr>
        <w:rFonts w:ascii="Symbol" w:hAnsi="Symbol" w:hint="default"/>
      </w:rPr>
    </w:lvl>
    <w:lvl w:ilvl="7" w:tplc="08090003" w:tentative="1">
      <w:start w:val="1"/>
      <w:numFmt w:val="bullet"/>
      <w:lvlText w:val="o"/>
      <w:lvlJc w:val="left"/>
      <w:pPr>
        <w:ind w:left="6403" w:hanging="360"/>
      </w:pPr>
      <w:rPr>
        <w:rFonts w:ascii="Courier New" w:hAnsi="Courier New" w:cs="Courier New" w:hint="default"/>
      </w:rPr>
    </w:lvl>
    <w:lvl w:ilvl="8" w:tplc="08090005" w:tentative="1">
      <w:start w:val="1"/>
      <w:numFmt w:val="bullet"/>
      <w:lvlText w:val=""/>
      <w:lvlJc w:val="left"/>
      <w:pPr>
        <w:ind w:left="7123" w:hanging="360"/>
      </w:pPr>
      <w:rPr>
        <w:rFonts w:ascii="Wingdings" w:hAnsi="Wingdings" w:hint="default"/>
      </w:rPr>
    </w:lvl>
  </w:abstractNum>
  <w:abstractNum w:abstractNumId="1" w15:restartNumberingAfterBreak="0">
    <w:nsid w:val="157566B2"/>
    <w:multiLevelType w:val="hybridMultilevel"/>
    <w:tmpl w:val="F5FE9CA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67FA2C4B"/>
    <w:multiLevelType w:val="hybridMultilevel"/>
    <w:tmpl w:val="02F82D1E"/>
    <w:lvl w:ilvl="0" w:tplc="08090001">
      <w:start w:val="1"/>
      <w:numFmt w:val="bullet"/>
      <w:lvlText w:val=""/>
      <w:lvlJc w:val="left"/>
      <w:pPr>
        <w:ind w:left="1363" w:hanging="360"/>
      </w:pPr>
      <w:rPr>
        <w:rFonts w:ascii="Symbol" w:hAnsi="Symbol" w:hint="default"/>
      </w:rPr>
    </w:lvl>
    <w:lvl w:ilvl="1" w:tplc="08090003" w:tentative="1">
      <w:start w:val="1"/>
      <w:numFmt w:val="bullet"/>
      <w:lvlText w:val="o"/>
      <w:lvlJc w:val="left"/>
      <w:pPr>
        <w:ind w:left="2083" w:hanging="360"/>
      </w:pPr>
      <w:rPr>
        <w:rFonts w:ascii="Courier New" w:hAnsi="Courier New" w:cs="Courier New" w:hint="default"/>
      </w:rPr>
    </w:lvl>
    <w:lvl w:ilvl="2" w:tplc="08090005" w:tentative="1">
      <w:start w:val="1"/>
      <w:numFmt w:val="bullet"/>
      <w:lvlText w:val=""/>
      <w:lvlJc w:val="left"/>
      <w:pPr>
        <w:ind w:left="2803" w:hanging="360"/>
      </w:pPr>
      <w:rPr>
        <w:rFonts w:ascii="Wingdings" w:hAnsi="Wingdings" w:hint="default"/>
      </w:rPr>
    </w:lvl>
    <w:lvl w:ilvl="3" w:tplc="08090001" w:tentative="1">
      <w:start w:val="1"/>
      <w:numFmt w:val="bullet"/>
      <w:lvlText w:val=""/>
      <w:lvlJc w:val="left"/>
      <w:pPr>
        <w:ind w:left="3523" w:hanging="360"/>
      </w:pPr>
      <w:rPr>
        <w:rFonts w:ascii="Symbol" w:hAnsi="Symbol" w:hint="default"/>
      </w:rPr>
    </w:lvl>
    <w:lvl w:ilvl="4" w:tplc="08090003" w:tentative="1">
      <w:start w:val="1"/>
      <w:numFmt w:val="bullet"/>
      <w:lvlText w:val="o"/>
      <w:lvlJc w:val="left"/>
      <w:pPr>
        <w:ind w:left="4243" w:hanging="360"/>
      </w:pPr>
      <w:rPr>
        <w:rFonts w:ascii="Courier New" w:hAnsi="Courier New" w:cs="Courier New" w:hint="default"/>
      </w:rPr>
    </w:lvl>
    <w:lvl w:ilvl="5" w:tplc="08090005" w:tentative="1">
      <w:start w:val="1"/>
      <w:numFmt w:val="bullet"/>
      <w:lvlText w:val=""/>
      <w:lvlJc w:val="left"/>
      <w:pPr>
        <w:ind w:left="4963" w:hanging="360"/>
      </w:pPr>
      <w:rPr>
        <w:rFonts w:ascii="Wingdings" w:hAnsi="Wingdings" w:hint="default"/>
      </w:rPr>
    </w:lvl>
    <w:lvl w:ilvl="6" w:tplc="08090001" w:tentative="1">
      <w:start w:val="1"/>
      <w:numFmt w:val="bullet"/>
      <w:lvlText w:val=""/>
      <w:lvlJc w:val="left"/>
      <w:pPr>
        <w:ind w:left="5683" w:hanging="360"/>
      </w:pPr>
      <w:rPr>
        <w:rFonts w:ascii="Symbol" w:hAnsi="Symbol" w:hint="default"/>
      </w:rPr>
    </w:lvl>
    <w:lvl w:ilvl="7" w:tplc="08090003" w:tentative="1">
      <w:start w:val="1"/>
      <w:numFmt w:val="bullet"/>
      <w:lvlText w:val="o"/>
      <w:lvlJc w:val="left"/>
      <w:pPr>
        <w:ind w:left="6403" w:hanging="360"/>
      </w:pPr>
      <w:rPr>
        <w:rFonts w:ascii="Courier New" w:hAnsi="Courier New" w:cs="Courier New" w:hint="default"/>
      </w:rPr>
    </w:lvl>
    <w:lvl w:ilvl="8" w:tplc="08090005" w:tentative="1">
      <w:start w:val="1"/>
      <w:numFmt w:val="bullet"/>
      <w:lvlText w:val=""/>
      <w:lvlJc w:val="left"/>
      <w:pPr>
        <w:ind w:left="7123" w:hanging="360"/>
      </w:pPr>
      <w:rPr>
        <w:rFonts w:ascii="Wingdings" w:hAnsi="Wingdings" w:hint="default"/>
      </w:rPr>
    </w:lvl>
  </w:abstractNum>
  <w:abstractNum w:abstractNumId="3" w15:restartNumberingAfterBreak="0">
    <w:nsid w:val="6F3179C4"/>
    <w:multiLevelType w:val="hybridMultilevel"/>
    <w:tmpl w:val="11484394"/>
    <w:lvl w:ilvl="0" w:tplc="0809000F">
      <w:start w:val="1"/>
      <w:numFmt w:val="decimal"/>
      <w:lvlText w:val="%1."/>
      <w:lvlJc w:val="left"/>
      <w:pPr>
        <w:ind w:left="785" w:hanging="360"/>
      </w:pPr>
      <w:rPr>
        <w:rFonts w:hint="default"/>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3"/>
  </w:num>
  <w:num w:numId="2">
    <w:abstractNumId w:val="2"/>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1406E"/>
    <w:rsid w:val="00051E7F"/>
    <w:rsid w:val="000C19C6"/>
    <w:rsid w:val="001F2A03"/>
    <w:rsid w:val="002B6048"/>
    <w:rsid w:val="0033286C"/>
    <w:rsid w:val="003A3FBB"/>
    <w:rsid w:val="00594D66"/>
    <w:rsid w:val="00686EC6"/>
    <w:rsid w:val="007B74FD"/>
    <w:rsid w:val="008C28F5"/>
    <w:rsid w:val="008C6B68"/>
    <w:rsid w:val="008D498A"/>
    <w:rsid w:val="00A1406E"/>
    <w:rsid w:val="00AF7FD8"/>
    <w:rsid w:val="00B16D59"/>
    <w:rsid w:val="00CE1C4F"/>
    <w:rsid w:val="00F366C2"/>
    <w:rsid w:val="00F9566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7DCED4"/>
  <w15:chartTrackingRefBased/>
  <w15:docId w15:val="{B0289637-C3B7-46CB-A5FF-1BA91B4D40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D498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166</TotalTime>
  <Pages>4</Pages>
  <Words>1399</Words>
  <Characters>7976</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Gwent Police</Company>
  <LinksUpToDate>false</LinksUpToDate>
  <CharactersWithSpaces>9357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Aylen, Anthony</dc:creator>
  <cp:keywords/>
  <dc:description/>
  <cp:lastModifiedBy>Aylen, Anthony</cp:lastModifiedBy>
  <cp:revision>1</cp:revision>
  <dcterms:created xsi:type="dcterms:W3CDTF">2020-06-01T11:45:00Z</dcterms:created>
  <dcterms:modified xsi:type="dcterms:W3CDTF">2020-06-01T14:31:00Z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Protective Marking Classification">
    <vt:lpwstr>OFFICIAL - NO MARKING SWYDDOGOL-DIM ANGEN MARC</vt:lpwstr>
  </property>
  <property fmtid="{D5CDD505-2E9C-101B-9397-08002B2CF9AE}" pid="3" name="Additional Descriptor">
    <vt:lpwstr/>
  </property>
  <property fmtid="{D5CDD505-2E9C-101B-9397-08002B2CF9AE}" pid="4" name="Impact Level">
    <vt:i4>0</vt:i4>
  </property>
</Properties>
</file>