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5" Type="http://schemas.microsoft.com/office/2020/02/relationships/classificationlabels" Target="docMetadata/LabelInfo.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694AE322"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9B3A10">
              <w:rPr>
                <w:rFonts w:ascii="Times New Roman" w:hAnsi="Times New Roman" w:cs="Times New Roman"/>
                <w:b/>
                <w:color w:val="auto"/>
                <w:sz w:val="48"/>
              </w:rPr>
              <w:t xml:space="preserve"> Leah Bowditch</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412482C5"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9B3A10">
              <w:rPr>
                <w:rFonts w:ascii="Times New Roman" w:hAnsi="Times New Roman" w:cs="Times New Roman"/>
                <w:b/>
                <w:color w:val="auto"/>
                <w:sz w:val="48"/>
              </w:rPr>
              <w:t xml:space="preserve"> leah.bowditch@swansea.gov.uk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43772706" w:rsidR="00F927A1" w:rsidRPr="009B3A10" w:rsidRDefault="0085230E" w:rsidP="005D3F07">
            <w:pPr>
              <w:overflowPunct/>
              <w:autoSpaceDE/>
              <w:autoSpaceDN/>
              <w:adjustRightInd/>
              <w:ind w:right="-957"/>
              <w:textAlignment w:val="auto"/>
              <w:rPr>
                <w:rFonts w:ascii="Times New Roman" w:hAnsi="Times New Roman" w:cs="Times New Roman"/>
                <w:b/>
                <w:color w:val="auto"/>
                <w:sz w:val="28"/>
                <w:szCs w:val="2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B3A10">
              <w:rPr>
                <w:rFonts w:ascii="Times New Roman" w:hAnsi="Times New Roman" w:cs="Times New Roman"/>
                <w:b/>
                <w:color w:val="auto"/>
                <w:sz w:val="28"/>
                <w:szCs w:val="28"/>
              </w:rPr>
              <w:t>222</w:t>
            </w:r>
            <w:r w:rsidR="00495986">
              <w:rPr>
                <w:rFonts w:ascii="Times New Roman" w:hAnsi="Times New Roman" w:cs="Times New Roman"/>
                <w:b/>
                <w:color w:val="auto"/>
                <w:sz w:val="28"/>
                <w:szCs w:val="28"/>
              </w:rPr>
              <w:t>139</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t>
      </w:r>
      <w:proofErr w:type="gramStart"/>
      <w:r w:rsidR="005F64AA">
        <w:rPr>
          <w:b/>
          <w:sz w:val="28"/>
          <w:szCs w:val="28"/>
        </w:rPr>
        <w:t>work</w:t>
      </w:r>
      <w:proofErr w:type="gramEnd"/>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shd w:val="clear" w:color="auto" w:fill="auto"/>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FBBCFA0" w14:textId="77777777" w:rsidR="006108C9" w:rsidRDefault="006108C9" w:rsidP="00FF7EBB">
            <w:pPr>
              <w:jc w:val="both"/>
              <w:rPr>
                <w:sz w:val="24"/>
                <w:szCs w:val="24"/>
              </w:rPr>
            </w:pPr>
          </w:p>
          <w:p w14:paraId="1AEC2710" w14:textId="77777777" w:rsidR="003E5B60" w:rsidRPr="003E5B60" w:rsidRDefault="003E5B60" w:rsidP="003E5B60">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3E5B60">
              <w:rPr>
                <w:rFonts w:eastAsiaTheme="minorHAnsi"/>
                <w:color w:val="auto"/>
                <w:kern w:val="2"/>
                <w:sz w:val="24"/>
                <w:szCs w:val="24"/>
                <w:lang w:eastAsia="en-US"/>
                <w14:ligatures w14:val="standardContextual"/>
              </w:rPr>
              <w:t xml:space="preserve">In social work it is pertinent to have a thorough understanding of the laws that govern its practice in both child and adult law.  Across the United Kingdom an adult is defined in law as someone who is eighteen years of age and above (Fostering Network, 2023).   In Wales, the legislative framework that governs both adult and child law is the Social Services and Well-Being (Wales) Act 2014 (SSWBWA).  Part seven of the SSWBWA pertains to safeguarding in Wales and defines an adult at risk as, ‘an adult who is experiencing or is at risk of experiencing abuse or neglect, has needs for care and support, whether or not the local authority is meeting any of those needs, and as a result of those needs is unable to protect himself or herself against the abuse or neglect or risk of it’.  The different types of abuse are defined in the SSWBWA as sexual, psychological, </w:t>
            </w:r>
            <w:proofErr w:type="gramStart"/>
            <w:r w:rsidRPr="003E5B60">
              <w:rPr>
                <w:rFonts w:eastAsiaTheme="minorHAnsi"/>
                <w:color w:val="auto"/>
                <w:kern w:val="2"/>
                <w:sz w:val="24"/>
                <w:szCs w:val="24"/>
                <w:lang w:eastAsia="en-US"/>
                <w14:ligatures w14:val="standardContextual"/>
              </w:rPr>
              <w:t>physical</w:t>
            </w:r>
            <w:proofErr w:type="gramEnd"/>
            <w:r w:rsidRPr="003E5B60">
              <w:rPr>
                <w:rFonts w:eastAsiaTheme="minorHAnsi"/>
                <w:color w:val="auto"/>
                <w:kern w:val="2"/>
                <w:sz w:val="24"/>
                <w:szCs w:val="24"/>
                <w:lang w:eastAsia="en-US"/>
                <w14:ligatures w14:val="standardContextual"/>
              </w:rPr>
              <w:t xml:space="preserve"> or financial or neglect (Wales Safer Communities, 2023).  Social workers can utilise the Wales Safeguarding Procedures 2019 (WSP) for guidance when working to safeguard an adult at risk.</w:t>
            </w:r>
          </w:p>
          <w:p w14:paraId="70A34D47" w14:textId="77777777" w:rsidR="003E5B60" w:rsidRPr="003E5B60" w:rsidRDefault="003E5B60" w:rsidP="003E5B60">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3E5B60">
              <w:rPr>
                <w:rFonts w:eastAsiaTheme="minorHAnsi"/>
                <w:color w:val="auto"/>
                <w:kern w:val="2"/>
                <w:sz w:val="24"/>
                <w:szCs w:val="24"/>
                <w:lang w:eastAsia="en-US"/>
                <w14:ligatures w14:val="standardContextual"/>
              </w:rPr>
              <w:t xml:space="preserve">Section 134 of the SSWBWA set out where in Wales the safeguarding boards will be (Safeguarding Board Areas). Section 135 of the SSWBWA sets out the functions and procedures of the boards. The main objectives of the boards are to ‘protect adults who are experiencing, or at risk of, abuse or neglect and to prevent those adults within its area from becoming at risk of abuse or neglect’. </w:t>
            </w:r>
          </w:p>
          <w:p w14:paraId="43D88D09" w14:textId="77777777" w:rsidR="003E5B60" w:rsidRPr="003E5B60" w:rsidRDefault="003E5B60" w:rsidP="003E5B60">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3E5B60">
              <w:rPr>
                <w:rFonts w:eastAsiaTheme="minorHAnsi"/>
                <w:color w:val="auto"/>
                <w:kern w:val="2"/>
                <w:sz w:val="24"/>
                <w:szCs w:val="24"/>
                <w:lang w:eastAsia="en-US"/>
                <w14:ligatures w14:val="standardContextual"/>
              </w:rPr>
              <w:t xml:space="preserve">It is best practice to gain consent </w:t>
            </w:r>
            <w:proofErr w:type="gramStart"/>
            <w:r w:rsidRPr="003E5B60">
              <w:rPr>
                <w:rFonts w:eastAsiaTheme="minorHAnsi"/>
                <w:color w:val="auto"/>
                <w:kern w:val="2"/>
                <w:sz w:val="24"/>
                <w:szCs w:val="24"/>
                <w:lang w:eastAsia="en-US"/>
                <w14:ligatures w14:val="standardContextual"/>
              </w:rPr>
              <w:t>in order to</w:t>
            </w:r>
            <w:proofErr w:type="gramEnd"/>
            <w:r w:rsidRPr="003E5B60">
              <w:rPr>
                <w:rFonts w:eastAsiaTheme="minorHAnsi"/>
                <w:color w:val="auto"/>
                <w:kern w:val="2"/>
                <w:sz w:val="24"/>
                <w:szCs w:val="24"/>
                <w:lang w:eastAsia="en-US"/>
                <w14:ligatures w14:val="standardContextual"/>
              </w:rPr>
              <w:t xml:space="preserve"> carry out a safeguarding referral and if consent is not given, then the local authority still has a duty to refer, but every effort must be made to gain consent first.  Where consent is not given or cannot be sought, this must be recorded along with the reason.  Examples of these are, they are at risk of significant harm, a criminal offence is taking place, or it pertains to the safety of others.  A practitioner must also consult with the </w:t>
            </w:r>
            <w:r w:rsidRPr="003E5B60">
              <w:rPr>
                <w:rFonts w:eastAsiaTheme="minorHAnsi"/>
                <w:color w:val="auto"/>
                <w:kern w:val="2"/>
                <w:sz w:val="24"/>
                <w:szCs w:val="24"/>
                <w:lang w:eastAsia="en-US"/>
                <w14:ligatures w14:val="standardContextual"/>
              </w:rPr>
              <w:lastRenderedPageBreak/>
              <w:t xml:space="preserve">Local Authority Safeguarding Lead </w:t>
            </w:r>
            <w:proofErr w:type="gramStart"/>
            <w:r w:rsidRPr="003E5B60">
              <w:rPr>
                <w:rFonts w:eastAsiaTheme="minorHAnsi"/>
                <w:color w:val="auto"/>
                <w:kern w:val="2"/>
                <w:sz w:val="24"/>
                <w:szCs w:val="24"/>
                <w:lang w:eastAsia="en-US"/>
                <w14:ligatures w14:val="standardContextual"/>
              </w:rPr>
              <w:t>in order to</w:t>
            </w:r>
            <w:proofErr w:type="gramEnd"/>
            <w:r w:rsidRPr="003E5B60">
              <w:rPr>
                <w:rFonts w:eastAsiaTheme="minorHAnsi"/>
                <w:color w:val="auto"/>
                <w:kern w:val="2"/>
                <w:sz w:val="24"/>
                <w:szCs w:val="24"/>
                <w:lang w:eastAsia="en-US"/>
                <w14:ligatures w14:val="standardContextual"/>
              </w:rPr>
              <w:t xml:space="preserve"> make this decision.  Social workers can then make enquiries under Section 126 of the SSWBWA (WSP, 2019)</w:t>
            </w:r>
          </w:p>
          <w:p w14:paraId="65A77001" w14:textId="77777777" w:rsidR="003E5B60" w:rsidRPr="003E5B60" w:rsidRDefault="003E5B60" w:rsidP="003E5B60">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3E5B60">
              <w:rPr>
                <w:rFonts w:eastAsiaTheme="minorHAnsi"/>
                <w:color w:val="auto"/>
                <w:kern w:val="2"/>
                <w:sz w:val="24"/>
                <w:szCs w:val="24"/>
                <w:lang w:eastAsia="en-US"/>
                <w14:ligatures w14:val="standardContextual"/>
              </w:rPr>
              <w:t xml:space="preserve">Another important piece of legislation is the Mental Capacity Act 2005 (MCA).  The MCA Code of Practice provides statutory guidance to anyone working with adults who may not have capacity.  One of the principles of the MCA states, ‘a person must be assumed to have capacity unless it is established that he lacks capacity’.  Another principle states that ‘any decision made to protect a person must be in their best interests and that any decisions or steps taken, must be the least restrictive’.  A person’s capacity is measured and assessed in their ability to understand, weigh up, </w:t>
            </w:r>
            <w:proofErr w:type="gramStart"/>
            <w:r w:rsidRPr="003E5B60">
              <w:rPr>
                <w:rFonts w:eastAsiaTheme="minorHAnsi"/>
                <w:color w:val="auto"/>
                <w:kern w:val="2"/>
                <w:sz w:val="24"/>
                <w:szCs w:val="24"/>
                <w:lang w:eastAsia="en-US"/>
                <w14:ligatures w14:val="standardContextual"/>
              </w:rPr>
              <w:t>retain</w:t>
            </w:r>
            <w:proofErr w:type="gramEnd"/>
            <w:r w:rsidRPr="003E5B60">
              <w:rPr>
                <w:rFonts w:eastAsiaTheme="minorHAnsi"/>
                <w:color w:val="auto"/>
                <w:kern w:val="2"/>
                <w:sz w:val="24"/>
                <w:szCs w:val="24"/>
                <w:lang w:eastAsia="en-US"/>
                <w14:ligatures w14:val="standardContextual"/>
              </w:rPr>
              <w:t xml:space="preserve"> and communicate their decision (MCA, Code of Practice, 2007).  If an individual is assessed to not have capacity, a best interest’s decision would be made </w:t>
            </w:r>
            <w:proofErr w:type="gramStart"/>
            <w:r w:rsidRPr="003E5B60">
              <w:rPr>
                <w:rFonts w:eastAsiaTheme="minorHAnsi"/>
                <w:color w:val="auto"/>
                <w:kern w:val="2"/>
                <w:sz w:val="24"/>
                <w:szCs w:val="24"/>
                <w:lang w:eastAsia="en-US"/>
                <w14:ligatures w14:val="standardContextual"/>
              </w:rPr>
              <w:t>in order to</w:t>
            </w:r>
            <w:proofErr w:type="gramEnd"/>
            <w:r w:rsidRPr="003E5B60">
              <w:rPr>
                <w:rFonts w:eastAsiaTheme="minorHAnsi"/>
                <w:color w:val="auto"/>
                <w:kern w:val="2"/>
                <w:sz w:val="24"/>
                <w:szCs w:val="24"/>
                <w:lang w:eastAsia="en-US"/>
                <w14:ligatures w14:val="standardContextual"/>
              </w:rPr>
              <w:t xml:space="preserve"> safeguard them (WSP, 2019). </w:t>
            </w:r>
          </w:p>
          <w:p w14:paraId="6380B91E" w14:textId="77777777" w:rsidR="003E5B60" w:rsidRPr="003E5B60" w:rsidRDefault="003E5B60" w:rsidP="003E5B60">
            <w:pPr>
              <w:spacing w:line="276" w:lineRule="auto"/>
              <w:jc w:val="both"/>
              <w:rPr>
                <w:rFonts w:eastAsiaTheme="minorHAnsi"/>
                <w:color w:val="auto"/>
                <w:kern w:val="2"/>
                <w:sz w:val="24"/>
                <w:szCs w:val="24"/>
                <w:lang w:eastAsia="en-US"/>
                <w14:ligatures w14:val="standardContextual"/>
              </w:rPr>
            </w:pPr>
            <w:r w:rsidRPr="003E5B60">
              <w:rPr>
                <w:rFonts w:eastAsiaTheme="minorHAnsi"/>
                <w:color w:val="auto"/>
                <w:kern w:val="2"/>
                <w:sz w:val="24"/>
                <w:szCs w:val="24"/>
                <w:lang w:eastAsia="en-US"/>
                <w14:ligatures w14:val="standardContextual"/>
              </w:rPr>
              <w:t xml:space="preserve">It is also pertinent for social workers to consider the human rights of the adults they are working with.  Article 3 of the Human Rights Act 1998, states that no one shall be subjected to torture or to inhumane or degrading treatment or punishment (Equality and Human Rights Commission, 2023). </w:t>
            </w:r>
          </w:p>
          <w:p w14:paraId="5C4A9D2C" w14:textId="77777777" w:rsidR="003E5B60" w:rsidRPr="003E5B60" w:rsidRDefault="003E5B60" w:rsidP="003E5B6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p>
          <w:p w14:paraId="357C82B1" w14:textId="77777777" w:rsidR="003E5B60" w:rsidRPr="003E5B60" w:rsidRDefault="003E5B60" w:rsidP="003E5B60">
            <w:pPr>
              <w:overflowPunct/>
              <w:autoSpaceDE/>
              <w:autoSpaceDN/>
              <w:adjustRightInd/>
              <w:spacing w:after="160" w:line="259" w:lineRule="auto"/>
              <w:textAlignment w:val="auto"/>
              <w:rPr>
                <w:rFonts w:eastAsiaTheme="minorHAnsi"/>
                <w:color w:val="auto"/>
                <w:kern w:val="2"/>
                <w:sz w:val="24"/>
                <w:szCs w:val="24"/>
                <w:lang w:eastAsia="en-US"/>
                <w14:ligatures w14:val="standardContextual"/>
              </w:rPr>
            </w:pPr>
            <w:r w:rsidRPr="003E5B60">
              <w:rPr>
                <w:rFonts w:eastAsiaTheme="minorHAnsi"/>
                <w:color w:val="auto"/>
                <w:kern w:val="2"/>
                <w:sz w:val="24"/>
                <w:szCs w:val="24"/>
                <w:lang w:eastAsia="en-US"/>
                <w14:ligatures w14:val="standardContextual"/>
              </w:rPr>
              <w:t>545</w:t>
            </w:r>
          </w:p>
          <w:p w14:paraId="24770604" w14:textId="0F4F2ED2" w:rsidR="00977D6E" w:rsidRPr="007049C4" w:rsidRDefault="003E5B60" w:rsidP="007049C4">
            <w:pPr>
              <w:overflowPunct/>
              <w:autoSpaceDE/>
              <w:autoSpaceDN/>
              <w:adjustRightInd/>
              <w:spacing w:after="160" w:line="259" w:lineRule="auto"/>
              <w:textAlignment w:val="auto"/>
              <w:rPr>
                <w:rFonts w:eastAsiaTheme="minorHAnsi"/>
                <w:color w:val="FF0000"/>
                <w:kern w:val="2"/>
                <w:sz w:val="24"/>
                <w:szCs w:val="24"/>
                <w:lang w:eastAsia="en-US"/>
                <w14:ligatures w14:val="standardContextual"/>
              </w:rPr>
            </w:pPr>
            <w:r w:rsidRPr="003E5B60">
              <w:rPr>
                <w:rFonts w:eastAsiaTheme="minorHAnsi"/>
                <w:color w:val="FF0000"/>
                <w:kern w:val="2"/>
                <w:sz w:val="24"/>
                <w:szCs w:val="24"/>
                <w:lang w:eastAsia="en-US"/>
                <w14:ligatures w14:val="standardContextual"/>
              </w:rPr>
              <w:t xml:space="preserve"> </w:t>
            </w: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shd w:val="clear" w:color="auto" w:fill="auto"/>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t>
            </w:r>
            <w:proofErr w:type="gramStart"/>
            <w:r w:rsidRPr="006108C9">
              <w:rPr>
                <w:sz w:val="24"/>
                <w:szCs w:val="24"/>
              </w:rPr>
              <w:t>work</w:t>
            </w:r>
            <w:proofErr w:type="gramEnd"/>
          </w:p>
          <w:p w14:paraId="4CABE426" w14:textId="77777777" w:rsidR="00FC0334" w:rsidRDefault="00FC0334" w:rsidP="00FC0334">
            <w:pPr>
              <w:jc w:val="both"/>
              <w:rPr>
                <w:sz w:val="24"/>
                <w:szCs w:val="24"/>
              </w:rPr>
            </w:pPr>
          </w:p>
          <w:p w14:paraId="5799F39A" w14:textId="77777777" w:rsidR="00C07AF2" w:rsidRPr="00C07AF2" w:rsidRDefault="00C07AF2" w:rsidP="00C07AF2">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C07AF2">
              <w:rPr>
                <w:rFonts w:eastAsiaTheme="minorHAnsi"/>
                <w:color w:val="auto"/>
                <w:kern w:val="2"/>
                <w:sz w:val="24"/>
                <w:szCs w:val="24"/>
                <w:lang w:eastAsia="en-US"/>
                <w14:ligatures w14:val="standardContextual"/>
              </w:rPr>
              <w:t xml:space="preserve">Safeguarding is everyone’s business and must be given equal weight when assessing both children and adults (Local Government Association, 2023).  However, there are differences in which the laws can be interpreted and acted upon in child and adult law.  Safeguarding laws in Wales, in relation to children and adults are set out in the Social Services and Well-being Wales Act (2014) (SWBWA) and Section 47 of the Children Act (1989), for children who have suffered or are likely to suffer significant harm.  If the individual is under the age of eighteen, then they are by law deemed a child.  A child, under law, is deemed not to have the capacity to make decisions for themselves when the matter is a safeguarding one.  </w:t>
            </w:r>
          </w:p>
          <w:p w14:paraId="48233C21" w14:textId="77777777" w:rsidR="00C07AF2" w:rsidRPr="00C07AF2" w:rsidRDefault="00C07AF2" w:rsidP="00C07AF2">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C07AF2">
              <w:rPr>
                <w:rFonts w:eastAsiaTheme="minorHAnsi"/>
                <w:color w:val="auto"/>
                <w:kern w:val="2"/>
                <w:sz w:val="24"/>
                <w:szCs w:val="24"/>
                <w:lang w:eastAsia="en-US"/>
                <w14:ligatures w14:val="standardContextual"/>
              </w:rPr>
              <w:t xml:space="preserve">However, instances whereby, a child is deemed mature enough to make their own decisions, then professionals can utilise Gillick Competence and Fraser guidelines, which applies to children under sixteen.  The term ‘Gillick Competence’ relates to a case before the High Court in the 1980’s, whereby the child was found to be mature enough to make the decision.  From </w:t>
            </w:r>
            <w:r w:rsidRPr="00C07AF2">
              <w:rPr>
                <w:rFonts w:eastAsiaTheme="minorHAnsi"/>
                <w:color w:val="auto"/>
                <w:kern w:val="2"/>
                <w:sz w:val="24"/>
                <w:szCs w:val="24"/>
                <w:lang w:eastAsia="en-US"/>
                <w14:ligatures w14:val="standardContextual"/>
              </w:rPr>
              <w:lastRenderedPageBreak/>
              <w:t xml:space="preserve">the very same court case, the Fraser Guidelines were produced.  The practitioner must consider the Fraser Guidelines to decide if a child is mature enough, but balance this against the risk of significant harm.  The child’s safety, as stated in the Children Act 1989, must be paramount and will supersede the child’s wishes (Safeguarding Hub, 2023).   </w:t>
            </w:r>
          </w:p>
          <w:p w14:paraId="0AC68805" w14:textId="55D8EEC1" w:rsidR="00C07AF2" w:rsidRPr="00C07AF2" w:rsidRDefault="00C07AF2" w:rsidP="00C07AF2">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C07AF2">
              <w:rPr>
                <w:rFonts w:eastAsiaTheme="minorHAnsi"/>
                <w:color w:val="auto"/>
                <w:kern w:val="2"/>
                <w:sz w:val="24"/>
                <w:szCs w:val="24"/>
                <w:lang w:eastAsia="en-US"/>
                <w14:ligatures w14:val="standardContextual"/>
              </w:rPr>
              <w:t xml:space="preserve">An adult is any individual who is eighteen and above and under law, is deemed to have capacity to make decisions, even unwise decisions.  </w:t>
            </w:r>
            <w:r w:rsidRPr="00C07AF2">
              <w:rPr>
                <w:rFonts w:eastAsia="Calibri"/>
                <w:color w:val="auto"/>
                <w:kern w:val="2"/>
                <w:sz w:val="24"/>
                <w:szCs w:val="24"/>
                <w:lang w:eastAsia="en-US"/>
                <w14:ligatures w14:val="standardContextual"/>
              </w:rPr>
              <w:t xml:space="preserve">The Wales Safeguarding Procedures (2019) explains what needs to be considered when assessing an adult at risk and states all enquiries should be person-centred ensuring control in their decision-making.  </w:t>
            </w:r>
            <w:r w:rsidRPr="00C07AF2">
              <w:rPr>
                <w:rFonts w:eastAsiaTheme="minorHAnsi"/>
                <w:color w:val="auto"/>
                <w:kern w:val="2"/>
                <w:sz w:val="24"/>
                <w:szCs w:val="24"/>
                <w:lang w:eastAsia="en-US"/>
                <w14:ligatures w14:val="standardContextual"/>
              </w:rPr>
              <w:t xml:space="preserve">When an adult has been assessed under the Mental capacity Act (2005) (MCA), to not have capacity, steps can be taken to protect them under the safeguarding laws and regulations.  If the adult does have capacity, then this can bring up tensions and dilemmas for professionals who wish to protect them from harm but </w:t>
            </w:r>
            <w:proofErr w:type="gramStart"/>
            <w:r w:rsidRPr="00C07AF2">
              <w:rPr>
                <w:rFonts w:eastAsiaTheme="minorHAnsi"/>
                <w:color w:val="auto"/>
                <w:kern w:val="2"/>
                <w:sz w:val="24"/>
                <w:szCs w:val="24"/>
                <w:lang w:eastAsia="en-US"/>
                <w14:ligatures w14:val="standardContextual"/>
              </w:rPr>
              <w:t>have to</w:t>
            </w:r>
            <w:proofErr w:type="gramEnd"/>
            <w:r w:rsidRPr="00C07AF2">
              <w:rPr>
                <w:rFonts w:eastAsiaTheme="minorHAnsi"/>
                <w:color w:val="auto"/>
                <w:kern w:val="2"/>
                <w:sz w:val="24"/>
                <w:szCs w:val="24"/>
                <w:lang w:eastAsia="en-US"/>
                <w14:ligatures w14:val="standardContextual"/>
              </w:rPr>
              <w:t xml:space="preserve"> respect their right to make choices.  Steps must still be taken to reduce the harm, if the person is at risk of serious harm or it pertains to the safety and wellbeing of others (Wales Safeguarding Procedures, 2019).  The MCA is also applicable to </w:t>
            </w:r>
            <w:r w:rsidRPr="00C07AF2">
              <w:rPr>
                <w:rFonts w:eastAsiaTheme="minorHAnsi"/>
                <w:color w:val="auto"/>
                <w:kern w:val="2"/>
                <w:sz w:val="24"/>
                <w:szCs w:val="24"/>
                <w:lang w:eastAsia="en-US"/>
                <w14:ligatures w14:val="standardContextual"/>
              </w:rPr>
              <w:t>sixteen- and seventeen-year</w:t>
            </w:r>
            <w:r w:rsidRPr="00C07AF2">
              <w:rPr>
                <w:rFonts w:eastAsiaTheme="minorHAnsi"/>
                <w:color w:val="auto"/>
                <w:kern w:val="2"/>
                <w:sz w:val="24"/>
                <w:szCs w:val="24"/>
                <w:lang w:eastAsia="en-US"/>
                <w14:ligatures w14:val="standardContextual"/>
              </w:rPr>
              <w:t xml:space="preserve"> </w:t>
            </w:r>
            <w:r w:rsidRPr="00C07AF2">
              <w:rPr>
                <w:rFonts w:eastAsiaTheme="minorHAnsi"/>
                <w:color w:val="auto"/>
                <w:kern w:val="2"/>
                <w:sz w:val="24"/>
                <w:szCs w:val="24"/>
                <w:lang w:eastAsia="en-US"/>
                <w14:ligatures w14:val="standardContextual"/>
              </w:rPr>
              <w:t>old</w:t>
            </w:r>
            <w:r>
              <w:rPr>
                <w:rFonts w:eastAsiaTheme="minorHAnsi"/>
                <w:color w:val="auto"/>
                <w:kern w:val="2"/>
                <w:sz w:val="24"/>
                <w:szCs w:val="24"/>
                <w:lang w:eastAsia="en-US"/>
                <w14:ligatures w14:val="standardContextual"/>
              </w:rPr>
              <w:t>’s</w:t>
            </w:r>
            <w:r w:rsidRPr="00C07AF2">
              <w:rPr>
                <w:rFonts w:eastAsiaTheme="minorHAnsi"/>
                <w:color w:val="auto"/>
                <w:kern w:val="2"/>
                <w:sz w:val="24"/>
                <w:szCs w:val="24"/>
                <w:lang w:eastAsia="en-US"/>
                <w14:ligatures w14:val="standardContextual"/>
              </w:rPr>
              <w:t xml:space="preserve"> who lack capacity to consent (NHS, 2024).  Another difference is that of financial abuse, this category of abuse is stated in the SSWBWA, in relation to adults and not children.  However, it can be argued that children with disabilities, who receive extra payments, could be at risk of financial abuse by their caregivers.  </w:t>
            </w:r>
          </w:p>
          <w:p w14:paraId="47744561" w14:textId="2B9C2A27" w:rsidR="007049C4" w:rsidRDefault="00C07AF2" w:rsidP="00C07AF2">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r w:rsidRPr="00C07AF2">
              <w:rPr>
                <w:rFonts w:eastAsiaTheme="minorHAnsi"/>
                <w:color w:val="auto"/>
                <w:kern w:val="2"/>
                <w:sz w:val="24"/>
                <w:szCs w:val="24"/>
                <w:lang w:eastAsia="en-US"/>
                <w14:ligatures w14:val="standardContextual"/>
              </w:rPr>
              <w:t>44</w:t>
            </w:r>
            <w:r>
              <w:rPr>
                <w:rFonts w:eastAsiaTheme="minorHAnsi"/>
                <w:color w:val="auto"/>
                <w:kern w:val="2"/>
                <w:sz w:val="24"/>
                <w:szCs w:val="24"/>
                <w:lang w:eastAsia="en-US"/>
                <w14:ligatures w14:val="standardContextual"/>
              </w:rPr>
              <w:t>6</w:t>
            </w:r>
          </w:p>
          <w:p w14:paraId="55B795FD" w14:textId="77777777" w:rsidR="00C07AF2" w:rsidRPr="00C07AF2" w:rsidRDefault="00C07AF2" w:rsidP="00C07AF2">
            <w:pPr>
              <w:overflowPunct/>
              <w:autoSpaceDE/>
              <w:autoSpaceDN/>
              <w:adjustRightInd/>
              <w:spacing w:after="160" w:line="276" w:lineRule="auto"/>
              <w:jc w:val="both"/>
              <w:textAlignment w:val="auto"/>
              <w:rPr>
                <w:rFonts w:eastAsiaTheme="minorHAnsi"/>
                <w:color w:val="auto"/>
                <w:kern w:val="2"/>
                <w:sz w:val="24"/>
                <w:szCs w:val="24"/>
                <w:lang w:eastAsia="en-US"/>
                <w14:ligatures w14:val="standardContextual"/>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276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0F13"/>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52A"/>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B60"/>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5986"/>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2EF9"/>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49C4"/>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77D6E"/>
    <w:rsid w:val="0098262C"/>
    <w:rsid w:val="0098427C"/>
    <w:rsid w:val="00986B43"/>
    <w:rsid w:val="00986C0B"/>
    <w:rsid w:val="00986D46"/>
    <w:rsid w:val="00991FDA"/>
    <w:rsid w:val="00992ACA"/>
    <w:rsid w:val="009A5F3B"/>
    <w:rsid w:val="009A5F79"/>
    <w:rsid w:val="009A6F87"/>
    <w:rsid w:val="009B0B61"/>
    <w:rsid w:val="009B28C0"/>
    <w:rsid w:val="009B3178"/>
    <w:rsid w:val="009B3A10"/>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07AF2"/>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4543"/>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1062"/>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B6AFA"/>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2769"/>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Metadata/LabelInfo.xml><?xml version="1.0" encoding="utf-8"?>
<clbl:labelList xmlns:clbl="http://schemas.microsoft.com/office/2020/mipLabelMetadata">
  <clbl:label id="{4c2e0b76-d452-4d35-8392-187fac002efe}" enabled="0" method="" siteId="{4c2e0b76-d452-4d35-8392-187fac002efe}" removed="1"/>
</clbl:labelList>
</file>

<file path=docProps/app.xml><?xml version="1.0" encoding="utf-8"?>
<Properties xmlns="http://schemas.openxmlformats.org/officeDocument/2006/extended-properties" xmlns:vt="http://schemas.openxmlformats.org/officeDocument/2006/docPropsVTypes">
  <Template>Normal</Template>
  <TotalTime>3</TotalTime>
  <Pages>4</Pages>
  <Words>1078</Words>
  <Characters>6146</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Leah Bowditch</cp:lastModifiedBy>
  <cp:revision>2</cp:revision>
  <cp:lastPrinted>2020-02-11T19:20:00Z</cp:lastPrinted>
  <dcterms:created xsi:type="dcterms:W3CDTF">2024-03-10T19:09:00Z</dcterms:created>
  <dcterms:modified xsi:type="dcterms:W3CDTF">2024-03-10T19:09:00Z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