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2C76AC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82D49">
              <w:rPr>
                <w:b/>
                <w:color w:val="auto"/>
                <w:sz w:val="32"/>
              </w:rPr>
              <w:t>Joanie-Marie Woods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6DD89283"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9C57AF">
              <w:rPr>
                <w:b/>
                <w:color w:val="auto"/>
                <w:sz w:val="32"/>
              </w:rPr>
              <w:t xml:space="preserve"> 2245751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6A0785F" w14:textId="77777777" w:rsidR="001C70D2" w:rsidRDefault="001C70D2" w:rsidP="00E6298B">
      <w:pPr>
        <w:overflowPunct/>
        <w:autoSpaceDE/>
        <w:autoSpaceDN/>
        <w:adjustRightInd/>
        <w:ind w:right="107"/>
        <w:textAlignment w:val="auto"/>
        <w:rPr>
          <w:b/>
          <w:color w:val="auto"/>
          <w:sz w:val="36"/>
        </w:rPr>
      </w:pPr>
    </w:p>
    <w:p w14:paraId="3A30E4E2" w14:textId="77777777" w:rsidR="001C70D2" w:rsidRPr="00E7374A" w:rsidRDefault="001C70D2" w:rsidP="00E6298B">
      <w:pPr>
        <w:overflowPunct/>
        <w:autoSpaceDE/>
        <w:autoSpaceDN/>
        <w:adjustRightInd/>
        <w:ind w:right="107"/>
        <w:textAlignment w:val="auto"/>
        <w:rPr>
          <w:b/>
          <w:color w:val="auto"/>
          <w:sz w:val="36"/>
        </w:rPr>
      </w:pP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lastRenderedPageBreak/>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C7A52F3" w14:textId="77777777" w:rsidR="00085514" w:rsidRDefault="00085514" w:rsidP="00085514">
      <w:pPr>
        <w:jc w:val="both"/>
        <w:rPr>
          <w:color w:val="auto"/>
          <w:sz w:val="24"/>
          <w:szCs w:val="24"/>
        </w:rPr>
      </w:pPr>
      <w:r>
        <w:rPr>
          <w:color w:val="auto"/>
          <w:sz w:val="24"/>
          <w:szCs w:val="24"/>
        </w:rPr>
        <w:t>Starting a new job within South Wales Police was inevitably going to come with an element of stress. However, finding coping mechanisms to deal with my stress factors and building resilience is vital for the role and career in which I am about to embark upon. Throughout this assignment, I will be discussing how I have dealt with my stresses throughout the last 6 months and how certain activities and mindfulness has helped me reduce my stress levels. As I have been asked to reflect on my time in initial training, I have chosen to use Gibbs’ Reflective Cycle (Gibbs G, 1988) to refer back to in order to assist me in discussing and comparing my coping strategies.</w:t>
      </w:r>
    </w:p>
    <w:p w14:paraId="7BCD3779" w14:textId="77777777" w:rsidR="00085514" w:rsidRDefault="00085514" w:rsidP="00085514">
      <w:pPr>
        <w:jc w:val="both"/>
        <w:rPr>
          <w:color w:val="auto"/>
          <w:sz w:val="24"/>
          <w:szCs w:val="24"/>
        </w:rPr>
      </w:pPr>
    </w:p>
    <w:p w14:paraId="0AD61F43" w14:textId="77777777" w:rsidR="00085514" w:rsidRDefault="00085514" w:rsidP="00085514">
      <w:pPr>
        <w:jc w:val="both"/>
        <w:rPr>
          <w:color w:val="auto"/>
          <w:sz w:val="24"/>
          <w:szCs w:val="24"/>
        </w:rPr>
      </w:pPr>
    </w:p>
    <w:p w14:paraId="5379FC05" w14:textId="77777777" w:rsidR="00085514" w:rsidRDefault="00085514" w:rsidP="00085514">
      <w:pPr>
        <w:jc w:val="both"/>
        <w:rPr>
          <w:color w:val="auto"/>
          <w:sz w:val="24"/>
          <w:szCs w:val="24"/>
        </w:rPr>
      </w:pPr>
      <w:r>
        <w:rPr>
          <w:color w:val="auto"/>
          <w:sz w:val="24"/>
          <w:szCs w:val="24"/>
        </w:rPr>
        <w:t xml:space="preserve">Firstly, I am going to address what stress is. It is important to identify what it is and how it can impact a person’s wellbeing before I discuss how I have managed my own. Research by the World Health Organisation (WHO) have shown that stress can affect every person at some point in their lives, but it’s what we do about our stress levels is what is important to leading a healthy lifestyle and balancing our wellbeing.  Stress has been defined by the World Health Organization as: </w:t>
      </w:r>
    </w:p>
    <w:p w14:paraId="09C62BE1" w14:textId="77777777" w:rsidR="00085514" w:rsidRDefault="00085514" w:rsidP="00085514">
      <w:pPr>
        <w:jc w:val="right"/>
      </w:pPr>
      <w:r>
        <w:rPr>
          <w:i/>
          <w:iCs/>
          <w:color w:val="auto"/>
          <w:sz w:val="24"/>
          <w:szCs w:val="24"/>
          <w:shd w:val="clear" w:color="auto" w:fill="FFFFFF"/>
        </w:rPr>
        <w:t>‘’a state of worry or mental tension caused by a difficult situation. Stress is a natural human response that prompts us to address challenges and threats in our lives. The way we respond to stress, however, makes a big difference to our overall well-being.’’</w:t>
      </w:r>
      <w:r>
        <w:rPr>
          <w:color w:val="auto"/>
          <w:sz w:val="24"/>
          <w:szCs w:val="24"/>
          <w:shd w:val="clear" w:color="auto" w:fill="FFFFFF"/>
        </w:rPr>
        <w:t xml:space="preserve"> (WHO, 2023).</w:t>
      </w:r>
    </w:p>
    <w:p w14:paraId="128E04F9" w14:textId="77777777" w:rsidR="00085514" w:rsidRDefault="00085514" w:rsidP="00085514">
      <w:pPr>
        <w:jc w:val="both"/>
        <w:rPr>
          <w:color w:val="auto"/>
          <w:sz w:val="24"/>
          <w:szCs w:val="24"/>
          <w:shd w:val="clear" w:color="auto" w:fill="FFFFFF"/>
        </w:rPr>
      </w:pPr>
      <w:r>
        <w:rPr>
          <w:color w:val="auto"/>
          <w:sz w:val="24"/>
          <w:szCs w:val="24"/>
          <w:shd w:val="clear" w:color="auto" w:fill="FFFFFF"/>
        </w:rPr>
        <w:t xml:space="preserve">It is vital that within policing, officers should commit time to themselves in order to participate in activities that reduces their stress levels. Research by Purba and Demou (2019) found that the leading factor in officers taking leave from work is due to the amount of stress they are under, thus leading to their mental wellbeing left neglected. Purba and Demou (2019) have noted that policing in itself carries high stressors. Due to officers being repeatedly exposed to danger and aggressive or hostile environments, it is essential that they undertake in what helps destress and relaxes them in order to function effectively and efficiently for their own safety as well as the safety of the public. </w:t>
      </w:r>
    </w:p>
    <w:p w14:paraId="6D617AB4" w14:textId="77777777" w:rsidR="00085514" w:rsidRDefault="00085514" w:rsidP="00085514">
      <w:pPr>
        <w:rPr>
          <w:color w:val="auto"/>
        </w:rPr>
      </w:pPr>
    </w:p>
    <w:p w14:paraId="4FAD38B6" w14:textId="77777777" w:rsidR="00085514" w:rsidRDefault="00085514" w:rsidP="00085514">
      <w:pPr>
        <w:rPr>
          <w:color w:val="auto"/>
        </w:rPr>
      </w:pPr>
    </w:p>
    <w:p w14:paraId="4365788E" w14:textId="77777777" w:rsidR="00085514" w:rsidRDefault="00085514" w:rsidP="00085514">
      <w:pPr>
        <w:jc w:val="both"/>
        <w:rPr>
          <w:color w:val="auto"/>
          <w:sz w:val="24"/>
          <w:szCs w:val="24"/>
        </w:rPr>
      </w:pPr>
      <w:r>
        <w:rPr>
          <w:color w:val="auto"/>
          <w:sz w:val="24"/>
          <w:szCs w:val="24"/>
        </w:rPr>
        <w:t xml:space="preserve">As previously mentioned, I will be using Gibbs’ Reflective cycle (Gibbs G, 1988) to illustrate my coping strategies. My first approach to finding stress levers was adopting an exercise routine that fit around my work - life balance. I felt this was particularly important as exams are not my strongest suit. In the lead up to examinations, I do become anxious, thus requiring </w:t>
      </w:r>
      <w:r>
        <w:rPr>
          <w:color w:val="auto"/>
          <w:sz w:val="24"/>
          <w:szCs w:val="24"/>
        </w:rPr>
        <w:lastRenderedPageBreak/>
        <w:t>coping strategy to get me through this time. I had a range of exercises which would have a positive impact on both my career such as strength and conditioning by visiting the gym to undertake weightlifting two to three times a week. I have also undertaken exercises such as yoga and Pilates which increases flexibility and core strength. In addition, yoga and Pilates has proven results that when practiced, it improves mindfulness having a calming affect which I have found therapeutic and relaxing throughout the 6 months of training. Research conducted by Bergen-Cico D, Cheon S, et al (2013) has shown that individuals who engage with mindfulness are more likely to be relieved from symptoms of stress, anxiety, and depression. Carmody J, Baer A, (2009) and Shapiro SL, Schwartz ER, Bonner G (1998) corroborate Bergen-Cico D, Cheon S, et al (2013) academics by explaining that engagement with mindfulness can have benefits which will give people compassion towards others, which is a vital component to have in a policing career as well as being empathetic towards others. Communications skills are also thought to be significantly increased, which again is vital within my new career. I have found that by exercising regularly and undertaking mindfulness sessions, I have been able to engage with my academic work more. I believe the reasons for my successful exam results during my initial training is for the time I dedicated into reducing my stress levels leaving me being able to focus on the competencies I needed to complete since being attested and before going on to division.</w:t>
      </w:r>
    </w:p>
    <w:p w14:paraId="26CEC2A5" w14:textId="77777777" w:rsidR="00085514" w:rsidRDefault="00085514" w:rsidP="00085514">
      <w:pPr>
        <w:rPr>
          <w:color w:val="auto"/>
        </w:rPr>
      </w:pPr>
    </w:p>
    <w:p w14:paraId="650DEC5C" w14:textId="77777777" w:rsidR="00085514" w:rsidRDefault="00085514" w:rsidP="00085514">
      <w:pPr>
        <w:jc w:val="both"/>
        <w:rPr>
          <w:color w:val="auto"/>
        </w:rPr>
      </w:pPr>
    </w:p>
    <w:p w14:paraId="62317D01" w14:textId="77777777" w:rsidR="00085514" w:rsidRDefault="00085514" w:rsidP="00085514">
      <w:pPr>
        <w:jc w:val="both"/>
      </w:pPr>
      <w:r>
        <w:rPr>
          <w:color w:val="auto"/>
          <w:sz w:val="24"/>
          <w:szCs w:val="24"/>
        </w:rPr>
        <w:t xml:space="preserve">My final coping strategy involves experimentation. I found that during my time in initial training I have gained the confidence to undertake new activities which I otherwise wouldn’t have done previously. During a team building day, we decided upon a day of paddleboarding which is something I have never considered participating in before. However, there was great sense of enjoyment and fulfilment. Being a beginner, it was a new fun and exciting challenge. Since then, I have gotten involved with other forms of water activities such as body boarding which alongside paddleboarding have been invigorative. Both activities have had both a feel-good factor about them and have played a part in reducing stress levels during my time in training. </w:t>
      </w:r>
      <w:r>
        <w:rPr>
          <w:sz w:val="24"/>
          <w:szCs w:val="24"/>
        </w:rPr>
        <w:t>Djärv T, Wikman A, Johar A, Lagergren P, (2013) have discovered during their research of Stand Up Paddleboarding (SUP) that there are significant health benefits both mentally and physiologically. The research suggests that due to the relaxing nature of the exercise, it is proven to improve rest and sleep patterns, which during stressful periods, such as preparing for exams, is a great positive and increases concentration levels. In addition, Djärv T, et al (2013) have stated that even though it wasn’t included in their study, there were reports of blood pressure being reduced. The research has also shown additional beneficial factors such as increased concentration levels as well as better memory. I have personally discovered that while I was undertaking my academic work during my initial training, exercise dramatically increased my concentration levels which allowed me to learn and fully understand the laws I need to be able to function both effectively and efficiently as a police officer. I have built resilience during the initial training phase; therefore, I do believe that my normal routine and trying new activities has played a massive role in reducing stress levels to achieve and maintain high results.</w:t>
      </w:r>
    </w:p>
    <w:p w14:paraId="1AF92B5D" w14:textId="77777777" w:rsidR="00085514" w:rsidRDefault="00085514" w:rsidP="00085514">
      <w:pPr>
        <w:jc w:val="both"/>
        <w:rPr>
          <w:color w:val="auto"/>
          <w:sz w:val="24"/>
          <w:szCs w:val="24"/>
        </w:rPr>
      </w:pPr>
    </w:p>
    <w:p w14:paraId="1F958BAC" w14:textId="74E1F176" w:rsidR="00085514" w:rsidRPr="002B41CE" w:rsidRDefault="00085514" w:rsidP="00085514">
      <w:pPr>
        <w:jc w:val="both"/>
        <w:rPr>
          <w:color w:val="auto"/>
          <w:sz w:val="24"/>
          <w:szCs w:val="24"/>
        </w:rPr>
      </w:pPr>
      <w:r w:rsidRPr="002B41CE">
        <w:rPr>
          <w:color w:val="auto"/>
          <w:sz w:val="24"/>
          <w:szCs w:val="24"/>
        </w:rPr>
        <w:t>To conclude, since being attested as a police officer, I have found that mindfulness, exercise, and experimentation have played a crucial role in reducing my stress levels and building resilience. I have become empowered by using all the negative energy I built up in stress by putting it into activities I enjoy and turn into positive energy which has been hugely beneficial. These strategies I know I will be taking forward into my new career to maintain a happy and healthy work-life balance.</w:t>
      </w:r>
    </w:p>
    <w:p w14:paraId="471C0613" w14:textId="77777777" w:rsidR="00085514" w:rsidRDefault="00085514" w:rsidP="00085514">
      <w:pPr>
        <w:jc w:val="both"/>
      </w:pPr>
    </w:p>
    <w:p w14:paraId="1921D069" w14:textId="77777777" w:rsidR="00085514" w:rsidRPr="007952CD" w:rsidRDefault="00085514" w:rsidP="00085514">
      <w:pPr>
        <w:rPr>
          <w:b/>
          <w:bCs/>
          <w:sz w:val="24"/>
          <w:szCs w:val="24"/>
          <w:u w:val="single"/>
        </w:rPr>
      </w:pPr>
      <w:r w:rsidRPr="007952CD">
        <w:rPr>
          <w:b/>
          <w:bCs/>
          <w:sz w:val="24"/>
          <w:szCs w:val="24"/>
          <w:u w:val="single"/>
        </w:rPr>
        <w:t>Word Count 1087</w:t>
      </w:r>
    </w:p>
    <w:p w14:paraId="3D4900DE" w14:textId="77777777" w:rsidR="000F7ECD" w:rsidRPr="00270EEB" w:rsidRDefault="000F7ECD" w:rsidP="00C84559">
      <w:pPr>
        <w:ind w:right="107"/>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085514">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9653C47" w14:textId="77777777" w:rsidR="001F1BB1" w:rsidRDefault="001F1BB1" w:rsidP="001F1BB1">
      <w:pPr>
        <w:ind w:right="107"/>
        <w:jc w:val="both"/>
      </w:pPr>
      <w:r>
        <w:rPr>
          <w:bCs/>
          <w:sz w:val="24"/>
          <w:szCs w:val="24"/>
        </w:rPr>
        <w:t>During my second set on tutorship, I have attended a call of a domestic common assault in which the son has assaulted both his parents. I played a significant role in this case with both the victims and the offender which has involved conflict, stemming from a history of mental health issues. Throughout, I will focus on the policing incident and reflect upon how I managed the scenario and kept every person safe. There were multiple stages to this incident as it also involves the offender having Mental Health problems, the involvement of domestic violence and how I safeguarded in line with force policy. To highlight and reflect upon my practices I will be using the drama triangle which was created by Karpman (1968) which aims to understand how interpersonal relationships can be hostile. The drama triangle as explained by Le Guernic (2004) is set up to look at the ‘’</w:t>
      </w:r>
      <w:r>
        <w:rPr>
          <w:bCs/>
          <w:i/>
          <w:iCs/>
          <w:sz w:val="24"/>
          <w:szCs w:val="24"/>
        </w:rPr>
        <w:t>persecutor, the rescuer, and the victim’’.</w:t>
      </w:r>
      <w:r>
        <w:rPr>
          <w:bCs/>
          <w:sz w:val="24"/>
          <w:szCs w:val="24"/>
        </w:rPr>
        <w:t xml:space="preserve"> </w:t>
      </w:r>
    </w:p>
    <w:p w14:paraId="2BC639AC" w14:textId="77777777" w:rsidR="001F1BB1" w:rsidRDefault="001F1BB1" w:rsidP="001F1BB1">
      <w:pPr>
        <w:ind w:right="107"/>
        <w:jc w:val="both"/>
        <w:rPr>
          <w:bCs/>
          <w:sz w:val="24"/>
          <w:szCs w:val="24"/>
        </w:rPr>
      </w:pPr>
      <w:r>
        <w:rPr>
          <w:bCs/>
          <w:sz w:val="24"/>
          <w:szCs w:val="24"/>
        </w:rPr>
        <w:t xml:space="preserve">I will critically evaluate the policing interventions, I used to deal with and resolve the conflict which led to police being called. </w:t>
      </w:r>
    </w:p>
    <w:p w14:paraId="6E9F5911" w14:textId="77777777" w:rsidR="001F1BB1" w:rsidRDefault="001F1BB1" w:rsidP="001F1BB1">
      <w:pPr>
        <w:ind w:right="107"/>
        <w:jc w:val="both"/>
        <w:rPr>
          <w:bCs/>
          <w:sz w:val="24"/>
          <w:szCs w:val="24"/>
        </w:rPr>
      </w:pPr>
    </w:p>
    <w:p w14:paraId="7228DC5B" w14:textId="77777777" w:rsidR="001F1BB1" w:rsidRPr="007B4474" w:rsidRDefault="001F1BB1" w:rsidP="001F1BB1">
      <w:pPr>
        <w:ind w:right="107"/>
        <w:jc w:val="both"/>
      </w:pPr>
      <w:r>
        <w:rPr>
          <w:bCs/>
          <w:sz w:val="24"/>
          <w:szCs w:val="24"/>
        </w:rPr>
        <w:t xml:space="preserve">During a late shift in October 2023, I was attached to a call where a male who I will refer to as Person (A) was suffering with a mental health condition who had become aggressive and out of control within the family home. When officers attended, we could hear as soon as we got out of the car the disturbance coming from within the dwelling. As we run over to the door and shouted police, we could hear who we now know to be the mother who frantically shouted for us to come in. When we entered the property, we were met by (A) being restrained by his father. Both my colleague and I have taken over and restrained (A) properly by handcuffing him and have moved him into the front living room to separate him from his parents. This is where I can start evaluating and reflecting upon the incident using the drama triangle as (A) is the persecutor. Barrow et al (2007) have documented that the persecutors’ behaviour causes conflict and will be abusive. The persecutor according to McKimm and Forrest (2010) which corroborates Barrow et al (2007) is that the persecutor does not take </w:t>
      </w:r>
      <w:r>
        <w:rPr>
          <w:bCs/>
          <w:sz w:val="24"/>
          <w:szCs w:val="24"/>
        </w:rPr>
        <w:lastRenderedPageBreak/>
        <w:t xml:space="preserve">responsibility for their actions when they become aggressive and will inevitably find a way to put the blame on to others which in itself will cause conflict. Shmelev (2015) has argued that those who are perpetrators without the help required will remain in a cycle of destruction while continuing to cause conflict and inflict aggression upon those closest to them. The research conducted by Shmelev (2015) is particularly pertinent to this case as (A) when I went into speak with him deflected the blame from himself and made a series of excuses while frantically pacing up and down the living room. Whilst I was having a conversation with (A), it was becoming increasingly clear that he was suffering from a psychotic episode. I concluded this from his behaviour, his language both verbally and body language, plus the information his parents had given both my colleague and I once we had restrained (A). (A) has been under a mental health team for quite some time which has seen him being sectioned on a number of occasions. My plan of action was to contact the Crisis team (Mind, 2023) who are a charity in which you can either be referred to or make a self-referral if you are suffering with mental health conditions or if you are going through psychosis. I believe this was the most appropriate channel to explore given it was apparent that it was health care that would have been more beneficial in this case. However, when we contacted the crisis team, they disagreed with both mine and my colleague’s assessment and the assessment from the family of (A) who are capable of identifying when (A) is suffering. Crisis refused (A’s) care and told us it wasn’t a health matter but more a criminal matter. At this stage (A) is becoming more and more aggressive in bursts as he is under the impression that I have taken the side of his family. I explained to (A) that I was there purely to investigate and safeguard both parties and that he needed to work with me to calm the situation down. (A) proceeds to tell me that the voices in his head don’t want him to calm down and that he knows everyone is conspiring against him. I spent 30 to 45 minutes in the living room with (A) calming him down. </w:t>
      </w:r>
      <w:r w:rsidRPr="00446520">
        <w:rPr>
          <w:sz w:val="24"/>
          <w:szCs w:val="24"/>
        </w:rPr>
        <w:t>When discussing effective communication, a cool tone was kept, even when the subjects’ behaviour was erratic and showing signs of becoming physically aggressive. Listening was an imperative element, let</w:t>
      </w:r>
      <w:r>
        <w:rPr>
          <w:sz w:val="24"/>
          <w:szCs w:val="24"/>
        </w:rPr>
        <w:t xml:space="preserve">ting </w:t>
      </w:r>
      <w:r w:rsidRPr="00446520">
        <w:rPr>
          <w:sz w:val="24"/>
          <w:szCs w:val="24"/>
        </w:rPr>
        <w:t>(</w:t>
      </w:r>
      <w:r>
        <w:rPr>
          <w:sz w:val="24"/>
          <w:szCs w:val="24"/>
        </w:rPr>
        <w:t xml:space="preserve">A) </w:t>
      </w:r>
      <w:r w:rsidRPr="00446520">
        <w:rPr>
          <w:sz w:val="24"/>
          <w:szCs w:val="24"/>
        </w:rPr>
        <w:t xml:space="preserve">speak so </w:t>
      </w:r>
      <w:r>
        <w:rPr>
          <w:sz w:val="24"/>
          <w:szCs w:val="24"/>
        </w:rPr>
        <w:t>I could</w:t>
      </w:r>
      <w:r w:rsidRPr="00446520">
        <w:rPr>
          <w:sz w:val="24"/>
          <w:szCs w:val="24"/>
        </w:rPr>
        <w:t xml:space="preserve"> build a picture of how to help.</w:t>
      </w:r>
      <w:r>
        <w:rPr>
          <w:sz w:val="24"/>
          <w:szCs w:val="24"/>
        </w:rPr>
        <w:t xml:space="preserve"> I took</w:t>
      </w:r>
      <w:r w:rsidRPr="00446520">
        <w:rPr>
          <w:sz w:val="24"/>
          <w:szCs w:val="24"/>
        </w:rPr>
        <w:t xml:space="preserve"> an account from </w:t>
      </w:r>
      <w:r>
        <w:rPr>
          <w:sz w:val="24"/>
          <w:szCs w:val="24"/>
        </w:rPr>
        <w:t>(A)</w:t>
      </w:r>
      <w:r w:rsidRPr="00446520">
        <w:rPr>
          <w:sz w:val="24"/>
          <w:szCs w:val="24"/>
        </w:rPr>
        <w:t>, let</w:t>
      </w:r>
      <w:r>
        <w:rPr>
          <w:sz w:val="24"/>
          <w:szCs w:val="24"/>
        </w:rPr>
        <w:t>ting</w:t>
      </w:r>
      <w:r w:rsidRPr="00446520">
        <w:rPr>
          <w:sz w:val="24"/>
          <w:szCs w:val="24"/>
        </w:rPr>
        <w:t xml:space="preserve"> </w:t>
      </w:r>
      <w:r>
        <w:rPr>
          <w:sz w:val="24"/>
          <w:szCs w:val="24"/>
        </w:rPr>
        <w:t>him</w:t>
      </w:r>
      <w:r w:rsidRPr="00446520">
        <w:rPr>
          <w:sz w:val="24"/>
          <w:szCs w:val="24"/>
        </w:rPr>
        <w:t xml:space="preserve"> know that </w:t>
      </w:r>
      <w:r>
        <w:rPr>
          <w:sz w:val="24"/>
          <w:szCs w:val="24"/>
        </w:rPr>
        <w:t>his</w:t>
      </w:r>
      <w:r w:rsidRPr="00446520">
        <w:rPr>
          <w:sz w:val="24"/>
          <w:szCs w:val="24"/>
        </w:rPr>
        <w:t xml:space="preserve"> version of events will be investigated as well as the other accounts given by the victims. </w:t>
      </w:r>
      <w:r>
        <w:rPr>
          <w:sz w:val="24"/>
          <w:szCs w:val="24"/>
        </w:rPr>
        <w:t>G</w:t>
      </w:r>
      <w:r w:rsidRPr="00446520">
        <w:rPr>
          <w:sz w:val="24"/>
          <w:szCs w:val="24"/>
        </w:rPr>
        <w:t xml:space="preserve">iven that it was a mental health call, </w:t>
      </w:r>
      <w:r>
        <w:rPr>
          <w:sz w:val="24"/>
          <w:szCs w:val="24"/>
        </w:rPr>
        <w:t xml:space="preserve">I needed to </w:t>
      </w:r>
      <w:r w:rsidRPr="00446520">
        <w:rPr>
          <w:sz w:val="24"/>
          <w:szCs w:val="24"/>
        </w:rPr>
        <w:t xml:space="preserve">let </w:t>
      </w:r>
      <w:r>
        <w:rPr>
          <w:sz w:val="24"/>
          <w:szCs w:val="24"/>
        </w:rPr>
        <w:t>(A)</w:t>
      </w:r>
      <w:r w:rsidRPr="00446520">
        <w:rPr>
          <w:sz w:val="24"/>
          <w:szCs w:val="24"/>
        </w:rPr>
        <w:t xml:space="preserve"> know that </w:t>
      </w:r>
      <w:r>
        <w:rPr>
          <w:sz w:val="24"/>
          <w:szCs w:val="24"/>
        </w:rPr>
        <w:t>he</w:t>
      </w:r>
      <w:r w:rsidRPr="00446520">
        <w:rPr>
          <w:sz w:val="24"/>
          <w:szCs w:val="24"/>
        </w:rPr>
        <w:t xml:space="preserve"> </w:t>
      </w:r>
      <w:r>
        <w:rPr>
          <w:sz w:val="24"/>
          <w:szCs w:val="24"/>
        </w:rPr>
        <w:t>was going to</w:t>
      </w:r>
      <w:r w:rsidRPr="00446520">
        <w:rPr>
          <w:sz w:val="24"/>
          <w:szCs w:val="24"/>
        </w:rPr>
        <w:t xml:space="preserve"> be listened to.</w:t>
      </w:r>
      <w:r>
        <w:t xml:space="preserve"> </w:t>
      </w:r>
      <w:r>
        <w:rPr>
          <w:bCs/>
          <w:sz w:val="24"/>
          <w:szCs w:val="24"/>
        </w:rPr>
        <w:t xml:space="preserve">I felt that staying calm, talking with (A) in soft manner was the best resolution for dealing with this conflict in particular. Once I had calmed (A) down, I had to decide what the best way forward would be. Due to part of the nature of the call be a domestic common assault, I had to take positive action in line with force policy and put safeguarding measures in place. Due to Llandough hospital and crisis refusing to give (A) the care he needed, I therefore decided that it was in the best interests of both the parents and (A) to arrest (A) for a domestic common assault, both because of the domestic element and because it was safeguarding both parties while we sorted out where (A) would reside after he had been detained. </w:t>
      </w:r>
    </w:p>
    <w:p w14:paraId="249A8094" w14:textId="77777777" w:rsidR="001F1BB1" w:rsidRDefault="001F1BB1" w:rsidP="001F1BB1">
      <w:pPr>
        <w:ind w:right="107"/>
        <w:jc w:val="both"/>
        <w:rPr>
          <w:bCs/>
          <w:sz w:val="24"/>
          <w:szCs w:val="24"/>
        </w:rPr>
      </w:pPr>
    </w:p>
    <w:p w14:paraId="5643686F" w14:textId="77777777" w:rsidR="001F1BB1" w:rsidRPr="00B1332B" w:rsidRDefault="001F1BB1" w:rsidP="001F1BB1">
      <w:pPr>
        <w:ind w:right="107"/>
        <w:jc w:val="both"/>
        <w:rPr>
          <w:sz w:val="24"/>
          <w:szCs w:val="24"/>
        </w:rPr>
      </w:pPr>
      <w:r w:rsidRPr="00B1332B">
        <w:rPr>
          <w:sz w:val="24"/>
          <w:szCs w:val="24"/>
        </w:rPr>
        <w:t xml:space="preserve">The rescuer in the case is the police. Both my colleague and I have attended the call, in order to help those in their time of need, Burgess (2005), L’Abate (2009) and McMahon, (2005). It has been referenced by Burgess (2005), L’Abate (2009) and McMahon (2005) that the rescuer will deliver a service to those who are need of assistance both physically and psychologically. Shmelev (2015) corroborates the previous statement and has identified that the rescuer is able to identify the assistance that is needed by the persecutor and the victim and is able to give the help that is needed. </w:t>
      </w:r>
      <w:r>
        <w:rPr>
          <w:sz w:val="24"/>
          <w:szCs w:val="24"/>
        </w:rPr>
        <w:t xml:space="preserve">We as police officers have liaised with Crisis (Mind, 2023) to seek the medical intervention required for (A), however, we needed to find a different avenue when they refused help. I have a duty of care to all those involved in the domestic assault, and it was necessary for safeguarding practices to be implemented. The challenge we faced is that we were not able to detain (A) under section 136 of the Mental </w:t>
      </w:r>
      <w:r>
        <w:rPr>
          <w:sz w:val="24"/>
          <w:szCs w:val="24"/>
        </w:rPr>
        <w:lastRenderedPageBreak/>
        <w:t>Health Act 1983 as (A) was in a private dwelling. The Department of Health (2017) has expressed that during times of psychosis, that those suffering should be taken to a place of safety. In this instance as the hospital was refusing to assess (A) and brushed it off a criminal matter, we had no choice but to make a police station (A’s) place of safety until we could take statements and interview him. By the time I had gotten (A) down to custody, he had really calmed down, almost to the point that he was a completely different person. I believe that effective communication had played a massive role in dealing with this conflict by giving (A) a voice. (A) was booked into custody on a domestic common assault causing section 47 injuries as he had knocked out his mother’s tooth. He was detained for 12 hours before being released without charge as his parents didn’t want to criminalise him and he had no history of domestic violence against his parents.</w:t>
      </w:r>
    </w:p>
    <w:p w14:paraId="730A4CC7" w14:textId="77777777" w:rsidR="001F1BB1" w:rsidRDefault="001F1BB1" w:rsidP="001F1BB1">
      <w:pPr>
        <w:ind w:right="107"/>
        <w:jc w:val="both"/>
      </w:pPr>
    </w:p>
    <w:p w14:paraId="6D30620E" w14:textId="77777777" w:rsidR="001F1BB1" w:rsidRPr="00803278" w:rsidRDefault="001F1BB1" w:rsidP="001F1BB1">
      <w:pPr>
        <w:ind w:right="107"/>
        <w:jc w:val="both"/>
        <w:rPr>
          <w:sz w:val="24"/>
          <w:szCs w:val="24"/>
        </w:rPr>
      </w:pPr>
      <w:r w:rsidRPr="00803278">
        <w:rPr>
          <w:sz w:val="24"/>
          <w:szCs w:val="24"/>
        </w:rPr>
        <w:t>Finally, I am going to discuss the victim. Karpman (1968) has claimed throughout his research that for the drama triangle to be effective that one or more persons would have to assume the role as the victim. Without one of the elements, the triangle would not exist. Every situation involving conflict needs to have a persecutor, a victim and a rescuer. In this scenario, the parents of (A) are at breaking point, feeling let down by the health board. They are in despair with not knowing what to do or who to turn to know</w:t>
      </w:r>
      <w:r>
        <w:rPr>
          <w:sz w:val="24"/>
          <w:szCs w:val="24"/>
        </w:rPr>
        <w:t>ing</w:t>
      </w:r>
      <w:r w:rsidRPr="00803278">
        <w:rPr>
          <w:sz w:val="24"/>
          <w:szCs w:val="24"/>
        </w:rPr>
        <w:t xml:space="preserve"> that (A’s) psychotic episodes are getting more aggressive every time he suffers an episode. Burgess (2005), Carr (1989); McKimm and Forrest (2010) have conducted research together to demonstrate that being the victim can render you helpless and feeling like you have lost control of yourself and your surroundings. </w:t>
      </w:r>
      <w:r>
        <w:rPr>
          <w:sz w:val="24"/>
          <w:szCs w:val="24"/>
        </w:rPr>
        <w:t xml:space="preserve">Managing this sort of conflict was difficult as I believe it was linked to mental health issues and (A) was receiving a change in medication due to the imbalance and other medications being ineffective. Once we had removed (A) from his parents’ property and got him booked into custody, my colleague and I went back to the family address where they were all clearly distraught. During a discussion, both parents have firmly stated that they will not be pressing charges against (A). We separated the parents so they could each provide us with a negative statement where they have given a description of the incident and told us that they feel let down by the health board and all they want is for the appropriate care and support put in place for their son. Due to the call being domestic related and there being conflict within the home which resulted in injuries, I have completed a Domestic Abuse, Stalking and Harassment (DASH) form which comprises of 27 questions with the father which will allow officers and a multi-agency team assess with the risk level within the home Blackstone’s (2023); however, the mother refused as she felt like it would get (A) in to trouble. When I returned to the station, I have submitted a Public Protection Order (PPN) for the family which as referenced by His Majesty’s Inspectorate is </w:t>
      </w:r>
      <w:r>
        <w:rPr>
          <w:color w:val="282828"/>
        </w:rPr>
        <w:t>‘’</w:t>
      </w:r>
      <w:r w:rsidRPr="00C767E2">
        <w:rPr>
          <w:i/>
          <w:iCs/>
          <w:color w:val="282828"/>
          <w:sz w:val="24"/>
          <w:szCs w:val="24"/>
        </w:rPr>
        <w:t>an information-sharing document that records safeguarding concerns about an adult or child. PPNs are shared with partner agencies to inform a multi-agency response’’</w:t>
      </w:r>
      <w:r>
        <w:rPr>
          <w:color w:val="282828"/>
        </w:rPr>
        <w:t>.</w:t>
      </w:r>
      <w:r>
        <w:rPr>
          <w:sz w:val="24"/>
          <w:szCs w:val="24"/>
        </w:rPr>
        <w:t xml:space="preserve"> They need the referral to ensure they can seek the most appropriate support for (A) and to ensure they are not at risk of being assaulted in the future. This can be managed providing (A) receives and engages with the referral and the support offered to him.</w:t>
      </w:r>
    </w:p>
    <w:p w14:paraId="742EA559" w14:textId="77777777" w:rsidR="001F1BB1" w:rsidRDefault="001F1BB1" w:rsidP="001F1BB1">
      <w:pPr>
        <w:ind w:right="107"/>
        <w:jc w:val="both"/>
      </w:pPr>
    </w:p>
    <w:p w14:paraId="3C8A47AF" w14:textId="77777777" w:rsidR="001F1BB1" w:rsidRDefault="001F1BB1" w:rsidP="001F1BB1">
      <w:pPr>
        <w:ind w:right="107"/>
        <w:jc w:val="both"/>
      </w:pPr>
    </w:p>
    <w:p w14:paraId="1FECE443" w14:textId="77777777" w:rsidR="001F1BB1" w:rsidRPr="00660849" w:rsidRDefault="001F1BB1" w:rsidP="001F1BB1">
      <w:pPr>
        <w:ind w:right="107"/>
        <w:jc w:val="both"/>
        <w:rPr>
          <w:sz w:val="24"/>
          <w:szCs w:val="24"/>
        </w:rPr>
      </w:pPr>
      <w:r w:rsidRPr="00660849">
        <w:rPr>
          <w:sz w:val="24"/>
          <w:szCs w:val="24"/>
        </w:rPr>
        <w:t>To conclude, I have managed my first real form of conflict within policing really well. Once I had taken over managing the conflict, I was able to calm (A) down by using effective communication with him whilst keeping myself, my colleague</w:t>
      </w:r>
      <w:r>
        <w:rPr>
          <w:sz w:val="24"/>
          <w:szCs w:val="24"/>
        </w:rPr>
        <w:t xml:space="preserve">, </w:t>
      </w:r>
      <w:r w:rsidRPr="00660849">
        <w:rPr>
          <w:sz w:val="24"/>
          <w:szCs w:val="24"/>
        </w:rPr>
        <w:t>(A) and the victims safe.</w:t>
      </w:r>
      <w:r>
        <w:rPr>
          <w:sz w:val="24"/>
          <w:szCs w:val="24"/>
        </w:rPr>
        <w:t xml:space="preserve"> The conflict that greeted us was de-escalated quickly to gather information so I could proceed with an approach that would be beneficial to everyone. </w:t>
      </w:r>
      <w:r w:rsidRPr="00660849">
        <w:rPr>
          <w:sz w:val="24"/>
          <w:szCs w:val="24"/>
        </w:rPr>
        <w:t xml:space="preserve"> I have shown knowledge and the outcomes of this scenario by referencing the drama triangle throughout. I have also demonstrated further effective communication skills by submitting the relevant referrals such as DASH and PPNs so the family can receive the appropriate support in cases where </w:t>
      </w:r>
      <w:r w:rsidRPr="00660849">
        <w:rPr>
          <w:sz w:val="24"/>
          <w:szCs w:val="24"/>
        </w:rPr>
        <w:lastRenderedPageBreak/>
        <w:t xml:space="preserve">domestic abuse has taken place. </w:t>
      </w:r>
      <w:r>
        <w:rPr>
          <w:sz w:val="24"/>
          <w:szCs w:val="24"/>
        </w:rPr>
        <w:t xml:space="preserve">The family are now receiving the support they needed and (A) has moved into his own residence which has created a safeguard between parents and son. Since this incident, (A) has also been assessed by a mental health team and received a care plan going forward; additionally, (A) will be kept under observation from the hospital to monitor his progress. </w:t>
      </w:r>
    </w:p>
    <w:p w14:paraId="79C6F38B" w14:textId="77777777" w:rsidR="00AA666E" w:rsidRPr="00270EEB" w:rsidRDefault="00AA666E" w:rsidP="00E6298B">
      <w:pPr>
        <w:ind w:right="107"/>
        <w:jc w:val="both"/>
        <w:rPr>
          <w:sz w:val="24"/>
          <w:szCs w:val="24"/>
        </w:rPr>
      </w:pPr>
    </w:p>
    <w:p w14:paraId="545B147F" w14:textId="4484EA8D" w:rsidR="008B28E7" w:rsidRPr="007952CD" w:rsidRDefault="00461922" w:rsidP="00E6298B">
      <w:pPr>
        <w:ind w:right="107"/>
        <w:jc w:val="both"/>
        <w:rPr>
          <w:b/>
          <w:bCs/>
          <w:sz w:val="24"/>
          <w:szCs w:val="24"/>
          <w:u w:val="single"/>
        </w:rPr>
      </w:pPr>
      <w:r w:rsidRPr="007952CD">
        <w:rPr>
          <w:b/>
          <w:bCs/>
          <w:sz w:val="24"/>
          <w:szCs w:val="24"/>
          <w:u w:val="single"/>
        </w:rPr>
        <w:t>Word count: 1958</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17E99671"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r w:rsidR="00923A81">
        <w:rPr>
          <w:sz w:val="24"/>
          <w:szCs w:val="24"/>
        </w:rPr>
        <w:t>.</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523C4B6" w14:textId="77777777" w:rsidR="00923A81" w:rsidRDefault="00923A81" w:rsidP="00923A81">
      <w:pPr>
        <w:jc w:val="both"/>
        <w:rPr>
          <w:sz w:val="24"/>
          <w:szCs w:val="24"/>
        </w:rPr>
      </w:pPr>
      <w:r>
        <w:rPr>
          <w:sz w:val="24"/>
          <w:szCs w:val="24"/>
        </w:rPr>
        <w:t xml:space="preserve">I will be critically exploring an incident which was reported to the police and was tasked to me to investigate from the time of the report. The incident was reported a few weeks prior to the complaint being made. The person who was victim to the assault was under the age of 16 and had already been assigned to a social worker who had encouraged the child who I will refer to as person (A) to make a complaint. The complaint involves an assault on a child by a mother. However, due to the child being under the age of 16, it cannot be classed as a domestic incident. The Home Office (2013a) recognises that at present, there is no legal definition; therefore, have defined domestic abuse themselves as </w:t>
      </w:r>
      <w:r w:rsidRPr="005A569D">
        <w:rPr>
          <w:i/>
          <w:iCs/>
          <w:sz w:val="24"/>
          <w:szCs w:val="24"/>
        </w:rPr>
        <w:t>‘’any incident or pattern of incidents of controlling, coercive, threatening behaviour, violence, or abuse between those aged 16 or</w:t>
      </w:r>
      <w:r>
        <w:rPr>
          <w:sz w:val="24"/>
          <w:szCs w:val="24"/>
        </w:rPr>
        <w:t xml:space="preserve"> </w:t>
      </w:r>
      <w:r w:rsidRPr="005A569D">
        <w:rPr>
          <w:i/>
          <w:iCs/>
          <w:sz w:val="24"/>
          <w:szCs w:val="24"/>
        </w:rPr>
        <w:t>over’</w:t>
      </w:r>
      <w:r>
        <w:rPr>
          <w:sz w:val="24"/>
          <w:szCs w:val="24"/>
        </w:rPr>
        <w:t xml:space="preserve">’. Therefore, I have acknowledged the child chastisement laws and looked at the offence of assault. Coram Child Law Services (2023) have noted that smacking is illegal in both Scotland and Wales. However, Section 58 of the Children Act (2004) have provided a defence to this law stating that a parent or carer has the defence of </w:t>
      </w:r>
      <w:r w:rsidRPr="00CA3926">
        <w:rPr>
          <w:i/>
          <w:iCs/>
          <w:sz w:val="24"/>
          <w:szCs w:val="24"/>
        </w:rPr>
        <w:t>‘reasonable chastisement’</w:t>
      </w:r>
      <w:r>
        <w:rPr>
          <w:sz w:val="24"/>
          <w:szCs w:val="24"/>
        </w:rPr>
        <w:t xml:space="preserve">. This does not apply if </w:t>
      </w:r>
      <w:r w:rsidRPr="00CA3926">
        <w:rPr>
          <w:i/>
          <w:iCs/>
          <w:sz w:val="24"/>
          <w:szCs w:val="24"/>
        </w:rPr>
        <w:t>‘’the assault occasions to ABH, unlawful inflicting GBH, causing GBH with intent, or cruelty to a child</w:t>
      </w:r>
      <w:r>
        <w:rPr>
          <w:sz w:val="24"/>
          <w:szCs w:val="24"/>
        </w:rPr>
        <w:t xml:space="preserve">’’. Throughout, I will be exploring the avenues I have taken and how the actions and decisions I have made have been beneficial to getting this case through the criminal justice system. </w:t>
      </w:r>
    </w:p>
    <w:p w14:paraId="783E7A77" w14:textId="77777777" w:rsidR="00923A81" w:rsidRDefault="00923A81" w:rsidP="00923A81">
      <w:pPr>
        <w:jc w:val="both"/>
        <w:rPr>
          <w:sz w:val="24"/>
          <w:szCs w:val="24"/>
        </w:rPr>
      </w:pPr>
    </w:p>
    <w:p w14:paraId="0FED2D48" w14:textId="77777777" w:rsidR="00923A81" w:rsidRDefault="00923A81" w:rsidP="00923A81">
      <w:pPr>
        <w:jc w:val="both"/>
        <w:rPr>
          <w:sz w:val="24"/>
          <w:szCs w:val="24"/>
        </w:rPr>
      </w:pPr>
      <w:r>
        <w:rPr>
          <w:sz w:val="24"/>
          <w:szCs w:val="24"/>
        </w:rPr>
        <w:t xml:space="preserve">When this case was assigned to me, firstly I reviewed what the Child Protection Unit had already carried out. However, it was apparent that I was needing to conduct a full investigation. Initially I contacted the assigned social worker who has been responsible for (A’s) safeguarding and has arranged for (A) to reside temporarily with a family with whom (A) is friends with and attends school with. I arranged a best suited time and place to meet with (A), so I could take her account of the incident, what led up to the incident and how she has been since. Also, in making these arrangements, due to (A) only being 14 years of age, I </w:t>
      </w:r>
      <w:r>
        <w:rPr>
          <w:sz w:val="24"/>
          <w:szCs w:val="24"/>
        </w:rPr>
        <w:lastRenderedPageBreak/>
        <w:t xml:space="preserve">needed an assigned Appropriate Adult as stated under Code C of the Police and Criminal Evidence Act (PACE) 1984 (Blackstone’s, 2023). As this wasn’t going to be (A’s) parent due to the allegation, the social worker assigned a colleague who works for National Youth Advocacy Service (NYAS). NYAS is a service available to children, young people and adults who are vulnerable. NYAS offer services to help provide the support and safeguarding that is required to protect those in vulnerable situations, working closely with both the victim and other professionals to obtain the best outcome for a vulnerable person (NYAS, 2023).  (A) has been working closely with NYAS since the allegation and has built up trust with him; therefore, officers were happy for NYAS to be present to assist (A) should she have needed it and to be responsible for her welfare. I have then conducted a child and young person interview booklet with (A) in the company of my colleague and NYAS. During the interview, (A) disclosed that she likes to wear make-up and take care of her appearance however, stated that her mum does not approve of (A’s) choices and when she has noticed (A) wearing false eyelashes, (A’s) mother has pulled her to the bathroom sink by her hair and has pulled off the false eyelashes causing injury to (A’s) eye. Fortunately, (A’s) sister witnessed the assault and (A) had taken a photograph of her injury. I have gathered the relevant witness statements from (A) and her sister and received the image which was submitted to capture the of the injury caused to (A’s) eye, since being attached to the case file. At the point of taking the witness statement from (A), she has informed me that she would like to take this matter to court. I have given her the opportunity to deliver her evidence through special measures which as a minor, she is entitled to as a vulnerable witness. Special measures give vulnerable witnesses the opportunity to deliver their evidence through means which they are comfortable. For example, Section 23 – 30 of the Youth Justice and Criminal Evidence Act 1999 (YJCEA) have fought for and will allow officers to apply to the courts to put measures in place such as a screen so the witness cannot see the perpetrator or through video-link. This then won’t diminish the quality of evidence provided by the witness (Blackstone’s, 2023). (A) agreed to those conditions. Additionally, I have explained to her that should she want to, she is entitled to give a Victim Personal Statement (VPS). I explained that she didn’t have to decide now, and it’s something we would ask her to write near to the court hearing, should she want to. CoP, (2015d) has argued that under the victim’s code of practice, the victim should be offered the opportunity to write and deliver to the courts a VPS under Right 7 which was written by The Ministry of Justice (2020). This allows the victim the opportunity to inform the court how the offence has made them feel and the impacts it has had on their life. I offered this opportunity, and it was accepted by the victim. (A) reported that she had isolated herself from everyone for a number of weeks after the incident occurred and had lost her appetite.  </w:t>
      </w:r>
    </w:p>
    <w:p w14:paraId="18EED4FC" w14:textId="77777777" w:rsidR="00923A81" w:rsidRDefault="00923A81" w:rsidP="00923A81">
      <w:pPr>
        <w:jc w:val="both"/>
        <w:rPr>
          <w:sz w:val="24"/>
          <w:szCs w:val="24"/>
        </w:rPr>
      </w:pPr>
    </w:p>
    <w:p w14:paraId="1D6D995F" w14:textId="77777777" w:rsidR="00923A81" w:rsidRDefault="00923A81" w:rsidP="00923A81">
      <w:pPr>
        <w:jc w:val="both"/>
        <w:rPr>
          <w:sz w:val="24"/>
          <w:szCs w:val="24"/>
        </w:rPr>
      </w:pPr>
      <w:r>
        <w:rPr>
          <w:sz w:val="24"/>
          <w:szCs w:val="24"/>
        </w:rPr>
        <w:t>Due to the nature of the offence not being classified as domestic related due to (A) being under the age of 16 years. I was unable to complete a Domestic Abuse, Stalking and Harassment risk assessment (DASH). DASH allows officers to complete with the victim a questionnaire compiling of 27 questions to assess how often injuries are being inflicted and to measure the escalation of the abuse. I have however, submitted a Public Protection Notice (PPN) and included all members of (A’s) family who live in the family home, which has now been shared with the Multi-Agency Safeguarding Hubs (MASH). MASH enables a variety of agencies to review and discuss cases which have been submitted for the purpose making effective decisions to enable safeguarding processes. MASH is proven to have fast turn around of cases with those being on high alert, having a decision made with a number of hours. This makes MASH the appropriate body to make decisions which are proportionate and effective when it comes to safeguarding children.</w:t>
      </w:r>
    </w:p>
    <w:p w14:paraId="10A1927A" w14:textId="77777777" w:rsidR="00923A81" w:rsidRDefault="00923A81" w:rsidP="00923A81">
      <w:pPr>
        <w:jc w:val="both"/>
        <w:rPr>
          <w:sz w:val="24"/>
          <w:szCs w:val="24"/>
        </w:rPr>
      </w:pPr>
    </w:p>
    <w:p w14:paraId="217D184E" w14:textId="77777777" w:rsidR="00923A81" w:rsidRDefault="00923A81" w:rsidP="00923A81">
      <w:pPr>
        <w:jc w:val="both"/>
        <w:rPr>
          <w:sz w:val="24"/>
          <w:szCs w:val="24"/>
        </w:rPr>
      </w:pPr>
      <w:r>
        <w:rPr>
          <w:sz w:val="24"/>
          <w:szCs w:val="24"/>
        </w:rPr>
        <w:lastRenderedPageBreak/>
        <w:t>I conducted an investigative interview with (A’s) mother following the PEACE model. In line with PACE Code C, CoP, (2013q) argues that’s officers should engage with open questions to obtain a full and factual account to the best of the suspects knowledge using ‘</w:t>
      </w:r>
      <w:r w:rsidRPr="005C0346">
        <w:rPr>
          <w:i/>
          <w:iCs/>
          <w:sz w:val="24"/>
          <w:szCs w:val="24"/>
        </w:rPr>
        <w:t xml:space="preserve">’Planning and </w:t>
      </w:r>
      <w:r>
        <w:rPr>
          <w:i/>
          <w:iCs/>
          <w:sz w:val="24"/>
          <w:szCs w:val="24"/>
        </w:rPr>
        <w:t>P</w:t>
      </w:r>
      <w:r w:rsidRPr="005C0346">
        <w:rPr>
          <w:i/>
          <w:iCs/>
          <w:sz w:val="24"/>
          <w:szCs w:val="24"/>
        </w:rPr>
        <w:t xml:space="preserve">reparation; Engage and </w:t>
      </w:r>
      <w:r>
        <w:rPr>
          <w:i/>
          <w:iCs/>
          <w:sz w:val="24"/>
          <w:szCs w:val="24"/>
        </w:rPr>
        <w:t>E</w:t>
      </w:r>
      <w:r w:rsidRPr="005C0346">
        <w:rPr>
          <w:i/>
          <w:iCs/>
          <w:sz w:val="24"/>
          <w:szCs w:val="24"/>
        </w:rPr>
        <w:t xml:space="preserve">xplain; Account, Clarification and </w:t>
      </w:r>
      <w:r>
        <w:rPr>
          <w:i/>
          <w:iCs/>
          <w:sz w:val="24"/>
          <w:szCs w:val="24"/>
        </w:rPr>
        <w:t>C</w:t>
      </w:r>
      <w:r w:rsidRPr="005C0346">
        <w:rPr>
          <w:i/>
          <w:iCs/>
          <w:sz w:val="24"/>
          <w:szCs w:val="24"/>
        </w:rPr>
        <w:t xml:space="preserve">hallenge; Closure and </w:t>
      </w:r>
      <w:r>
        <w:rPr>
          <w:i/>
          <w:iCs/>
          <w:sz w:val="24"/>
          <w:szCs w:val="24"/>
        </w:rPr>
        <w:t>E</w:t>
      </w:r>
      <w:r w:rsidRPr="005C0346">
        <w:rPr>
          <w:i/>
          <w:iCs/>
          <w:sz w:val="24"/>
          <w:szCs w:val="24"/>
        </w:rPr>
        <w:t>valuation’’</w:t>
      </w:r>
      <w:r>
        <w:rPr>
          <w:sz w:val="24"/>
          <w:szCs w:val="24"/>
        </w:rPr>
        <w:t xml:space="preserve">. Shepherd (2008) agrees with CoP (2013q) stating that an interview is merely a two people having a conversation in which social skills play a pivotal role in the interviewer gaining an understanding of the events which unfolded. During the interview, I have used open questions to obtain a full understanding of the incident, to which the mother confessed that the incident (A) reported was factual. The mother showed remorse when I showed her an exhibit which was a picture of the injury she inflicted upon (A) and accepted that she would be attending a court hearing for a common assault by battery. Research by Normanton (1997) can defend this charge as assault by battery is the use of force on another person whether intentionally or recklessly and the suspect causes minor to no injury, which in this incident was the case. The mother caused a scratch to the eye causing minor injury. </w:t>
      </w:r>
    </w:p>
    <w:p w14:paraId="571A34D6" w14:textId="77777777" w:rsidR="00923A81" w:rsidRDefault="00923A81" w:rsidP="00923A81">
      <w:pPr>
        <w:jc w:val="both"/>
        <w:rPr>
          <w:sz w:val="24"/>
          <w:szCs w:val="24"/>
        </w:rPr>
      </w:pPr>
    </w:p>
    <w:p w14:paraId="2369E10B" w14:textId="77777777" w:rsidR="00923A81" w:rsidRDefault="00923A81" w:rsidP="00923A81">
      <w:pPr>
        <w:jc w:val="both"/>
        <w:rPr>
          <w:sz w:val="24"/>
          <w:szCs w:val="24"/>
        </w:rPr>
      </w:pPr>
      <w:r>
        <w:rPr>
          <w:sz w:val="24"/>
          <w:szCs w:val="24"/>
        </w:rPr>
        <w:t>The case was submitted to Magistrates court, (A) was updated about the trial as is her right under Right 8 of the Ministry of Justice (2020). As the assault was minor and the mother pleaded guilty to the offence, the court believed due to circumstances at home, the most effective outcome would be a conditional discharge. Blackstone’s (2023) have noted that a conditional discharge would mean that the mother would be unable to commit an offence in the time set by the courts, otherwise that would result in a conviction. (A) has then been informed under Right 9 of the Ministry of Justice (2020) which gives her the information of the outcome given by the court. (A) was satisfied with this outcome and at present does not wish to rekindle her relationship with her mother.</w:t>
      </w:r>
    </w:p>
    <w:p w14:paraId="2FEB1AAB" w14:textId="77777777" w:rsidR="00923A81" w:rsidRDefault="00923A81" w:rsidP="00923A81">
      <w:pPr>
        <w:jc w:val="both"/>
        <w:rPr>
          <w:sz w:val="24"/>
          <w:szCs w:val="24"/>
        </w:rPr>
      </w:pPr>
    </w:p>
    <w:p w14:paraId="696AEA62" w14:textId="77777777" w:rsidR="00923A81" w:rsidRDefault="00923A81" w:rsidP="00923A81">
      <w:pPr>
        <w:jc w:val="both"/>
        <w:rPr>
          <w:sz w:val="24"/>
          <w:szCs w:val="24"/>
        </w:rPr>
      </w:pPr>
      <w:r>
        <w:rPr>
          <w:sz w:val="24"/>
          <w:szCs w:val="24"/>
        </w:rPr>
        <w:t>To conclude, I have kept the victim up to date throughout the investigation as is her right under Right 6 of the Victims Code of Practice set out by the Ministry of Justice (2020). I have the followed the processes to gather evidence under PACE 1984. I have managed to gather detailed reports from witnesses and obtain images of the injuries which were submitted to the court. Due to the late report of the assault, I lost my golden hour opportunities, but fortunately, this didn’t hinder the case. I have also reflected upon the codes of practice, DASH, and MASH to demonstrate how I have successfully compiled my first case file and the safeguarding measures which I have liaised with social services who placed (A) with a family friend while the investigation was ongoing to protect her. Additionally, I have liaised with (A’s) social worker at every step throughout the investigation to ensure that safeguarding was still in place and to discuss what the appropriate next stages are for (A’s) wellbeing and care. Social services have been the responsible party for the safeguarding of (A), who have placed (A) as a looked after child under Section 76, Social services, and Well-being (Wales) Act (2014). Since the hearing, the transition for (A’s) return home had not gone to plan and social services are now looking at a 12-week plan to phase (A) home which will include a mediation plan and relationship building between mother and daughter. I have found research which corresponds with my practice which I have demonstrated within this academic piece.</w:t>
      </w:r>
    </w:p>
    <w:p w14:paraId="45AEB0C1" w14:textId="77777777" w:rsidR="00923A81" w:rsidRDefault="00923A81" w:rsidP="00923A81">
      <w:pPr>
        <w:jc w:val="both"/>
        <w:rPr>
          <w:sz w:val="24"/>
          <w:szCs w:val="24"/>
        </w:rPr>
      </w:pPr>
    </w:p>
    <w:p w14:paraId="59BFBF51" w14:textId="77777777" w:rsidR="00923A81" w:rsidRPr="00E46C3C" w:rsidRDefault="00923A81" w:rsidP="00923A81">
      <w:pPr>
        <w:jc w:val="both"/>
        <w:rPr>
          <w:b/>
          <w:bCs/>
          <w:sz w:val="24"/>
          <w:szCs w:val="24"/>
        </w:rPr>
      </w:pPr>
      <w:r w:rsidRPr="00E46C3C">
        <w:rPr>
          <w:b/>
          <w:bCs/>
          <w:sz w:val="24"/>
          <w:szCs w:val="24"/>
        </w:rPr>
        <w:t>Word Count: 1702</w:t>
      </w:r>
    </w:p>
    <w:p w14:paraId="2C1B7326" w14:textId="77777777" w:rsidR="00923A81" w:rsidRDefault="00923A81" w:rsidP="00923A81">
      <w:pPr>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3605CF2C" w14:textId="77777777" w:rsidR="00923A81" w:rsidRDefault="00923A81" w:rsidP="00923A81">
      <w:pPr>
        <w:ind w:right="107"/>
        <w:rPr>
          <w:sz w:val="24"/>
          <w:szCs w:val="24"/>
        </w:rPr>
      </w:pPr>
    </w:p>
    <w:p w14:paraId="11B1AAFD" w14:textId="04290DDF" w:rsidR="006C7CA5" w:rsidRPr="00923A81" w:rsidRDefault="28A9B94D" w:rsidP="00923A81">
      <w:pPr>
        <w:ind w:right="107"/>
        <w:jc w:val="center"/>
      </w:pPr>
      <w:r w:rsidRPr="00205325">
        <w:rPr>
          <w:b/>
          <w:bCs/>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9CE98D6" w14:textId="77777777" w:rsidR="00530EEC" w:rsidRDefault="00530EEC" w:rsidP="00530EEC">
      <w:pPr>
        <w:jc w:val="both"/>
        <w:rPr>
          <w:sz w:val="24"/>
          <w:szCs w:val="24"/>
        </w:rPr>
      </w:pPr>
      <w:r>
        <w:rPr>
          <w:sz w:val="24"/>
          <w:szCs w:val="24"/>
        </w:rPr>
        <w:t xml:space="preserve">During my tutorship phase I have been fortunate enough to play a significant role in an area of interest and where I would like to develop my career. I will be critically assessing the role I played with the offender while discussing what happened whilst addressing the outcomes using the National Decision Model (NDM). I will demonstrate how the NDM impacted my decisions; in addition, a discussion as to whether discretion would have been appropriate in this incident. The Incident I will be discussing involves a juvenile who I will refer to as Person (A). </w:t>
      </w:r>
    </w:p>
    <w:p w14:paraId="55C9F5F3" w14:textId="77777777" w:rsidR="00530EEC" w:rsidRDefault="00530EEC" w:rsidP="00530EEC">
      <w:pPr>
        <w:jc w:val="both"/>
        <w:rPr>
          <w:sz w:val="24"/>
          <w:szCs w:val="24"/>
        </w:rPr>
      </w:pPr>
      <w:r>
        <w:rPr>
          <w:sz w:val="24"/>
          <w:szCs w:val="24"/>
        </w:rPr>
        <w:t>Firstly, it is important for the reader to understand what the NDM is. Blackstone’s (2023) have noted that the NDM was built from the Conflict Management Model (CMM) which was first introduced in 2012. CoP (2014c) has identified the purpose of the NDM is to allow officers to make legal and ethical decisions in regard to their actions, leaving the officers being able to justify why they did or didn’t carry out certain tasks or decisions. I would like to identify the 6 key elements of the NDM as referenced by the College of Policing. The College of Policing (2023) have listed the 6 key elements as:</w:t>
      </w:r>
    </w:p>
    <w:p w14:paraId="3FED4B8F" w14:textId="77777777" w:rsidR="00530EEC" w:rsidRDefault="00530EEC" w:rsidP="00530EEC">
      <w:pPr>
        <w:numPr>
          <w:ilvl w:val="0"/>
          <w:numId w:val="50"/>
        </w:numPr>
        <w:overflowPunct/>
        <w:autoSpaceDE/>
        <w:adjustRightInd/>
        <w:spacing w:before="100" w:after="100"/>
        <w:jc w:val="both"/>
        <w:textAlignment w:val="auto"/>
      </w:pPr>
      <w:r>
        <w:rPr>
          <w:sz w:val="24"/>
          <w:szCs w:val="24"/>
        </w:rPr>
        <w:t>‘</w:t>
      </w:r>
      <w:r>
        <w:rPr>
          <w:i/>
          <w:iCs/>
          <w:sz w:val="24"/>
          <w:szCs w:val="24"/>
        </w:rPr>
        <w:t>’Code of Ethics.</w:t>
      </w:r>
    </w:p>
    <w:p w14:paraId="0D789674" w14:textId="77777777" w:rsidR="00530EEC" w:rsidRDefault="00530EEC" w:rsidP="00530EEC">
      <w:pPr>
        <w:numPr>
          <w:ilvl w:val="0"/>
          <w:numId w:val="50"/>
        </w:numPr>
        <w:overflowPunct/>
        <w:autoSpaceDE/>
        <w:adjustRightInd/>
        <w:spacing w:before="100" w:after="100"/>
        <w:jc w:val="both"/>
        <w:textAlignment w:val="auto"/>
        <w:rPr>
          <w:i/>
          <w:iCs/>
          <w:sz w:val="24"/>
          <w:szCs w:val="24"/>
        </w:rPr>
      </w:pPr>
      <w:r>
        <w:rPr>
          <w:i/>
          <w:iCs/>
          <w:sz w:val="24"/>
          <w:szCs w:val="24"/>
        </w:rPr>
        <w:t>Gather information and intelligence.</w:t>
      </w:r>
    </w:p>
    <w:p w14:paraId="66308A06" w14:textId="77777777" w:rsidR="00530EEC" w:rsidRDefault="00530EEC" w:rsidP="00530EEC">
      <w:pPr>
        <w:numPr>
          <w:ilvl w:val="0"/>
          <w:numId w:val="50"/>
        </w:numPr>
        <w:overflowPunct/>
        <w:autoSpaceDE/>
        <w:adjustRightInd/>
        <w:spacing w:before="100" w:after="100"/>
        <w:jc w:val="both"/>
        <w:textAlignment w:val="auto"/>
        <w:rPr>
          <w:i/>
          <w:iCs/>
          <w:sz w:val="24"/>
          <w:szCs w:val="24"/>
        </w:rPr>
      </w:pPr>
      <w:r>
        <w:rPr>
          <w:i/>
          <w:iCs/>
          <w:sz w:val="24"/>
          <w:szCs w:val="24"/>
        </w:rPr>
        <w:t>Assess threat and risk and develop a working strategy.</w:t>
      </w:r>
    </w:p>
    <w:p w14:paraId="6F2BF69F" w14:textId="77777777" w:rsidR="00530EEC" w:rsidRDefault="00530EEC" w:rsidP="00530EEC">
      <w:pPr>
        <w:numPr>
          <w:ilvl w:val="0"/>
          <w:numId w:val="50"/>
        </w:numPr>
        <w:overflowPunct/>
        <w:autoSpaceDE/>
        <w:adjustRightInd/>
        <w:spacing w:before="100" w:after="100"/>
        <w:jc w:val="both"/>
        <w:textAlignment w:val="auto"/>
        <w:rPr>
          <w:i/>
          <w:iCs/>
          <w:sz w:val="24"/>
          <w:szCs w:val="24"/>
        </w:rPr>
      </w:pPr>
      <w:r>
        <w:rPr>
          <w:i/>
          <w:iCs/>
          <w:sz w:val="24"/>
          <w:szCs w:val="24"/>
        </w:rPr>
        <w:t>Consider powers and policy.</w:t>
      </w:r>
    </w:p>
    <w:p w14:paraId="04A127ED" w14:textId="77777777" w:rsidR="00530EEC" w:rsidRDefault="00530EEC" w:rsidP="00530EEC">
      <w:pPr>
        <w:numPr>
          <w:ilvl w:val="0"/>
          <w:numId w:val="50"/>
        </w:numPr>
        <w:overflowPunct/>
        <w:autoSpaceDE/>
        <w:adjustRightInd/>
        <w:spacing w:before="100" w:after="100"/>
        <w:jc w:val="both"/>
        <w:textAlignment w:val="auto"/>
        <w:rPr>
          <w:i/>
          <w:iCs/>
          <w:sz w:val="24"/>
          <w:szCs w:val="24"/>
        </w:rPr>
      </w:pPr>
      <w:r>
        <w:rPr>
          <w:i/>
          <w:iCs/>
          <w:sz w:val="24"/>
          <w:szCs w:val="24"/>
        </w:rPr>
        <w:t>Identify options and contingencies.</w:t>
      </w:r>
    </w:p>
    <w:p w14:paraId="358573CF" w14:textId="77777777" w:rsidR="00530EEC" w:rsidRDefault="00530EEC" w:rsidP="00530EEC">
      <w:pPr>
        <w:numPr>
          <w:ilvl w:val="0"/>
          <w:numId w:val="50"/>
        </w:numPr>
        <w:overflowPunct/>
        <w:autoSpaceDE/>
        <w:adjustRightInd/>
        <w:spacing w:before="100" w:after="100"/>
        <w:jc w:val="both"/>
        <w:textAlignment w:val="auto"/>
        <w:rPr>
          <w:i/>
          <w:iCs/>
          <w:sz w:val="24"/>
          <w:szCs w:val="24"/>
        </w:rPr>
      </w:pPr>
      <w:r>
        <w:rPr>
          <w:i/>
          <w:iCs/>
          <w:sz w:val="24"/>
          <w:szCs w:val="24"/>
        </w:rPr>
        <w:lastRenderedPageBreak/>
        <w:t>Take action and review what happened’’.</w:t>
      </w:r>
    </w:p>
    <w:p w14:paraId="5BB89554" w14:textId="77777777" w:rsidR="00530EEC" w:rsidRDefault="00530EEC" w:rsidP="00530EEC">
      <w:pPr>
        <w:overflowPunct/>
        <w:autoSpaceDE/>
        <w:spacing w:before="100" w:after="100"/>
        <w:jc w:val="both"/>
        <w:textAlignment w:val="auto"/>
      </w:pPr>
      <w:r>
        <w:rPr>
          <w:sz w:val="24"/>
          <w:szCs w:val="24"/>
        </w:rPr>
        <w:t>Throughout, I will demonstrate how the incident I have selected will fit under each element of the NDM and how constantly spinning the wheel has led to the decisions and outcomes taken by myself and my colleagues. While identifying what the NDM is, it is imperative for the reader to understand what discretion means in policing. Discretion used by the police force has been defined by Newburn and Neyroud (2008, p 82) as ‘</w:t>
      </w:r>
      <w:r>
        <w:rPr>
          <w:i/>
          <w:iCs/>
          <w:sz w:val="24"/>
          <w:szCs w:val="24"/>
        </w:rPr>
        <w:t>’the freedom of the individual officer to act accordingly to his or her own judgement in particular situations’’</w:t>
      </w:r>
      <w:r>
        <w:rPr>
          <w:sz w:val="24"/>
          <w:szCs w:val="24"/>
        </w:rPr>
        <w:t xml:space="preserve">. </w:t>
      </w:r>
    </w:p>
    <w:p w14:paraId="53459C25" w14:textId="77777777" w:rsidR="00530EEC" w:rsidRPr="00CB18E9" w:rsidRDefault="00530EEC" w:rsidP="00530EEC">
      <w:pPr>
        <w:overflowPunct/>
        <w:autoSpaceDE/>
        <w:spacing w:before="100" w:after="100"/>
        <w:jc w:val="both"/>
        <w:textAlignment w:val="auto"/>
        <w:rPr>
          <w:sz w:val="24"/>
          <w:szCs w:val="24"/>
        </w:rPr>
      </w:pPr>
      <w:r>
        <w:rPr>
          <w:sz w:val="24"/>
          <w:szCs w:val="24"/>
        </w:rPr>
        <w:t>As mentioned previously, the defendant I will be addressing in this academic piece will be referred to as Person (A) and is a juvenile. Person (A) attended a house party on a Saturday night in September 2023 where there were more than 100 people in attendance. Concerned neighbours have called the police who have attended the scene along with Police Community Support Officers (PCSO’s). Upon arrival, there are a number of juveniles who have been verbally aggressive towards both officers and PCSO’s. This is where it has been essential to look at the threat and risk element of the NDM to establish the best way forward while keeping everyone safe as written by the college of policing (2023). During this period Officers and PCSO’s have also been able to gather information from both the concerned neighbours and the crowds. After about 30 minutes of talking and working with the juveniles, a lot disperse and make their way home. Except for (A) who makes himself known to the police. While a police officer is engaging with (A), he proves to be uncooperative with the officer; while asking where (A) lives, he responds by telling the officer that he is a ‘’Ginger faggot’’ in Italian. When the officer has asked him to repeat himself, he then gives the same insult in English. At this point, (A) is then arrested for a public order offence, given his caution and necessity for the arrest. At this point, the officer had not applied handcuffs to (A). Whilst being escorted to the van in order to transport him to custody, (A) has come across more officers while waiting to get into the van, he proceeds to ask ‘’Is everyone here British?’’ The officers don’t give him a response when (A) then shouts ‘’All British, All British, Heil Hitler’’ while raising his arm to a 45-degree angle. Person (A) is then arrested on two counts of public order, one of those counts being racially and religiously aggravated.  Racially and religiously aggravated public order Section 5 is defined as ‘</w:t>
      </w:r>
      <w:r>
        <w:rPr>
          <w:i/>
          <w:iCs/>
          <w:sz w:val="24"/>
          <w:szCs w:val="24"/>
        </w:rPr>
        <w:t>’ a person is guilty of this offence if they use threatening or abusive words or behaviour, or they display any visual representation which is threatening or abusive and this is done within hearing or sight of a person who can be caused harassment, alarm or distress</w:t>
      </w:r>
      <w:r>
        <w:rPr>
          <w:sz w:val="24"/>
          <w:szCs w:val="24"/>
        </w:rPr>
        <w:t xml:space="preserve">’’, cited by DPP v Orum (1989). </w:t>
      </w:r>
    </w:p>
    <w:p w14:paraId="30840F1C" w14:textId="77777777" w:rsidR="00530EEC" w:rsidRDefault="00530EEC" w:rsidP="00530EEC">
      <w:pPr>
        <w:jc w:val="both"/>
        <w:rPr>
          <w:sz w:val="24"/>
          <w:szCs w:val="24"/>
        </w:rPr>
      </w:pPr>
      <w:r>
        <w:rPr>
          <w:sz w:val="24"/>
          <w:szCs w:val="24"/>
        </w:rPr>
        <w:t>The following morning, I have this case handed over to me, where I start playing my significant role. First of all, I needed to receive the correct information and intelligence as cited by the College of Policing (2023).  I followed the legislation set out by the Criminal Procedures and Investigations Act 1996 (CPIA) which allows officers to conduct an individual and fair investigation to establish whether a charge is necessary or if there is enough evidence for a subject to be guilty of an offence (O’Neill, 2008).</w:t>
      </w:r>
    </w:p>
    <w:p w14:paraId="55446C94" w14:textId="77777777" w:rsidR="00530EEC" w:rsidRDefault="00530EEC" w:rsidP="00530EEC">
      <w:pPr>
        <w:jc w:val="both"/>
        <w:rPr>
          <w:sz w:val="24"/>
          <w:szCs w:val="24"/>
        </w:rPr>
      </w:pPr>
      <w:r>
        <w:rPr>
          <w:sz w:val="24"/>
          <w:szCs w:val="24"/>
        </w:rPr>
        <w:t>I conducted my research into the case looking through the police systems such as Niche and PNC. I find that (A) has never previously had anything to do with the police, making these offences the first that the police are made aware of. I conducted my own research into the case so I could assess the powers and policies used and I agree with my colleagues that a Section 5 Public Order offence was the appropriate route to take. Due to the nature of the offence being racially and religiously aggravated, I do not believe that there was another option to explore in regard to how I handled this case. Additionally, due to the nature of the offence, discretion as defined by DPP v Orum (1989) wasn’t in the best interests of public safety.</w:t>
      </w:r>
    </w:p>
    <w:p w14:paraId="3D064794" w14:textId="77777777" w:rsidR="00530EEC" w:rsidRDefault="00530EEC" w:rsidP="00530EEC">
      <w:pPr>
        <w:jc w:val="both"/>
        <w:rPr>
          <w:sz w:val="24"/>
          <w:szCs w:val="24"/>
        </w:rPr>
      </w:pPr>
    </w:p>
    <w:p w14:paraId="34F4BC21" w14:textId="77777777" w:rsidR="00530EEC" w:rsidRDefault="00530EEC" w:rsidP="00530EEC">
      <w:pPr>
        <w:jc w:val="both"/>
        <w:rPr>
          <w:sz w:val="24"/>
          <w:szCs w:val="24"/>
        </w:rPr>
      </w:pPr>
      <w:r>
        <w:rPr>
          <w:sz w:val="24"/>
          <w:szCs w:val="24"/>
        </w:rPr>
        <w:lastRenderedPageBreak/>
        <w:t>Once I had gathered all of my information, I began to prepare for the interview using the PEACE model which Walsh and Milne (2008) evaluated as the following ‘</w:t>
      </w:r>
      <w:r w:rsidRPr="005C6130">
        <w:rPr>
          <w:i/>
          <w:iCs/>
          <w:sz w:val="24"/>
          <w:szCs w:val="24"/>
        </w:rPr>
        <w:t>’planning and prepare, engage and explain, account, clarification and challenge, closure and evaluate’</w:t>
      </w:r>
      <w:r>
        <w:rPr>
          <w:sz w:val="24"/>
          <w:szCs w:val="24"/>
        </w:rPr>
        <w:t xml:space="preserve">’ (CoP, 2013q). The planning and preparation allowed me to focus on the offences and to keep the interview on track. It also gave me the opportunity to Exhibits together ready for the interview itself and disclosure with the solicitor. Upon completion of planning, I then led an interview with (A). Due to the nature of the offender being under the age of 18 years, an appropriate adult was needed as dictated by Code C of the Police and Criminal Evidence Act 1984 (PACE), and (A) accepted his legal right to a solicitor. To start the interview, I have gone through the appropriate opening memo which details the caution and the legal rights to the defendant. The appropriate adult also had their role explained to them as well as the solicitor. During the interview (A) was asked ‘’On a scale of 1 being sober to 10 being heavily intoxicated, where would you put yourself on that scale?’’ To which he replied 8. Person (A) solicitor advised him to inform us of what he was studying in his A-levels at the moment as she though it was pertinent for both my colleague and I to know. To which I corroborated with, as the interview process has allowed both my colleague and I to continue with the gathering of information and intelligence. Person (A) has explained that he is studying A-level History where he is currently learning about Nazi Germany. (A) explained that when he finds a topic interesting, he obsesses and fixates on it for a few months. (A) also disclosed he is waiting on a CAHM’s referral. Mum told me post interview that (A) is being assessed for autism, which will take place when he gets assessed by CAHM’s. </w:t>
      </w:r>
    </w:p>
    <w:p w14:paraId="2BE1FCC8" w14:textId="77777777" w:rsidR="00530EEC" w:rsidRDefault="00530EEC" w:rsidP="00530EEC">
      <w:pPr>
        <w:jc w:val="both"/>
        <w:rPr>
          <w:sz w:val="24"/>
          <w:szCs w:val="24"/>
        </w:rPr>
      </w:pPr>
    </w:p>
    <w:p w14:paraId="17AB4060" w14:textId="77777777" w:rsidR="00530EEC" w:rsidRDefault="00530EEC" w:rsidP="00530EEC">
      <w:pPr>
        <w:jc w:val="both"/>
        <w:rPr>
          <w:sz w:val="24"/>
          <w:szCs w:val="24"/>
        </w:rPr>
      </w:pPr>
      <w:r>
        <w:rPr>
          <w:sz w:val="24"/>
          <w:szCs w:val="24"/>
        </w:rPr>
        <w:t xml:space="preserve">During the interview, I showed (A) a still image of him saluting and asked him to confirm if that was him in the photo to which he did confirm. I then proceeded to show him the Body Worn Video (BWV) footage of him saluting, he couldn’t watch the footage and sat with his head in his hands but confirmed that it was him in the footage. The evidence to support the investigation was disclosed to (A’s) solicitor which supported by Cape (2015) gives the solicitor a greater understanding of the offence and how to guide her client in the defence process. R v Roble (1997) corroborates this by stating that a solicitor must have enough evidence in order to defend their client, however, it is up to the interviewing officers to determine which materials should be disclosed prior to interview. During questioning about why he was saluting, (A) tried to deliver both my colleague and I a history lesson about Nazi Germany, which we had to cut short as it wasn’t pertinent to the questioning. I then closed the interview and asked if there was anything (A) wished to add and he stated that ‘’the behaviour he conducted both towards the officers and with regards to saluting and shouting all British, all British, Heil Hitler’’ didn’t reflect his beliefs. </w:t>
      </w:r>
    </w:p>
    <w:p w14:paraId="1FD173CD" w14:textId="77777777" w:rsidR="00530EEC" w:rsidRDefault="00530EEC" w:rsidP="00530EEC">
      <w:pPr>
        <w:jc w:val="both"/>
        <w:rPr>
          <w:sz w:val="24"/>
          <w:szCs w:val="24"/>
        </w:rPr>
      </w:pPr>
      <w:r>
        <w:rPr>
          <w:sz w:val="24"/>
          <w:szCs w:val="24"/>
        </w:rPr>
        <w:t>Upon returning to that station, I have reviewed the interview and spun the NDM wheel to assess threat and risk. I deemed it appropriate, that it was in the best interest of the public to take action by submitting a Prevent form to Counter Terrorism Wales (CTW), so they can review the form and contact (A) in order for them to support and educate him. (The Home Office, 2015e, p19) have made it an obligation and a necessity for local authorities ‘</w:t>
      </w:r>
      <w:r w:rsidRPr="008F4631">
        <w:rPr>
          <w:i/>
          <w:iCs/>
          <w:sz w:val="24"/>
          <w:szCs w:val="24"/>
        </w:rPr>
        <w:t>’under Section 36 of the Counterterrorism and Security Act 2015’’</w:t>
      </w:r>
      <w:r>
        <w:rPr>
          <w:sz w:val="24"/>
          <w:szCs w:val="24"/>
        </w:rPr>
        <w:t xml:space="preserve"> to avert minors being groomed into terrorism. </w:t>
      </w:r>
    </w:p>
    <w:p w14:paraId="4154398B" w14:textId="77777777" w:rsidR="00530EEC" w:rsidRDefault="00530EEC" w:rsidP="00530EEC">
      <w:pPr>
        <w:jc w:val="both"/>
        <w:rPr>
          <w:sz w:val="24"/>
          <w:szCs w:val="24"/>
        </w:rPr>
      </w:pPr>
      <w:r>
        <w:rPr>
          <w:sz w:val="24"/>
          <w:szCs w:val="24"/>
        </w:rPr>
        <w:t xml:space="preserve">I have then applied for (A)’s bail awaiting Criminal Prosecution Service (CPS) decision which was granted. At the time of writing, (A) is awaiting the decision of the CPS.  </w:t>
      </w:r>
    </w:p>
    <w:p w14:paraId="57305A91" w14:textId="77777777" w:rsidR="00530EEC" w:rsidRDefault="00530EEC" w:rsidP="00530EEC">
      <w:pPr>
        <w:overflowPunct/>
        <w:autoSpaceDE/>
        <w:spacing w:before="100" w:after="100"/>
        <w:jc w:val="both"/>
        <w:textAlignment w:val="auto"/>
        <w:rPr>
          <w:sz w:val="24"/>
          <w:szCs w:val="24"/>
        </w:rPr>
      </w:pPr>
      <w:r>
        <w:rPr>
          <w:sz w:val="24"/>
          <w:szCs w:val="24"/>
        </w:rPr>
        <w:t xml:space="preserve">To conclude, it is vital to constantly review the NDM while conducting your investigation as set out by CPIA 1996. It ensures a fair and thorough investigation and outcome both for the subject and for the best interest of public safety. Throughout this investigation, I have kept spinning the NDM wheel to ensure that the information and intelligence gathered was factual, while ensuring that (A) was not going to be a threat to the public. The appropriate referrals </w:t>
      </w:r>
      <w:r>
        <w:rPr>
          <w:sz w:val="24"/>
          <w:szCs w:val="24"/>
        </w:rPr>
        <w:lastRenderedPageBreak/>
        <w:t>were made so (A) can be educated on his actions by a specialist team. (A) confirmed with me that he understood how his behaviour would be considered threatening, abusive and cause distress and is aware of the legal implications of his actions. As a responsible officer, I have engaged with the NDM and the CPIA (1996) to produce good outcomes not only for the offender but also for public safety.</w:t>
      </w:r>
    </w:p>
    <w:p w14:paraId="650A93BC" w14:textId="77777777" w:rsidR="00530EEC" w:rsidRDefault="00530EEC" w:rsidP="00530EEC">
      <w:pPr>
        <w:jc w:val="both"/>
        <w:rPr>
          <w:sz w:val="24"/>
          <w:szCs w:val="24"/>
        </w:rPr>
      </w:pPr>
    </w:p>
    <w:p w14:paraId="61D27F91" w14:textId="77777777" w:rsidR="00530EEC" w:rsidRDefault="00530EEC" w:rsidP="00530EEC">
      <w:pPr>
        <w:jc w:val="both"/>
        <w:rPr>
          <w:b/>
          <w:bCs/>
          <w:sz w:val="24"/>
          <w:szCs w:val="24"/>
          <w:u w:val="single"/>
        </w:rPr>
      </w:pPr>
      <w:r>
        <w:rPr>
          <w:b/>
          <w:bCs/>
          <w:sz w:val="24"/>
          <w:szCs w:val="24"/>
          <w:u w:val="single"/>
        </w:rPr>
        <w:t>Word Count: 1767</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133FCE57" w:rsidR="043B6711" w:rsidRDefault="043B6711" w:rsidP="1537D0F1">
      <w:pPr>
        <w:ind w:right="107"/>
        <w:jc w:val="both"/>
        <w:rPr>
          <w:sz w:val="24"/>
          <w:szCs w:val="24"/>
        </w:rPr>
      </w:pPr>
      <w:r w:rsidRPr="1537D0F1">
        <w:rPr>
          <w:sz w:val="24"/>
          <w:szCs w:val="24"/>
        </w:rPr>
        <w:t>Independent Patrol Sta</w:t>
      </w:r>
      <w:r w:rsidR="00EB0525">
        <w:rPr>
          <w:sz w:val="24"/>
          <w:szCs w:val="24"/>
        </w:rPr>
        <w:t>t</w:t>
      </w:r>
      <w:r w:rsidRPr="1537D0F1">
        <w:rPr>
          <w:sz w:val="24"/>
          <w:szCs w:val="24"/>
        </w:rPr>
        <w:t>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41AD2CFC" w14:textId="77777777" w:rsidR="00993EAE" w:rsidRDefault="00993EAE" w:rsidP="00993EAE">
      <w:pPr>
        <w:jc w:val="both"/>
      </w:pPr>
      <w:r>
        <w:rPr>
          <w:sz w:val="24"/>
          <w:szCs w:val="24"/>
        </w:rPr>
        <w:t xml:space="preserve">(2013a), Domestic violence and abuse: new definition available at </w:t>
      </w:r>
      <w:hyperlink r:id="rId20" w:history="1">
        <w:r>
          <w:rPr>
            <w:rStyle w:val="Hyperlink"/>
            <w:sz w:val="24"/>
            <w:szCs w:val="24"/>
          </w:rPr>
          <w:t>https://www.gov.uk/domestic-violence-and-abuse</w:t>
        </w:r>
      </w:hyperlink>
      <w:r>
        <w:rPr>
          <w:sz w:val="24"/>
          <w:szCs w:val="24"/>
        </w:rPr>
        <w:t xml:space="preserve"> (accessed 20 December 2013)</w:t>
      </w:r>
    </w:p>
    <w:p w14:paraId="25E4480F" w14:textId="77777777" w:rsidR="00993EAE" w:rsidRDefault="00993EAE" w:rsidP="00F10855">
      <w:pPr>
        <w:ind w:right="107"/>
        <w:jc w:val="both"/>
        <w:rPr>
          <w:sz w:val="24"/>
          <w:szCs w:val="24"/>
        </w:rPr>
      </w:pPr>
    </w:p>
    <w:p w14:paraId="5D8CBA68" w14:textId="21005C5E" w:rsidR="00F10855" w:rsidRDefault="00F10855" w:rsidP="00F10855">
      <w:pPr>
        <w:ind w:right="107"/>
        <w:jc w:val="both"/>
      </w:pPr>
      <w:r>
        <w:rPr>
          <w:sz w:val="24"/>
          <w:szCs w:val="24"/>
        </w:rPr>
        <w:t>Barrow, G. (2007). Transactional analysis, pastoral care, and education. Pastoral Care in Education, 25, 21–25.</w:t>
      </w:r>
    </w:p>
    <w:p w14:paraId="71649047" w14:textId="77777777" w:rsidR="00F10855" w:rsidRDefault="00F10855" w:rsidP="00205325">
      <w:pPr>
        <w:rPr>
          <w:sz w:val="24"/>
          <w:szCs w:val="24"/>
        </w:rPr>
      </w:pPr>
    </w:p>
    <w:p w14:paraId="05CF09DD" w14:textId="5C1BBA52" w:rsidR="0060227E" w:rsidRPr="00EF3517" w:rsidRDefault="00205325" w:rsidP="00205325">
      <w:pPr>
        <w:rPr>
          <w:sz w:val="24"/>
          <w:szCs w:val="24"/>
        </w:rPr>
      </w:pPr>
      <w:r w:rsidRPr="00EF3517">
        <w:rPr>
          <w:sz w:val="24"/>
          <w:szCs w:val="24"/>
        </w:rPr>
        <w:t xml:space="preserve">Bergen-Cico D, Cheon S. Mediating role of mindfulness and self-compassion in reducing trait anxiety [published online ahead of print March 1, 2013]. Mindfulness. doi: 10.1007/s12671-013- 0205-y. </w:t>
      </w:r>
    </w:p>
    <w:p w14:paraId="4642107F" w14:textId="77777777" w:rsidR="00205325" w:rsidRPr="00EF3517" w:rsidRDefault="00205325" w:rsidP="00205325">
      <w:pPr>
        <w:rPr>
          <w:sz w:val="24"/>
          <w:szCs w:val="24"/>
        </w:rPr>
      </w:pPr>
    </w:p>
    <w:p w14:paraId="25E7C9C2" w14:textId="77777777" w:rsidR="00256C57" w:rsidRPr="00EF3517" w:rsidRDefault="00256C57" w:rsidP="00256C57">
      <w:pPr>
        <w:jc w:val="both"/>
        <w:rPr>
          <w:sz w:val="24"/>
          <w:szCs w:val="24"/>
        </w:rPr>
      </w:pPr>
      <w:r w:rsidRPr="00EF3517">
        <w:rPr>
          <w:sz w:val="24"/>
          <w:szCs w:val="24"/>
        </w:rPr>
        <w:t>Blackstone’s (2023) Handbook for Policing Students. Oxford.</w:t>
      </w:r>
    </w:p>
    <w:p w14:paraId="67D2880E" w14:textId="77777777" w:rsidR="00256C57" w:rsidRPr="00EF3517" w:rsidRDefault="00256C57" w:rsidP="00205325">
      <w:pPr>
        <w:rPr>
          <w:sz w:val="24"/>
          <w:szCs w:val="24"/>
        </w:rPr>
      </w:pPr>
    </w:p>
    <w:p w14:paraId="7BCAEE1D" w14:textId="77777777" w:rsidR="005207F1" w:rsidRDefault="005207F1" w:rsidP="005207F1">
      <w:pPr>
        <w:jc w:val="both"/>
        <w:rPr>
          <w:sz w:val="24"/>
          <w:szCs w:val="24"/>
        </w:rPr>
      </w:pPr>
      <w:r w:rsidRPr="00EF3517">
        <w:rPr>
          <w:sz w:val="24"/>
          <w:szCs w:val="24"/>
        </w:rPr>
        <w:t>Cape, E (2015), ‘Transposing the EU Directive on the right to information: a firecracker or a damp squib?’, Criminal Law Review 1, 48-67</w:t>
      </w:r>
    </w:p>
    <w:p w14:paraId="532C4B88" w14:textId="77777777" w:rsidR="005B7135" w:rsidRDefault="005B7135" w:rsidP="005207F1">
      <w:pPr>
        <w:jc w:val="both"/>
        <w:rPr>
          <w:sz w:val="24"/>
          <w:szCs w:val="24"/>
        </w:rPr>
      </w:pPr>
    </w:p>
    <w:p w14:paraId="29AF9941" w14:textId="77777777" w:rsidR="005B7135" w:rsidRPr="00EF3517" w:rsidRDefault="005B7135" w:rsidP="005B7135">
      <w:pPr>
        <w:rPr>
          <w:sz w:val="24"/>
          <w:szCs w:val="24"/>
        </w:rPr>
      </w:pPr>
      <w:r w:rsidRPr="00EF3517">
        <w:rPr>
          <w:sz w:val="24"/>
          <w:szCs w:val="24"/>
        </w:rPr>
        <w:t>Carmody J, Baer A. How long does a mindfulness-based stress reduction program need to be? A review of class contact hours and effect sizes for psychological distress. J Clin Psychol. 2009; 65:627–638.</w:t>
      </w:r>
    </w:p>
    <w:p w14:paraId="5D553A6F" w14:textId="77777777" w:rsidR="005B7135" w:rsidRDefault="005B7135" w:rsidP="005207F1">
      <w:pPr>
        <w:jc w:val="both"/>
        <w:rPr>
          <w:sz w:val="24"/>
          <w:szCs w:val="24"/>
        </w:rPr>
      </w:pPr>
    </w:p>
    <w:p w14:paraId="047A54F4" w14:textId="77777777" w:rsidR="005B7135" w:rsidRDefault="005B7135" w:rsidP="005B7135">
      <w:pPr>
        <w:ind w:right="107"/>
        <w:jc w:val="both"/>
        <w:rPr>
          <w:sz w:val="24"/>
          <w:szCs w:val="24"/>
        </w:rPr>
      </w:pPr>
      <w:r>
        <w:rPr>
          <w:sz w:val="24"/>
          <w:szCs w:val="24"/>
        </w:rPr>
        <w:t>Carr, A. (1989). Countertransference to families where child abuse has occurred. Journal of Family Therapy, 11, 87–97.</w:t>
      </w:r>
    </w:p>
    <w:p w14:paraId="3648B447" w14:textId="77777777" w:rsidR="005B7135" w:rsidRPr="00EF3517" w:rsidRDefault="005B7135" w:rsidP="005207F1">
      <w:pPr>
        <w:jc w:val="both"/>
        <w:rPr>
          <w:sz w:val="24"/>
          <w:szCs w:val="24"/>
        </w:rPr>
      </w:pPr>
    </w:p>
    <w:p w14:paraId="4FFF1FF9" w14:textId="77777777" w:rsidR="005207F1" w:rsidRPr="00EF3517" w:rsidRDefault="005207F1" w:rsidP="005207F1">
      <w:pPr>
        <w:jc w:val="both"/>
        <w:rPr>
          <w:sz w:val="24"/>
          <w:szCs w:val="24"/>
        </w:rPr>
      </w:pPr>
      <w:r w:rsidRPr="00EF3517">
        <w:rPr>
          <w:sz w:val="24"/>
          <w:szCs w:val="24"/>
        </w:rPr>
        <w:t xml:space="preserve">College of policing. (2023) </w:t>
      </w:r>
      <w:hyperlink r:id="rId21" w:history="1">
        <w:r w:rsidRPr="00EF3517">
          <w:rPr>
            <w:rStyle w:val="Hyperlink"/>
            <w:sz w:val="24"/>
            <w:szCs w:val="24"/>
          </w:rPr>
          <w:t>National decision model | College of Policing</w:t>
        </w:r>
      </w:hyperlink>
      <w:r w:rsidRPr="00EF3517">
        <w:rPr>
          <w:sz w:val="24"/>
          <w:szCs w:val="24"/>
        </w:rPr>
        <w:t>. college of policing. All content (excluding logos and photographs) is available under the Non-Commercial College License except where otherwise stated. (2023).</w:t>
      </w:r>
    </w:p>
    <w:p w14:paraId="097A7F6F" w14:textId="77777777" w:rsidR="005207F1" w:rsidRPr="00EF3517" w:rsidRDefault="005207F1" w:rsidP="005207F1">
      <w:pPr>
        <w:jc w:val="both"/>
        <w:rPr>
          <w:sz w:val="24"/>
          <w:szCs w:val="24"/>
        </w:rPr>
      </w:pPr>
    </w:p>
    <w:p w14:paraId="3B776EFC" w14:textId="77777777" w:rsidR="005207F1" w:rsidRPr="00EF3517" w:rsidRDefault="005207F1" w:rsidP="005207F1">
      <w:pPr>
        <w:jc w:val="both"/>
        <w:rPr>
          <w:sz w:val="24"/>
          <w:szCs w:val="24"/>
        </w:rPr>
      </w:pPr>
      <w:r w:rsidRPr="00EF3517">
        <w:rPr>
          <w:sz w:val="24"/>
          <w:szCs w:val="24"/>
        </w:rPr>
        <w:t xml:space="preserve">CoP, (2013q), Investigative interviewing  at </w:t>
      </w:r>
      <w:hyperlink r:id="rId22" w:history="1">
        <w:r w:rsidRPr="00EF3517">
          <w:rPr>
            <w:rStyle w:val="Hyperlink"/>
            <w:sz w:val="24"/>
            <w:szCs w:val="24"/>
          </w:rPr>
          <w:t>Investigative interviewing | College of Policing</w:t>
        </w:r>
      </w:hyperlink>
      <w:r w:rsidRPr="00EF3517">
        <w:rPr>
          <w:sz w:val="24"/>
          <w:szCs w:val="24"/>
        </w:rPr>
        <w:t xml:space="preserve"> (updated 26 October 2022).</w:t>
      </w:r>
    </w:p>
    <w:p w14:paraId="6FE99315" w14:textId="77777777" w:rsidR="005207F1" w:rsidRPr="00EF3517" w:rsidRDefault="005207F1" w:rsidP="005207F1">
      <w:pPr>
        <w:jc w:val="both"/>
        <w:rPr>
          <w:sz w:val="24"/>
          <w:szCs w:val="24"/>
        </w:rPr>
      </w:pPr>
    </w:p>
    <w:p w14:paraId="6EBC8F27" w14:textId="77777777" w:rsidR="005207F1" w:rsidRPr="00EF3517" w:rsidRDefault="005207F1" w:rsidP="005207F1">
      <w:pPr>
        <w:jc w:val="both"/>
        <w:rPr>
          <w:sz w:val="24"/>
          <w:szCs w:val="24"/>
        </w:rPr>
      </w:pPr>
      <w:r w:rsidRPr="00EF3517">
        <w:rPr>
          <w:sz w:val="24"/>
          <w:szCs w:val="24"/>
        </w:rPr>
        <w:t xml:space="preserve">CoP (2014c), National Decision Model: Policing Principles available at </w:t>
      </w:r>
      <w:hyperlink r:id="rId23" w:anchor="policing-principles(accessed" w:history="1">
        <w:r w:rsidRPr="00EF3517">
          <w:rPr>
            <w:rStyle w:val="Hyperlink"/>
            <w:sz w:val="24"/>
            <w:szCs w:val="24"/>
          </w:rPr>
          <w:t>https://www.app.college.police.uk/app-content/national-decision-model/the-national-decision-model/#policing-principles(accessed</w:t>
        </w:r>
      </w:hyperlink>
      <w:r w:rsidRPr="00EF3517">
        <w:rPr>
          <w:sz w:val="24"/>
          <w:szCs w:val="24"/>
        </w:rPr>
        <w:t xml:space="preserve"> 16 February 2018).</w:t>
      </w:r>
    </w:p>
    <w:p w14:paraId="52CCB531" w14:textId="77777777" w:rsidR="005207F1" w:rsidRDefault="005207F1" w:rsidP="005207F1">
      <w:pPr>
        <w:jc w:val="both"/>
        <w:rPr>
          <w:sz w:val="24"/>
          <w:szCs w:val="24"/>
        </w:rPr>
      </w:pPr>
    </w:p>
    <w:p w14:paraId="612021D1" w14:textId="77777777" w:rsidR="00993EAE" w:rsidRDefault="00993EAE" w:rsidP="00993EAE">
      <w:pPr>
        <w:jc w:val="both"/>
        <w:rPr>
          <w:sz w:val="24"/>
          <w:szCs w:val="24"/>
        </w:rPr>
      </w:pPr>
      <w:r>
        <w:rPr>
          <w:sz w:val="24"/>
          <w:szCs w:val="24"/>
        </w:rPr>
        <w:t xml:space="preserve">Cop, (2015d), First response available at </w:t>
      </w:r>
      <w:hyperlink r:id="rId24" w:history="1">
        <w:r>
          <w:rPr>
            <w:rStyle w:val="Hyperlink"/>
            <w:sz w:val="24"/>
            <w:szCs w:val="24"/>
          </w:rPr>
          <w:t>https://www.app.college.police.uk/app-content/major-investigation-and-public-protection/domestic-abuse/first-response/</w:t>
        </w:r>
      </w:hyperlink>
      <w:r>
        <w:rPr>
          <w:sz w:val="24"/>
          <w:szCs w:val="24"/>
        </w:rPr>
        <w:t xml:space="preserve"> (accessed 26 December 2015).</w:t>
      </w:r>
    </w:p>
    <w:p w14:paraId="68CDE83C" w14:textId="77777777" w:rsidR="00CE71D7" w:rsidRDefault="00CE71D7" w:rsidP="00993EAE">
      <w:pPr>
        <w:jc w:val="both"/>
        <w:rPr>
          <w:sz w:val="24"/>
          <w:szCs w:val="24"/>
        </w:rPr>
      </w:pPr>
    </w:p>
    <w:p w14:paraId="086BE265" w14:textId="77777777" w:rsidR="00CE71D7" w:rsidRDefault="00CE71D7" w:rsidP="00CE71D7">
      <w:pPr>
        <w:jc w:val="both"/>
      </w:pPr>
      <w:r>
        <w:rPr>
          <w:sz w:val="24"/>
          <w:szCs w:val="24"/>
        </w:rPr>
        <w:t xml:space="preserve">Coram Child Law Services (2023), The Law on Smacking Children available at </w:t>
      </w:r>
      <w:hyperlink r:id="rId25" w:history="1">
        <w:r>
          <w:rPr>
            <w:rStyle w:val="Hyperlink"/>
            <w:sz w:val="24"/>
            <w:szCs w:val="24"/>
          </w:rPr>
          <w:t>The law on smacking children - childlawadvice.org.uk</w:t>
        </w:r>
      </w:hyperlink>
      <w:r>
        <w:rPr>
          <w:sz w:val="24"/>
          <w:szCs w:val="24"/>
        </w:rPr>
        <w:t xml:space="preserve"> </w:t>
      </w:r>
    </w:p>
    <w:p w14:paraId="3DB45077" w14:textId="77777777" w:rsidR="00993EAE" w:rsidRPr="00EF3517" w:rsidRDefault="00993EAE" w:rsidP="005207F1">
      <w:pPr>
        <w:jc w:val="both"/>
        <w:rPr>
          <w:sz w:val="24"/>
          <w:szCs w:val="24"/>
        </w:rPr>
      </w:pPr>
    </w:p>
    <w:p w14:paraId="124FF38B" w14:textId="77777777" w:rsidR="005207F1" w:rsidRPr="00EF3517" w:rsidRDefault="005207F1" w:rsidP="005207F1">
      <w:pPr>
        <w:jc w:val="both"/>
        <w:rPr>
          <w:sz w:val="24"/>
          <w:szCs w:val="24"/>
        </w:rPr>
      </w:pPr>
      <w:r w:rsidRPr="00EF3517">
        <w:rPr>
          <w:sz w:val="24"/>
          <w:szCs w:val="24"/>
        </w:rPr>
        <w:t xml:space="preserve">Criminal Procedures and Investigations Act (1996) </w:t>
      </w:r>
      <w:hyperlink r:id="rId26" w:history="1">
        <w:r w:rsidRPr="00EF3517">
          <w:rPr>
            <w:color w:val="0000FF"/>
            <w:sz w:val="24"/>
            <w:szCs w:val="24"/>
            <w:u w:val="single"/>
          </w:rPr>
          <w:t>Criminal Procedure and Investigations Act 1996 (legislation.gov.uk)</w:t>
        </w:r>
      </w:hyperlink>
      <w:r w:rsidRPr="00EF3517">
        <w:rPr>
          <w:sz w:val="24"/>
          <w:szCs w:val="24"/>
        </w:rPr>
        <w:t>.Crown and Database right.</w:t>
      </w:r>
    </w:p>
    <w:p w14:paraId="24661A54" w14:textId="0F6235FB" w:rsidR="005207F1" w:rsidRDefault="005207F1" w:rsidP="005207F1">
      <w:pPr>
        <w:jc w:val="both"/>
        <w:rPr>
          <w:sz w:val="24"/>
          <w:szCs w:val="24"/>
        </w:rPr>
      </w:pPr>
      <w:r w:rsidRPr="00EF3517">
        <w:rPr>
          <w:sz w:val="24"/>
          <w:szCs w:val="24"/>
        </w:rPr>
        <w:t xml:space="preserve"> </w:t>
      </w:r>
    </w:p>
    <w:p w14:paraId="718FB7EE" w14:textId="77777777" w:rsidR="00F10855" w:rsidRDefault="00F10855" w:rsidP="00F10855">
      <w:pPr>
        <w:ind w:right="107"/>
        <w:jc w:val="both"/>
      </w:pPr>
      <w:r>
        <w:rPr>
          <w:sz w:val="24"/>
          <w:szCs w:val="24"/>
        </w:rPr>
        <w:t xml:space="preserve">Department of Health (2017), Guidance for the implementations of changes to police powers and places of safety provisions in the Mental Health Act 1983 available at </w:t>
      </w:r>
      <w:hyperlink r:id="rId27" w:history="1">
        <w:r>
          <w:rPr>
            <w:rStyle w:val="Hyperlink"/>
            <w:sz w:val="24"/>
            <w:szCs w:val="24"/>
          </w:rPr>
          <w:t>https://www.gov.uk/government/uploads/sysem/uploads/attachment_data/file/656025/Guidance_on_Police_Powers.PDF</w:t>
        </w:r>
      </w:hyperlink>
      <w:r>
        <w:rPr>
          <w:sz w:val="24"/>
          <w:szCs w:val="24"/>
        </w:rPr>
        <w:t xml:space="preserve"> (accessed7th February 2018)</w:t>
      </w:r>
    </w:p>
    <w:p w14:paraId="474D0A44" w14:textId="77777777" w:rsidR="00F10855" w:rsidRPr="00EF3517" w:rsidRDefault="00F10855" w:rsidP="005207F1">
      <w:pPr>
        <w:jc w:val="both"/>
        <w:rPr>
          <w:sz w:val="24"/>
          <w:szCs w:val="24"/>
        </w:rPr>
      </w:pPr>
    </w:p>
    <w:p w14:paraId="6606D85A" w14:textId="77777777" w:rsidR="005207F1" w:rsidRPr="00EF3517" w:rsidRDefault="005207F1" w:rsidP="00205325">
      <w:pPr>
        <w:rPr>
          <w:sz w:val="24"/>
          <w:szCs w:val="24"/>
        </w:rPr>
      </w:pPr>
    </w:p>
    <w:p w14:paraId="0A359FD1" w14:textId="77777777" w:rsidR="00205325" w:rsidRPr="00EF3517" w:rsidRDefault="00205325" w:rsidP="00205325">
      <w:pPr>
        <w:rPr>
          <w:sz w:val="24"/>
          <w:szCs w:val="24"/>
        </w:rPr>
      </w:pPr>
      <w:r w:rsidRPr="00EF3517">
        <w:rPr>
          <w:sz w:val="24"/>
          <w:szCs w:val="24"/>
        </w:rPr>
        <w:t>Djärv T, Wikman A, Johar A, Lagergren P. Poor health-related quality of life in the Swedish general population: the association with disease and lifestyle factors. Scand J Public Health. 2013;41(7):744–53.</w:t>
      </w:r>
    </w:p>
    <w:p w14:paraId="36AF2497" w14:textId="77777777" w:rsidR="005207F1" w:rsidRPr="00EF3517" w:rsidRDefault="005207F1" w:rsidP="00205325">
      <w:pPr>
        <w:rPr>
          <w:sz w:val="24"/>
          <w:szCs w:val="24"/>
        </w:rPr>
      </w:pPr>
    </w:p>
    <w:p w14:paraId="3F2CEBAB" w14:textId="77777777" w:rsidR="005207F1" w:rsidRPr="00EF3517" w:rsidRDefault="005207F1" w:rsidP="005207F1">
      <w:pPr>
        <w:jc w:val="both"/>
        <w:rPr>
          <w:sz w:val="24"/>
          <w:szCs w:val="24"/>
        </w:rPr>
      </w:pPr>
    </w:p>
    <w:p w14:paraId="5529C9BB" w14:textId="3959C5B4" w:rsidR="005207F1" w:rsidRPr="00EF3517" w:rsidRDefault="005207F1" w:rsidP="005207F1">
      <w:pPr>
        <w:rPr>
          <w:sz w:val="24"/>
          <w:szCs w:val="24"/>
        </w:rPr>
      </w:pPr>
      <w:r w:rsidRPr="00EF3517">
        <w:rPr>
          <w:sz w:val="24"/>
          <w:szCs w:val="24"/>
        </w:rPr>
        <w:t>DPP v Orum (1989) 1 WRL 88, (1988) 2 All ER 449, (1989) 88 Cr App R 261.</w:t>
      </w:r>
    </w:p>
    <w:p w14:paraId="4640BEBC" w14:textId="77777777" w:rsidR="00205325" w:rsidRPr="00EF3517" w:rsidRDefault="00205325" w:rsidP="00205325">
      <w:pPr>
        <w:rPr>
          <w:sz w:val="24"/>
          <w:szCs w:val="24"/>
        </w:rPr>
      </w:pPr>
    </w:p>
    <w:p w14:paraId="3CE219C6" w14:textId="77777777" w:rsidR="00205325" w:rsidRDefault="00205325" w:rsidP="00205325">
      <w:pPr>
        <w:rPr>
          <w:sz w:val="24"/>
          <w:szCs w:val="24"/>
        </w:rPr>
      </w:pPr>
      <w:r w:rsidRPr="00EF3517">
        <w:rPr>
          <w:sz w:val="24"/>
          <w:szCs w:val="24"/>
        </w:rPr>
        <w:t xml:space="preserve">Gibbs G (1998). </w:t>
      </w:r>
      <w:hyperlink r:id="rId28" w:history="1">
        <w:r w:rsidRPr="00EF3517">
          <w:rPr>
            <w:rStyle w:val="Hyperlink"/>
            <w:sz w:val="24"/>
            <w:szCs w:val="24"/>
          </w:rPr>
          <w:t>Gibbs' Reflective Cycle | The University of Edinburgh</w:t>
        </w:r>
      </w:hyperlink>
      <w:r w:rsidRPr="00EF3517">
        <w:rPr>
          <w:sz w:val="24"/>
          <w:szCs w:val="24"/>
        </w:rPr>
        <w:t xml:space="preserve"> Adapted from Gibbs G (1988). Learning by Doing: A guide to teaching and learning methods. Further Education Unit. Oxford Polytechnic: Oxford.</w:t>
      </w:r>
    </w:p>
    <w:p w14:paraId="2BD93806" w14:textId="77777777" w:rsidR="00F10855" w:rsidRDefault="00F10855" w:rsidP="00205325">
      <w:pPr>
        <w:rPr>
          <w:sz w:val="24"/>
          <w:szCs w:val="24"/>
        </w:rPr>
      </w:pPr>
    </w:p>
    <w:p w14:paraId="2184D096" w14:textId="77777777" w:rsidR="00F10855" w:rsidRDefault="00F10855" w:rsidP="00F10855">
      <w:pPr>
        <w:ind w:right="107"/>
        <w:jc w:val="both"/>
      </w:pPr>
      <w:r>
        <w:rPr>
          <w:bCs/>
          <w:sz w:val="24"/>
          <w:szCs w:val="24"/>
        </w:rPr>
        <w:t xml:space="preserve">His Majesty’s Inspectorate (2023) HMICFRS. Making communities safer. </w:t>
      </w:r>
      <w:hyperlink r:id="rId29" w:history="1">
        <w:r>
          <w:rPr>
            <w:rStyle w:val="Hyperlink"/>
          </w:rPr>
          <w:t>Public protection notice (PPN) - His Majesty’s Inspectorate of Constabulary and Fire &amp; Rescue Services (justiceinspectorates.gov.uk)</w:t>
        </w:r>
      </w:hyperlink>
    </w:p>
    <w:p w14:paraId="094119BB" w14:textId="77777777" w:rsidR="00F10855" w:rsidRPr="00EF3517" w:rsidRDefault="00F10855" w:rsidP="00205325">
      <w:pPr>
        <w:rPr>
          <w:sz w:val="24"/>
          <w:szCs w:val="24"/>
        </w:rPr>
      </w:pPr>
    </w:p>
    <w:p w14:paraId="490394D9" w14:textId="77777777" w:rsidR="00205325" w:rsidRPr="00EF3517" w:rsidRDefault="00205325" w:rsidP="00205325">
      <w:pPr>
        <w:rPr>
          <w:sz w:val="24"/>
          <w:szCs w:val="24"/>
        </w:rPr>
      </w:pPr>
    </w:p>
    <w:p w14:paraId="29723375" w14:textId="77777777" w:rsidR="00205325" w:rsidRDefault="00205325" w:rsidP="00205325">
      <w:pPr>
        <w:rPr>
          <w:sz w:val="24"/>
          <w:szCs w:val="24"/>
        </w:rPr>
      </w:pPr>
      <w:r w:rsidRPr="00EF3517">
        <w:rPr>
          <w:sz w:val="24"/>
          <w:szCs w:val="24"/>
        </w:rPr>
        <w:t>Hofmann SG, Sawyer AT, Witt AA, Oh D. The effect of mindfulness-based therapy on anxiety and depression: a meta analytic review. J Consult Clin Psychol. 2010; 78:169–83.</w:t>
      </w:r>
    </w:p>
    <w:p w14:paraId="26D93317" w14:textId="77777777" w:rsidR="00F10855" w:rsidRDefault="00F10855" w:rsidP="00205325">
      <w:pPr>
        <w:rPr>
          <w:sz w:val="24"/>
          <w:szCs w:val="24"/>
        </w:rPr>
      </w:pPr>
    </w:p>
    <w:p w14:paraId="3BC01AD5" w14:textId="77777777" w:rsidR="00F10855" w:rsidRDefault="00F10855" w:rsidP="00F10855">
      <w:pPr>
        <w:ind w:right="107"/>
        <w:jc w:val="both"/>
      </w:pPr>
      <w:r>
        <w:rPr>
          <w:sz w:val="24"/>
          <w:szCs w:val="24"/>
        </w:rPr>
        <w:t>Karpman S. (1968). Fairy tales and script drama analysis. </w:t>
      </w:r>
      <w:r>
        <w:rPr>
          <w:rStyle w:val="Emphasis"/>
          <w:sz w:val="24"/>
          <w:szCs w:val="24"/>
        </w:rPr>
        <w:t>Transactional Analysis Bulletin</w:t>
      </w:r>
      <w:r>
        <w:rPr>
          <w:sz w:val="24"/>
          <w:szCs w:val="24"/>
        </w:rPr>
        <w:t>, 7, 39–43.</w:t>
      </w:r>
    </w:p>
    <w:p w14:paraId="53D21E44" w14:textId="77777777" w:rsidR="00F10855" w:rsidRDefault="00F10855" w:rsidP="00F10855">
      <w:pPr>
        <w:ind w:right="107"/>
        <w:jc w:val="both"/>
        <w:rPr>
          <w:sz w:val="24"/>
          <w:szCs w:val="24"/>
        </w:rPr>
      </w:pPr>
    </w:p>
    <w:p w14:paraId="3EDFFC15" w14:textId="77777777" w:rsidR="00F10855" w:rsidRDefault="00F10855" w:rsidP="00F10855">
      <w:pPr>
        <w:ind w:right="107"/>
        <w:jc w:val="both"/>
        <w:rPr>
          <w:sz w:val="24"/>
          <w:szCs w:val="24"/>
        </w:rPr>
      </w:pPr>
      <w:r>
        <w:rPr>
          <w:sz w:val="24"/>
          <w:szCs w:val="24"/>
        </w:rPr>
        <w:t>L’Abate, L. (2009). The drama triangle: An attempt to resurrect a neglected pathogenic model in family therapy theory and practice. The American Journal of Family Therapy, 37, 1–11. https://doi.org/10.1080/01926180701870163</w:t>
      </w:r>
    </w:p>
    <w:p w14:paraId="31D68241" w14:textId="77777777" w:rsidR="00F10855" w:rsidRDefault="00F10855" w:rsidP="00F10855">
      <w:pPr>
        <w:ind w:right="107"/>
        <w:jc w:val="both"/>
        <w:rPr>
          <w:sz w:val="24"/>
          <w:szCs w:val="24"/>
        </w:rPr>
      </w:pPr>
    </w:p>
    <w:p w14:paraId="0D4FBC2D" w14:textId="77777777" w:rsidR="00F10855" w:rsidRDefault="00F10855" w:rsidP="00F10855">
      <w:pPr>
        <w:ind w:right="107"/>
        <w:jc w:val="both"/>
      </w:pPr>
      <w:r>
        <w:rPr>
          <w:rStyle w:val="citation"/>
          <w:sz w:val="24"/>
          <w:szCs w:val="24"/>
        </w:rPr>
        <w:t>Le Guernic A. (2004). Fairy tales and psychological life plans. </w:t>
      </w:r>
      <w:r>
        <w:rPr>
          <w:rStyle w:val="Emphasis"/>
          <w:sz w:val="24"/>
          <w:szCs w:val="24"/>
        </w:rPr>
        <w:t>Transactional Analysis Journal</w:t>
      </w:r>
      <w:r>
        <w:rPr>
          <w:rStyle w:val="citation"/>
          <w:sz w:val="24"/>
          <w:szCs w:val="24"/>
        </w:rPr>
        <w:t>, 34, 216–222.</w:t>
      </w:r>
      <w:r>
        <w:rPr>
          <w:bCs/>
          <w:sz w:val="24"/>
          <w:szCs w:val="24"/>
        </w:rPr>
        <w:t xml:space="preserve"> </w:t>
      </w:r>
    </w:p>
    <w:p w14:paraId="46F2C58A" w14:textId="77777777" w:rsidR="00F10855" w:rsidRDefault="00F10855" w:rsidP="00F10855">
      <w:pPr>
        <w:ind w:right="107"/>
        <w:jc w:val="both"/>
        <w:rPr>
          <w:bCs/>
          <w:sz w:val="24"/>
          <w:szCs w:val="24"/>
        </w:rPr>
      </w:pPr>
    </w:p>
    <w:p w14:paraId="6A912C00" w14:textId="77777777" w:rsidR="00F10855" w:rsidRDefault="00F10855" w:rsidP="00F10855">
      <w:pPr>
        <w:ind w:right="107"/>
        <w:jc w:val="both"/>
      </w:pPr>
      <w:r>
        <w:rPr>
          <w:sz w:val="24"/>
          <w:szCs w:val="24"/>
        </w:rPr>
        <w:t>McMahon, D. (2005). The drama triangle. In R. M. Schwarz, A. Davidson, P. Carlson &amp; S. McKinney (Eds.), The skilled facilitator field book: Tips, tools, and tested methods for consultants, facilitators, managers, trainers, and coaches (pp. 421– 431). John Wiley &amp; Sons.</w:t>
      </w:r>
    </w:p>
    <w:p w14:paraId="5E51F947" w14:textId="77777777" w:rsidR="00F10855" w:rsidRDefault="00F10855" w:rsidP="00F10855">
      <w:pPr>
        <w:ind w:right="107"/>
        <w:jc w:val="both"/>
        <w:rPr>
          <w:bCs/>
          <w:sz w:val="24"/>
          <w:szCs w:val="24"/>
        </w:rPr>
      </w:pPr>
    </w:p>
    <w:p w14:paraId="09D50D9C" w14:textId="77777777" w:rsidR="00F10855" w:rsidRDefault="00F10855" w:rsidP="00F10855">
      <w:pPr>
        <w:ind w:right="107"/>
        <w:jc w:val="both"/>
        <w:rPr>
          <w:sz w:val="24"/>
          <w:szCs w:val="24"/>
        </w:rPr>
      </w:pPr>
      <w:r>
        <w:rPr>
          <w:sz w:val="24"/>
          <w:szCs w:val="24"/>
        </w:rPr>
        <w:t>McKimm, J., &amp; Forrest, K. (2010). Using transactional analysis to improve clinical and educational supervision: The drama and winner’s triangles. Postgraduate Medical Journal, 86, 261–265.</w:t>
      </w:r>
    </w:p>
    <w:p w14:paraId="4D77D3F7" w14:textId="77777777" w:rsidR="00F10855" w:rsidRDefault="00F10855" w:rsidP="00F10855">
      <w:pPr>
        <w:ind w:right="107"/>
        <w:jc w:val="both"/>
        <w:rPr>
          <w:sz w:val="24"/>
          <w:szCs w:val="24"/>
        </w:rPr>
      </w:pPr>
    </w:p>
    <w:p w14:paraId="090B90B6" w14:textId="77777777" w:rsidR="00F10855" w:rsidRDefault="00F10855" w:rsidP="00F10855">
      <w:pPr>
        <w:ind w:right="107"/>
        <w:jc w:val="both"/>
      </w:pPr>
      <w:r>
        <w:rPr>
          <w:color w:val="auto"/>
          <w:sz w:val="24"/>
          <w:szCs w:val="24"/>
        </w:rPr>
        <w:t>Mind (2023)</w:t>
      </w:r>
      <w:r>
        <w:rPr>
          <w:sz w:val="24"/>
          <w:szCs w:val="24"/>
        </w:rPr>
        <w:t xml:space="preserve">. </w:t>
      </w:r>
      <w:r>
        <w:rPr>
          <w:color w:val="auto"/>
          <w:sz w:val="24"/>
          <w:szCs w:val="24"/>
        </w:rPr>
        <w:t>Crisis services and planning for a crisis</w:t>
      </w:r>
      <w:r>
        <w:rPr>
          <w:b/>
          <w:bCs/>
          <w:sz w:val="24"/>
          <w:szCs w:val="24"/>
        </w:rPr>
        <w:t>.</w:t>
      </w:r>
      <w:r>
        <w:rPr>
          <w:sz w:val="24"/>
          <w:szCs w:val="24"/>
        </w:rPr>
        <w:t xml:space="preserve"> </w:t>
      </w:r>
      <w:hyperlink r:id="rId30" w:history="1">
        <w:r>
          <w:rPr>
            <w:rStyle w:val="Hyperlink"/>
          </w:rPr>
          <w:t>Mental health crisis teams - Mind</w:t>
        </w:r>
      </w:hyperlink>
    </w:p>
    <w:p w14:paraId="3F33A7FB" w14:textId="77777777" w:rsidR="00F10855" w:rsidRPr="00EF3517" w:rsidRDefault="00F10855" w:rsidP="00205325">
      <w:pPr>
        <w:rPr>
          <w:sz w:val="24"/>
          <w:szCs w:val="24"/>
        </w:rPr>
      </w:pPr>
    </w:p>
    <w:p w14:paraId="2B637F62" w14:textId="77777777" w:rsidR="005207F1" w:rsidRPr="00EF3517" w:rsidRDefault="005207F1" w:rsidP="00205325">
      <w:pPr>
        <w:rPr>
          <w:sz w:val="24"/>
          <w:szCs w:val="24"/>
        </w:rPr>
      </w:pPr>
    </w:p>
    <w:p w14:paraId="5D91ADD4" w14:textId="77777777" w:rsidR="005207F1" w:rsidRDefault="005207F1" w:rsidP="005207F1">
      <w:pPr>
        <w:jc w:val="both"/>
        <w:rPr>
          <w:sz w:val="24"/>
          <w:szCs w:val="24"/>
        </w:rPr>
      </w:pPr>
      <w:r w:rsidRPr="00EF3517">
        <w:rPr>
          <w:sz w:val="24"/>
          <w:szCs w:val="24"/>
        </w:rPr>
        <w:t>Newburn T and Neyroud P (2008) ‘problem orientated policing’ (eds), Dictionary of policing.</w:t>
      </w:r>
    </w:p>
    <w:p w14:paraId="52472A3A" w14:textId="77777777" w:rsidR="00CE71D7" w:rsidRDefault="00CE71D7" w:rsidP="005207F1">
      <w:pPr>
        <w:jc w:val="both"/>
        <w:rPr>
          <w:sz w:val="24"/>
          <w:szCs w:val="24"/>
        </w:rPr>
      </w:pPr>
    </w:p>
    <w:p w14:paraId="2B98692A" w14:textId="77777777" w:rsidR="00CE71D7" w:rsidRDefault="00CE71D7" w:rsidP="00CE71D7">
      <w:pPr>
        <w:jc w:val="both"/>
        <w:rPr>
          <w:sz w:val="24"/>
          <w:szCs w:val="24"/>
        </w:rPr>
      </w:pPr>
      <w:r>
        <w:rPr>
          <w:sz w:val="24"/>
          <w:szCs w:val="24"/>
        </w:rPr>
        <w:t>Normanton, L (1997) Criminal Justice and Public Order Act 1994. Practice and Procedure.</w:t>
      </w:r>
    </w:p>
    <w:p w14:paraId="11073259" w14:textId="77777777" w:rsidR="00CE71D7" w:rsidRDefault="00CE71D7" w:rsidP="00CE71D7">
      <w:pPr>
        <w:jc w:val="both"/>
        <w:rPr>
          <w:sz w:val="24"/>
          <w:szCs w:val="24"/>
        </w:rPr>
      </w:pPr>
    </w:p>
    <w:p w14:paraId="5C233BC0" w14:textId="77777777" w:rsidR="00CE71D7" w:rsidRDefault="00CE71D7" w:rsidP="00CE71D7">
      <w:pPr>
        <w:jc w:val="both"/>
      </w:pPr>
      <w:r>
        <w:rPr>
          <w:sz w:val="24"/>
          <w:szCs w:val="24"/>
        </w:rPr>
        <w:t xml:space="preserve">NYAS (2023), Support. Safeguard. Empower. </w:t>
      </w:r>
      <w:hyperlink r:id="rId31" w:history="1">
        <w:r>
          <w:rPr>
            <w:rStyle w:val="Hyperlink"/>
          </w:rPr>
          <w:t>The National Youth Advocacy Service | NYAS</w:t>
        </w:r>
      </w:hyperlink>
    </w:p>
    <w:p w14:paraId="1F2A0F44" w14:textId="77777777" w:rsidR="00CE71D7" w:rsidRPr="00EF3517" w:rsidRDefault="00CE71D7" w:rsidP="005207F1">
      <w:pPr>
        <w:jc w:val="both"/>
        <w:rPr>
          <w:sz w:val="24"/>
          <w:szCs w:val="24"/>
        </w:rPr>
      </w:pPr>
    </w:p>
    <w:p w14:paraId="33B11E8C" w14:textId="77777777" w:rsidR="005207F1" w:rsidRDefault="005207F1" w:rsidP="005207F1">
      <w:pPr>
        <w:jc w:val="both"/>
        <w:rPr>
          <w:sz w:val="24"/>
          <w:szCs w:val="24"/>
        </w:rPr>
      </w:pPr>
      <w:r w:rsidRPr="00EF3517">
        <w:rPr>
          <w:sz w:val="24"/>
          <w:szCs w:val="24"/>
        </w:rPr>
        <w:t>O’Neill, M (2008), Key Challenges in Criminal Investigations (Bristol: Policy Press)</w:t>
      </w:r>
    </w:p>
    <w:p w14:paraId="669C0127" w14:textId="77777777" w:rsidR="00283994" w:rsidRDefault="00283994" w:rsidP="005207F1">
      <w:pPr>
        <w:jc w:val="both"/>
        <w:rPr>
          <w:sz w:val="24"/>
          <w:szCs w:val="24"/>
        </w:rPr>
      </w:pPr>
    </w:p>
    <w:p w14:paraId="3449A838" w14:textId="0728E038" w:rsidR="00283994" w:rsidRPr="00283994" w:rsidRDefault="00283994" w:rsidP="005207F1">
      <w:pPr>
        <w:jc w:val="both"/>
      </w:pPr>
      <w:r>
        <w:rPr>
          <w:sz w:val="24"/>
          <w:szCs w:val="24"/>
        </w:rPr>
        <w:lastRenderedPageBreak/>
        <w:t xml:space="preserve">Police and Criminal Evidence Act (1984) Codes of Practice. </w:t>
      </w:r>
      <w:hyperlink r:id="rId32" w:history="1">
        <w:r>
          <w:rPr>
            <w:rStyle w:val="Hyperlink"/>
            <w:sz w:val="24"/>
            <w:szCs w:val="24"/>
          </w:rPr>
          <w:t>Police and Criminal Evidence Act 1984 (PACE) codes of practice - GOV.UK (www.gov.uk)</w:t>
        </w:r>
      </w:hyperlink>
    </w:p>
    <w:p w14:paraId="1D2CD531" w14:textId="77777777" w:rsidR="00205325" w:rsidRPr="00EF3517" w:rsidRDefault="00205325" w:rsidP="00205325">
      <w:pPr>
        <w:rPr>
          <w:sz w:val="24"/>
          <w:szCs w:val="24"/>
        </w:rPr>
      </w:pPr>
    </w:p>
    <w:p w14:paraId="5BFB696E" w14:textId="77777777" w:rsidR="00205325" w:rsidRPr="00EF3517" w:rsidRDefault="00205325" w:rsidP="00205325">
      <w:pPr>
        <w:rPr>
          <w:rStyle w:val="Hyperlink"/>
          <w:sz w:val="24"/>
          <w:szCs w:val="24"/>
        </w:rPr>
      </w:pPr>
      <w:r w:rsidRPr="00EF3517">
        <w:rPr>
          <w:sz w:val="24"/>
          <w:szCs w:val="24"/>
        </w:rPr>
        <w:t xml:space="preserve">Purba, Amrit and Demou, Evangelia (2019). The relationship between organisational stressors and mental wellbeing within police officers: a systematic review. Purba and Demou (2019) BMC Public Health (2019) 19:1286 </w:t>
      </w:r>
      <w:hyperlink r:id="rId33" w:history="1">
        <w:r w:rsidRPr="00EF3517">
          <w:rPr>
            <w:rStyle w:val="Hyperlink"/>
            <w:sz w:val="24"/>
            <w:szCs w:val="24"/>
          </w:rPr>
          <w:t>https://doi.org/10.1186/s12889-019-7609-0</w:t>
        </w:r>
      </w:hyperlink>
    </w:p>
    <w:p w14:paraId="17166CDB" w14:textId="77777777" w:rsidR="00EF3517" w:rsidRPr="00EF3517" w:rsidRDefault="00EF3517" w:rsidP="00205325">
      <w:pPr>
        <w:rPr>
          <w:rStyle w:val="Hyperlink"/>
          <w:sz w:val="24"/>
          <w:szCs w:val="24"/>
        </w:rPr>
      </w:pPr>
    </w:p>
    <w:p w14:paraId="2A961494" w14:textId="77777777" w:rsidR="00EF3517" w:rsidRPr="00EF3517" w:rsidRDefault="00EF3517" w:rsidP="00EF3517">
      <w:pPr>
        <w:jc w:val="both"/>
        <w:rPr>
          <w:sz w:val="24"/>
          <w:szCs w:val="24"/>
        </w:rPr>
      </w:pPr>
      <w:r w:rsidRPr="00EF3517">
        <w:rPr>
          <w:sz w:val="24"/>
          <w:szCs w:val="24"/>
        </w:rPr>
        <w:t>R v Roble (1997) Crim LR 449, [1997] EWCA Crim 118. Criminal Justice and Public Order Act 1994 34</w:t>
      </w:r>
    </w:p>
    <w:p w14:paraId="7DC93228" w14:textId="77777777" w:rsidR="00EF3517" w:rsidRDefault="00EF3517" w:rsidP="00205325">
      <w:pPr>
        <w:rPr>
          <w:sz w:val="24"/>
          <w:szCs w:val="24"/>
        </w:rPr>
      </w:pPr>
    </w:p>
    <w:p w14:paraId="79C5FAFE" w14:textId="77777777" w:rsidR="00CE71D7" w:rsidRDefault="00CE71D7" w:rsidP="00CE71D7">
      <w:pPr>
        <w:jc w:val="both"/>
      </w:pPr>
      <w:r>
        <w:rPr>
          <w:sz w:val="24"/>
          <w:szCs w:val="24"/>
        </w:rPr>
        <w:t xml:space="preserve">Section 58 of the Children Act (2004), Department for Children, Schools, and Families. Review of Section 58 of the Children Act 2004. </w:t>
      </w:r>
      <w:hyperlink r:id="rId34" w:anchor=":~:text=Section%2058%20of%20the%20Children%20Act%202004%20limited,actual%20bodily%20harm%20or%20cruelty%20to%20a%20child." w:history="1">
        <w:r>
          <w:rPr>
            <w:rStyle w:val="Hyperlink"/>
            <w:sz w:val="24"/>
            <w:szCs w:val="24"/>
          </w:rPr>
          <w:t>untitled (publishing.service.gov.uk)</w:t>
        </w:r>
      </w:hyperlink>
    </w:p>
    <w:p w14:paraId="57087661" w14:textId="77777777" w:rsidR="00205325" w:rsidRPr="00EF3517" w:rsidRDefault="00205325" w:rsidP="00205325">
      <w:pPr>
        <w:rPr>
          <w:sz w:val="24"/>
          <w:szCs w:val="24"/>
        </w:rPr>
      </w:pPr>
    </w:p>
    <w:p w14:paraId="7AB243C5" w14:textId="77777777" w:rsidR="00205325" w:rsidRDefault="00205325" w:rsidP="00205325">
      <w:pPr>
        <w:rPr>
          <w:sz w:val="24"/>
          <w:szCs w:val="24"/>
        </w:rPr>
      </w:pPr>
      <w:r w:rsidRPr="00EF3517">
        <w:rPr>
          <w:sz w:val="24"/>
          <w:szCs w:val="24"/>
        </w:rPr>
        <w:t>Shapiro SL, Schwartz ER, Bonner G. The effects of mindfulness-based stress reduction on medical and pre-medical students. J Behav Med. 1998; 21:581–599.</w:t>
      </w:r>
    </w:p>
    <w:p w14:paraId="2E7FB05F" w14:textId="77777777" w:rsidR="00283994" w:rsidRDefault="00283994" w:rsidP="00205325">
      <w:pPr>
        <w:rPr>
          <w:sz w:val="24"/>
          <w:szCs w:val="24"/>
        </w:rPr>
      </w:pPr>
    </w:p>
    <w:p w14:paraId="42F0338F" w14:textId="77777777" w:rsidR="00283994" w:rsidRDefault="00283994" w:rsidP="00283994">
      <w:pPr>
        <w:jc w:val="both"/>
      </w:pPr>
      <w:r>
        <w:rPr>
          <w:sz w:val="24"/>
          <w:szCs w:val="24"/>
        </w:rPr>
        <w:t>Shepherd, E, (2008), SE3R: A resource book, 4</w:t>
      </w:r>
      <w:r>
        <w:rPr>
          <w:sz w:val="24"/>
          <w:szCs w:val="24"/>
          <w:vertAlign w:val="superscript"/>
        </w:rPr>
        <w:t>th</w:t>
      </w:r>
      <w:r>
        <w:rPr>
          <w:sz w:val="24"/>
          <w:szCs w:val="24"/>
        </w:rPr>
        <w:t xml:space="preserve"> edn (East Hendred: Forensic Solutions). And Griffiths, A (2013), Investigative Interviewing: The conversation management approach, 2</w:t>
      </w:r>
      <w:r>
        <w:rPr>
          <w:sz w:val="24"/>
          <w:szCs w:val="24"/>
          <w:vertAlign w:val="superscript"/>
        </w:rPr>
        <w:t>nd</w:t>
      </w:r>
      <w:r>
        <w:rPr>
          <w:sz w:val="24"/>
          <w:szCs w:val="24"/>
        </w:rPr>
        <w:t xml:space="preserve"> edn (Oxford: Oxford University Press).</w:t>
      </w:r>
    </w:p>
    <w:p w14:paraId="12F16E3C" w14:textId="77777777" w:rsidR="00F10855" w:rsidRDefault="00F10855" w:rsidP="00205325">
      <w:pPr>
        <w:rPr>
          <w:sz w:val="24"/>
          <w:szCs w:val="24"/>
        </w:rPr>
      </w:pPr>
    </w:p>
    <w:p w14:paraId="248C01B3" w14:textId="77777777" w:rsidR="00F10855" w:rsidRDefault="00F10855" w:rsidP="00F10855">
      <w:pPr>
        <w:ind w:right="107"/>
        <w:jc w:val="both"/>
      </w:pPr>
      <w:r>
        <w:rPr>
          <w:sz w:val="24"/>
          <w:szCs w:val="24"/>
        </w:rPr>
        <w:t>Shmelev, I. (2015). Beyond the drama triangle: The overcoming self. Psychology Journal of the Higher School of Economics, 12, 133–149.</w:t>
      </w:r>
    </w:p>
    <w:p w14:paraId="13C8D498" w14:textId="77777777" w:rsidR="005B7135" w:rsidRDefault="005B7135" w:rsidP="005B7135">
      <w:pPr>
        <w:overflowPunct/>
        <w:autoSpaceDE/>
        <w:autoSpaceDN/>
        <w:adjustRightInd/>
        <w:ind w:right="107"/>
        <w:textAlignment w:val="auto"/>
        <w:rPr>
          <w:sz w:val="24"/>
          <w:szCs w:val="24"/>
        </w:rPr>
      </w:pPr>
    </w:p>
    <w:p w14:paraId="15F3D4E3" w14:textId="77777777" w:rsidR="00283994" w:rsidRDefault="00283994" w:rsidP="00283994">
      <w:pPr>
        <w:jc w:val="both"/>
      </w:pPr>
      <w:r>
        <w:rPr>
          <w:sz w:val="24"/>
          <w:szCs w:val="24"/>
        </w:rPr>
        <w:t xml:space="preserve">Social services, and Well-being (Wales) Act (2014). Section 76. </w:t>
      </w:r>
      <w:hyperlink r:id="rId35" w:history="1">
        <w:r>
          <w:rPr>
            <w:color w:val="0000FF"/>
            <w:sz w:val="24"/>
            <w:szCs w:val="24"/>
            <w:u w:val="single"/>
          </w:rPr>
          <w:t>Social Services and Well-being (Wales) Act 2014 (legislation.gov.uk)</w:t>
        </w:r>
      </w:hyperlink>
    </w:p>
    <w:p w14:paraId="323AEC4D" w14:textId="77777777" w:rsidR="00283994" w:rsidRDefault="00283994" w:rsidP="005B7135">
      <w:pPr>
        <w:overflowPunct/>
        <w:autoSpaceDE/>
        <w:autoSpaceDN/>
        <w:adjustRightInd/>
        <w:ind w:right="107"/>
        <w:textAlignment w:val="auto"/>
        <w:rPr>
          <w:sz w:val="24"/>
          <w:szCs w:val="24"/>
        </w:rPr>
      </w:pPr>
    </w:p>
    <w:p w14:paraId="6C674205" w14:textId="054DC69B" w:rsidR="005207F1" w:rsidRDefault="005207F1" w:rsidP="005B7135">
      <w:pPr>
        <w:overflowPunct/>
        <w:autoSpaceDE/>
        <w:autoSpaceDN/>
        <w:adjustRightInd/>
        <w:ind w:right="107"/>
        <w:textAlignment w:val="auto"/>
        <w:rPr>
          <w:sz w:val="24"/>
          <w:szCs w:val="24"/>
        </w:rPr>
      </w:pPr>
      <w:r w:rsidRPr="00EF3517">
        <w:rPr>
          <w:sz w:val="24"/>
          <w:szCs w:val="24"/>
        </w:rPr>
        <w:t xml:space="preserve">The Home Office, 2015e, p19 (2015e), investigative development available at </w:t>
      </w:r>
      <w:hyperlink r:id="rId36" w:history="1">
        <w:r w:rsidRPr="00EF3517">
          <w:rPr>
            <w:rStyle w:val="Hyperlink"/>
            <w:sz w:val="24"/>
            <w:szCs w:val="24"/>
          </w:rPr>
          <w:t>https://www.app.college.police.uk/app-content/major-investigation-and-public-protection/domestic-abuse/investigative-developments/</w:t>
        </w:r>
      </w:hyperlink>
      <w:r w:rsidRPr="00EF3517">
        <w:rPr>
          <w:sz w:val="24"/>
          <w:szCs w:val="24"/>
        </w:rPr>
        <w:t xml:space="preserve"> (accessed 26 December 2015).</w:t>
      </w:r>
    </w:p>
    <w:p w14:paraId="1D7FC5C1" w14:textId="77777777" w:rsidR="00283994" w:rsidRDefault="00283994" w:rsidP="005B7135">
      <w:pPr>
        <w:overflowPunct/>
        <w:autoSpaceDE/>
        <w:autoSpaceDN/>
        <w:adjustRightInd/>
        <w:ind w:right="107"/>
        <w:textAlignment w:val="auto"/>
        <w:rPr>
          <w:sz w:val="24"/>
          <w:szCs w:val="24"/>
        </w:rPr>
      </w:pPr>
    </w:p>
    <w:p w14:paraId="13747689" w14:textId="77777777" w:rsidR="00283994" w:rsidRDefault="00283994" w:rsidP="00283994">
      <w:pPr>
        <w:jc w:val="both"/>
      </w:pPr>
      <w:r>
        <w:rPr>
          <w:sz w:val="24"/>
          <w:szCs w:val="24"/>
        </w:rPr>
        <w:t xml:space="preserve">The Ministry of Justice, (2020). Code of Practice for Victims of Crime in England and Wales. </w:t>
      </w:r>
      <w:hyperlink r:id="rId37" w:history="1">
        <w:r>
          <w:rPr>
            <w:rStyle w:val="Hyperlink"/>
            <w:sz w:val="24"/>
            <w:szCs w:val="24"/>
          </w:rPr>
          <w:t>MoJ Victims Code 2020 (publishing.service.gov.uk)</w:t>
        </w:r>
      </w:hyperlink>
      <w:r>
        <w:t xml:space="preserve"> </w:t>
      </w:r>
    </w:p>
    <w:p w14:paraId="505C9CF2" w14:textId="77777777" w:rsidR="005207F1" w:rsidRPr="00EF3517" w:rsidRDefault="005207F1" w:rsidP="005207F1">
      <w:pPr>
        <w:jc w:val="both"/>
        <w:rPr>
          <w:sz w:val="24"/>
          <w:szCs w:val="24"/>
        </w:rPr>
      </w:pPr>
    </w:p>
    <w:p w14:paraId="0BFDD5BF" w14:textId="77777777" w:rsidR="005207F1" w:rsidRPr="00EF3517" w:rsidRDefault="005207F1" w:rsidP="005207F1">
      <w:pPr>
        <w:jc w:val="both"/>
        <w:rPr>
          <w:sz w:val="24"/>
          <w:szCs w:val="24"/>
        </w:rPr>
      </w:pPr>
      <w:r w:rsidRPr="00EF3517">
        <w:rPr>
          <w:sz w:val="24"/>
          <w:szCs w:val="24"/>
        </w:rPr>
        <w:t>Walsh, D and Milne, R (2008) ‘Keeping the PEACE? A study of investigative interviewing practices in the public sector’, Legal and Criminological Psychology 13(1), 395-7</w:t>
      </w:r>
    </w:p>
    <w:p w14:paraId="630FB388" w14:textId="77777777" w:rsidR="005207F1" w:rsidRPr="00EF3517" w:rsidRDefault="005207F1" w:rsidP="00205325">
      <w:pPr>
        <w:rPr>
          <w:sz w:val="24"/>
          <w:szCs w:val="24"/>
        </w:rPr>
      </w:pPr>
    </w:p>
    <w:p w14:paraId="39A84DCB" w14:textId="0F059523" w:rsidR="00205325" w:rsidRPr="00EF3517" w:rsidRDefault="00205325" w:rsidP="00205325">
      <w:pPr>
        <w:rPr>
          <w:rStyle w:val="Hyperlink"/>
          <w:sz w:val="24"/>
          <w:szCs w:val="24"/>
        </w:rPr>
      </w:pPr>
      <w:r w:rsidRPr="00EF3517">
        <w:rPr>
          <w:sz w:val="24"/>
          <w:szCs w:val="24"/>
        </w:rPr>
        <w:t>World Health Organization (21</w:t>
      </w:r>
      <w:r w:rsidRPr="00EF3517">
        <w:rPr>
          <w:sz w:val="24"/>
          <w:szCs w:val="24"/>
          <w:vertAlign w:val="superscript"/>
        </w:rPr>
        <w:t>st</w:t>
      </w:r>
      <w:r w:rsidRPr="00EF3517">
        <w:rPr>
          <w:sz w:val="24"/>
          <w:szCs w:val="24"/>
        </w:rPr>
        <w:t xml:space="preserve"> </w:t>
      </w:r>
      <w:r w:rsidR="00283994" w:rsidRPr="00EF3517">
        <w:rPr>
          <w:sz w:val="24"/>
          <w:szCs w:val="24"/>
        </w:rPr>
        <w:t>February</w:t>
      </w:r>
      <w:r w:rsidRPr="00EF3517">
        <w:rPr>
          <w:sz w:val="24"/>
          <w:szCs w:val="24"/>
        </w:rPr>
        <w:t xml:space="preserve"> 2023)  </w:t>
      </w:r>
      <w:hyperlink r:id="rId38" w:history="1">
        <w:r w:rsidRPr="00EF3517">
          <w:rPr>
            <w:rStyle w:val="Hyperlink"/>
            <w:sz w:val="24"/>
            <w:szCs w:val="24"/>
          </w:rPr>
          <w:t>Stress (who.int)</w:t>
        </w:r>
      </w:hyperlink>
    </w:p>
    <w:p w14:paraId="7C6BE640" w14:textId="77777777" w:rsidR="00993EAE" w:rsidRDefault="00993EAE" w:rsidP="00993EAE">
      <w:pPr>
        <w:jc w:val="both"/>
      </w:pPr>
    </w:p>
    <w:p w14:paraId="526D23A7" w14:textId="77777777" w:rsidR="00993EAE" w:rsidRDefault="00993EAE" w:rsidP="00993EAE">
      <w:pPr>
        <w:jc w:val="both"/>
      </w:pPr>
      <w:r>
        <w:rPr>
          <w:sz w:val="24"/>
          <w:szCs w:val="24"/>
        </w:rPr>
        <w:t xml:space="preserve">Youth Justice and Criminal Evidence Act (1999), Special Measures. </w:t>
      </w:r>
      <w:hyperlink r:id="rId39" w:history="1">
        <w:r>
          <w:rPr>
            <w:rStyle w:val="Hyperlink"/>
            <w:sz w:val="24"/>
            <w:szCs w:val="24"/>
          </w:rPr>
          <w:t>Youth Justice and Criminal Evidence Act 1999 (legislation.gov.uk)</w:t>
        </w:r>
      </w:hyperlink>
    </w:p>
    <w:p w14:paraId="3036A280" w14:textId="77777777" w:rsidR="004937DF" w:rsidRDefault="004937DF" w:rsidP="00256C57">
      <w:pPr>
        <w:jc w:val="both"/>
      </w:pPr>
    </w:p>
    <w:p w14:paraId="4307B0D3" w14:textId="77777777" w:rsidR="004937DF" w:rsidRDefault="004937DF" w:rsidP="00256C57">
      <w:pPr>
        <w:jc w:val="both"/>
      </w:pPr>
    </w:p>
    <w:p w14:paraId="314FE41D" w14:textId="77777777" w:rsidR="004937DF" w:rsidRDefault="004937DF" w:rsidP="00256C57">
      <w:pPr>
        <w:jc w:val="both"/>
      </w:pPr>
    </w:p>
    <w:p w14:paraId="4825B87A" w14:textId="77777777" w:rsidR="004937DF" w:rsidRDefault="004937DF" w:rsidP="00256C57">
      <w:pPr>
        <w:jc w:val="both"/>
      </w:pPr>
    </w:p>
    <w:p w14:paraId="59A4B6EC" w14:textId="77777777" w:rsidR="004937DF" w:rsidRDefault="004937DF" w:rsidP="00256C57">
      <w:pPr>
        <w:jc w:val="both"/>
      </w:pPr>
    </w:p>
    <w:p w14:paraId="6A005FE4" w14:textId="77777777" w:rsidR="004937DF" w:rsidRDefault="004937DF" w:rsidP="00256C57">
      <w:pPr>
        <w:jc w:val="both"/>
      </w:pPr>
    </w:p>
    <w:p w14:paraId="5BFAA658" w14:textId="77777777" w:rsidR="004937DF" w:rsidRDefault="004937DF" w:rsidP="00256C57">
      <w:pPr>
        <w:jc w:val="both"/>
      </w:pPr>
    </w:p>
    <w:p w14:paraId="73B55F4D" w14:textId="77777777" w:rsidR="004937DF" w:rsidRDefault="004937DF" w:rsidP="00256C57">
      <w:pPr>
        <w:jc w:val="both"/>
      </w:pPr>
    </w:p>
    <w:p w14:paraId="38F029ED" w14:textId="77777777" w:rsidR="004937DF" w:rsidRDefault="004937DF" w:rsidP="00256C57">
      <w:pPr>
        <w:jc w:val="both"/>
      </w:pPr>
    </w:p>
    <w:p w14:paraId="41E7740F" w14:textId="77777777" w:rsidR="004937DF" w:rsidRDefault="004937DF" w:rsidP="00256C57">
      <w:pPr>
        <w:jc w:val="both"/>
      </w:pPr>
    </w:p>
    <w:p w14:paraId="5A403F30" w14:textId="77777777" w:rsidR="004937DF" w:rsidRDefault="004937DF" w:rsidP="00256C57">
      <w:pPr>
        <w:jc w:val="both"/>
      </w:pPr>
    </w:p>
    <w:p w14:paraId="3B2EBAD7" w14:textId="77777777" w:rsidR="004937DF" w:rsidRDefault="004937DF" w:rsidP="00256C57">
      <w:pPr>
        <w:jc w:val="both"/>
      </w:pPr>
    </w:p>
    <w:p w14:paraId="65CDE6F7" w14:textId="77777777" w:rsidR="004937DF" w:rsidRDefault="004937DF" w:rsidP="00256C57">
      <w:pPr>
        <w:jc w:val="both"/>
      </w:pPr>
    </w:p>
    <w:p w14:paraId="7072F41F" w14:textId="77777777" w:rsidR="00F10855" w:rsidRDefault="00F10855" w:rsidP="00F10855">
      <w:pPr>
        <w:ind w:right="107"/>
        <w:jc w:val="both"/>
        <w:rPr>
          <w:bCs/>
          <w:sz w:val="24"/>
          <w:szCs w:val="24"/>
        </w:rPr>
      </w:pPr>
    </w:p>
    <w:p w14:paraId="56DB271D" w14:textId="77777777" w:rsidR="004937DF" w:rsidRDefault="004937DF" w:rsidP="00F10855">
      <w:pPr>
        <w:ind w:right="107"/>
        <w:jc w:val="both"/>
        <w:rPr>
          <w:bCs/>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64FA9281"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205325">
        <w:rPr>
          <w:rFonts w:eastAsia="Arial"/>
          <w:color w:val="000000" w:themeColor="text1"/>
          <w:sz w:val="24"/>
          <w:szCs w:val="24"/>
          <w:highlight w:val="yellow"/>
        </w:rPr>
        <w:t xml:space="preserve"> Joanie-Marie Woods</w:t>
      </w:r>
    </w:p>
    <w:p w14:paraId="5A951FC3" w14:textId="567E0F34" w:rsidR="641A9DDA" w:rsidRDefault="641A9DDA" w:rsidP="366F6C5C">
      <w:pPr>
        <w:jc w:val="both"/>
        <w:rPr>
          <w:color w:val="000000" w:themeColor="text1"/>
          <w:sz w:val="24"/>
          <w:szCs w:val="24"/>
          <w:highlight w:val="yellow"/>
        </w:rPr>
      </w:pPr>
    </w:p>
    <w:p w14:paraId="0C5B59A2" w14:textId="3DA7688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3E1588">
        <w:rPr>
          <w:rFonts w:eastAsia="Arial"/>
          <w:color w:val="000000" w:themeColor="text1"/>
          <w:sz w:val="24"/>
          <w:szCs w:val="24"/>
          <w:highlight w:val="yellow"/>
        </w:rPr>
        <w:t xml:space="preserve"> </w:t>
      </w:r>
      <w:r w:rsidR="00042E21">
        <w:rPr>
          <w:rFonts w:eastAsia="Arial"/>
          <w:color w:val="000000" w:themeColor="text1"/>
          <w:sz w:val="24"/>
          <w:szCs w:val="24"/>
          <w:highlight w:val="yellow"/>
        </w:rPr>
        <w:t>30</w:t>
      </w:r>
      <w:r w:rsidR="00042E21" w:rsidRPr="00042E21">
        <w:rPr>
          <w:rFonts w:eastAsia="Arial"/>
          <w:color w:val="000000" w:themeColor="text1"/>
          <w:sz w:val="24"/>
          <w:szCs w:val="24"/>
          <w:highlight w:val="yellow"/>
          <w:vertAlign w:val="superscript"/>
        </w:rPr>
        <w:t>th</w:t>
      </w:r>
      <w:r w:rsidR="00042E21">
        <w:rPr>
          <w:rFonts w:eastAsia="Arial"/>
          <w:color w:val="000000" w:themeColor="text1"/>
          <w:sz w:val="24"/>
          <w:szCs w:val="24"/>
          <w:highlight w:val="yellow"/>
        </w:rPr>
        <w:t xml:space="preserve"> November 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06B46" w14:textId="77777777" w:rsidR="00175C8E" w:rsidRDefault="00175C8E">
      <w:r>
        <w:separator/>
      </w:r>
    </w:p>
  </w:endnote>
  <w:endnote w:type="continuationSeparator" w:id="0">
    <w:p w14:paraId="2BCC6DA7" w14:textId="77777777" w:rsidR="00175C8E" w:rsidRDefault="00175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4EFBE" w14:textId="77777777" w:rsidR="00175C8E" w:rsidRDefault="00175C8E">
      <w:r>
        <w:separator/>
      </w:r>
    </w:p>
  </w:footnote>
  <w:footnote w:type="continuationSeparator" w:id="0">
    <w:p w14:paraId="22A60067" w14:textId="77777777" w:rsidR="00175C8E" w:rsidRDefault="00175C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016476"/>
    <w:multiLevelType w:val="multilevel"/>
    <w:tmpl w:val="7D7674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2538532">
    <w:abstractNumId w:val="39"/>
  </w:num>
  <w:num w:numId="2" w16cid:durableId="1434010499">
    <w:abstractNumId w:val="32"/>
  </w:num>
  <w:num w:numId="3" w16cid:durableId="1956935213">
    <w:abstractNumId w:val="24"/>
  </w:num>
  <w:num w:numId="4" w16cid:durableId="1562903666">
    <w:abstractNumId w:val="1"/>
    <w:lvlOverride w:ilvl="0">
      <w:lvl w:ilvl="0">
        <w:start w:val="1"/>
        <w:numFmt w:val="bullet"/>
        <w:lvlText w:val=""/>
        <w:lvlJc w:val="left"/>
        <w:pPr>
          <w:ind w:left="720" w:hanging="360"/>
        </w:pPr>
        <w:rPr>
          <w:rFonts w:ascii="Symbol" w:hAnsi="Symbol" w:hint="default"/>
        </w:rPr>
      </w:lvl>
    </w:lvlOverride>
  </w:num>
  <w:num w:numId="5" w16cid:durableId="1940983878">
    <w:abstractNumId w:val="21"/>
  </w:num>
  <w:num w:numId="6" w16cid:durableId="24866390">
    <w:abstractNumId w:val="46"/>
  </w:num>
  <w:num w:numId="7" w16cid:durableId="1808425068">
    <w:abstractNumId w:val="48"/>
  </w:num>
  <w:num w:numId="8" w16cid:durableId="1827697127">
    <w:abstractNumId w:val="35"/>
  </w:num>
  <w:num w:numId="9" w16cid:durableId="1142229680">
    <w:abstractNumId w:val="33"/>
  </w:num>
  <w:num w:numId="10" w16cid:durableId="141048820">
    <w:abstractNumId w:val="29"/>
  </w:num>
  <w:num w:numId="11" w16cid:durableId="472648738">
    <w:abstractNumId w:val="30"/>
  </w:num>
  <w:num w:numId="12" w16cid:durableId="1566532120">
    <w:abstractNumId w:val="9"/>
  </w:num>
  <w:num w:numId="13" w16cid:durableId="608586265">
    <w:abstractNumId w:val="34"/>
  </w:num>
  <w:num w:numId="14" w16cid:durableId="289284486">
    <w:abstractNumId w:val="16"/>
  </w:num>
  <w:num w:numId="15" w16cid:durableId="286204266">
    <w:abstractNumId w:val="15"/>
  </w:num>
  <w:num w:numId="16" w16cid:durableId="7953936">
    <w:abstractNumId w:val="27"/>
  </w:num>
  <w:num w:numId="17" w16cid:durableId="646083378">
    <w:abstractNumId w:val="7"/>
  </w:num>
  <w:num w:numId="18" w16cid:durableId="594559793">
    <w:abstractNumId w:val="26"/>
  </w:num>
  <w:num w:numId="19" w16cid:durableId="983391502">
    <w:abstractNumId w:val="14"/>
  </w:num>
  <w:num w:numId="20" w16cid:durableId="1073545227">
    <w:abstractNumId w:val="12"/>
  </w:num>
  <w:num w:numId="21" w16cid:durableId="38105726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3113895">
    <w:abstractNumId w:val="22"/>
  </w:num>
  <w:num w:numId="23" w16cid:durableId="688063123">
    <w:abstractNumId w:val="17"/>
  </w:num>
  <w:num w:numId="24" w16cid:durableId="1891072053">
    <w:abstractNumId w:val="13"/>
  </w:num>
  <w:num w:numId="25" w16cid:durableId="913441589">
    <w:abstractNumId w:val="10"/>
  </w:num>
  <w:num w:numId="26" w16cid:durableId="1627420875">
    <w:abstractNumId w:val="28"/>
  </w:num>
  <w:num w:numId="27" w16cid:durableId="900749414">
    <w:abstractNumId w:val="18"/>
  </w:num>
  <w:num w:numId="28" w16cid:durableId="891119270">
    <w:abstractNumId w:val="42"/>
  </w:num>
  <w:num w:numId="29" w16cid:durableId="248733395">
    <w:abstractNumId w:val="36"/>
  </w:num>
  <w:num w:numId="30" w16cid:durableId="249320165">
    <w:abstractNumId w:val="41"/>
  </w:num>
  <w:num w:numId="31" w16cid:durableId="1640039441">
    <w:abstractNumId w:val="19"/>
  </w:num>
  <w:num w:numId="32" w16cid:durableId="492374903">
    <w:abstractNumId w:val="44"/>
  </w:num>
  <w:num w:numId="33" w16cid:durableId="1037851687">
    <w:abstractNumId w:val="31"/>
  </w:num>
  <w:num w:numId="34" w16cid:durableId="586034084">
    <w:abstractNumId w:val="11"/>
  </w:num>
  <w:num w:numId="35" w16cid:durableId="805508502">
    <w:abstractNumId w:val="45"/>
  </w:num>
  <w:num w:numId="36" w16cid:durableId="336738705">
    <w:abstractNumId w:val="40"/>
  </w:num>
  <w:num w:numId="37" w16cid:durableId="1648319960">
    <w:abstractNumId w:val="4"/>
  </w:num>
  <w:num w:numId="38" w16cid:durableId="208422191">
    <w:abstractNumId w:val="47"/>
  </w:num>
  <w:num w:numId="39" w16cid:durableId="2093619541">
    <w:abstractNumId w:val="43"/>
  </w:num>
  <w:num w:numId="40" w16cid:durableId="1663043685">
    <w:abstractNumId w:val="37"/>
  </w:num>
  <w:num w:numId="41" w16cid:durableId="533153293">
    <w:abstractNumId w:val="38"/>
  </w:num>
  <w:num w:numId="42" w16cid:durableId="682589786">
    <w:abstractNumId w:val="3"/>
  </w:num>
  <w:num w:numId="43" w16cid:durableId="931860558">
    <w:abstractNumId w:val="5"/>
  </w:num>
  <w:num w:numId="44" w16cid:durableId="1976715254">
    <w:abstractNumId w:val="25"/>
  </w:num>
  <w:num w:numId="45" w16cid:durableId="425808847">
    <w:abstractNumId w:val="6"/>
  </w:num>
  <w:num w:numId="46" w16cid:durableId="216361014">
    <w:abstractNumId w:val="2"/>
  </w:num>
  <w:num w:numId="47" w16cid:durableId="1229344962">
    <w:abstractNumId w:val="0"/>
  </w:num>
  <w:num w:numId="48" w16cid:durableId="1878274514">
    <w:abstractNumId w:val="20"/>
  </w:num>
  <w:num w:numId="49" w16cid:durableId="618953674">
    <w:abstractNumId w:val="49"/>
  </w:num>
  <w:num w:numId="50" w16cid:durableId="73937716">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5D"/>
    <w:rsid w:val="00020EEC"/>
    <w:rsid w:val="00025650"/>
    <w:rsid w:val="00027B1F"/>
    <w:rsid w:val="0003088B"/>
    <w:rsid w:val="000325D9"/>
    <w:rsid w:val="000372B2"/>
    <w:rsid w:val="0004079F"/>
    <w:rsid w:val="00042E21"/>
    <w:rsid w:val="00045B87"/>
    <w:rsid w:val="00045C07"/>
    <w:rsid w:val="00054483"/>
    <w:rsid w:val="00055D43"/>
    <w:rsid w:val="00056FAC"/>
    <w:rsid w:val="00057751"/>
    <w:rsid w:val="00062E39"/>
    <w:rsid w:val="00080E58"/>
    <w:rsid w:val="00082668"/>
    <w:rsid w:val="00083D99"/>
    <w:rsid w:val="00084EA6"/>
    <w:rsid w:val="00085514"/>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75C8E"/>
    <w:rsid w:val="001961CF"/>
    <w:rsid w:val="001A59BB"/>
    <w:rsid w:val="001A6A51"/>
    <w:rsid w:val="001A79C4"/>
    <w:rsid w:val="001B331A"/>
    <w:rsid w:val="001C0C77"/>
    <w:rsid w:val="001C0E74"/>
    <w:rsid w:val="001C70D2"/>
    <w:rsid w:val="001D229F"/>
    <w:rsid w:val="001F1A01"/>
    <w:rsid w:val="001F1BB1"/>
    <w:rsid w:val="001F4552"/>
    <w:rsid w:val="002019EB"/>
    <w:rsid w:val="002030F2"/>
    <w:rsid w:val="00205051"/>
    <w:rsid w:val="00205325"/>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56C57"/>
    <w:rsid w:val="002657E9"/>
    <w:rsid w:val="0026665E"/>
    <w:rsid w:val="00270EEB"/>
    <w:rsid w:val="0027147E"/>
    <w:rsid w:val="002761F4"/>
    <w:rsid w:val="002775E1"/>
    <w:rsid w:val="00277844"/>
    <w:rsid w:val="00277979"/>
    <w:rsid w:val="002808EB"/>
    <w:rsid w:val="00283994"/>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16A0C"/>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588"/>
    <w:rsid w:val="003E16D7"/>
    <w:rsid w:val="003E197E"/>
    <w:rsid w:val="003F1A37"/>
    <w:rsid w:val="004046F0"/>
    <w:rsid w:val="0040668F"/>
    <w:rsid w:val="00412677"/>
    <w:rsid w:val="00413251"/>
    <w:rsid w:val="00430CFB"/>
    <w:rsid w:val="004348AE"/>
    <w:rsid w:val="004376C0"/>
    <w:rsid w:val="0044223A"/>
    <w:rsid w:val="00450C83"/>
    <w:rsid w:val="00451851"/>
    <w:rsid w:val="00453343"/>
    <w:rsid w:val="004608B9"/>
    <w:rsid w:val="00461922"/>
    <w:rsid w:val="00465947"/>
    <w:rsid w:val="00470BB1"/>
    <w:rsid w:val="004718F7"/>
    <w:rsid w:val="00473153"/>
    <w:rsid w:val="004743AF"/>
    <w:rsid w:val="00482C17"/>
    <w:rsid w:val="004911B4"/>
    <w:rsid w:val="0049196A"/>
    <w:rsid w:val="004923DA"/>
    <w:rsid w:val="00493434"/>
    <w:rsid w:val="004937DF"/>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07F1"/>
    <w:rsid w:val="00521123"/>
    <w:rsid w:val="00521221"/>
    <w:rsid w:val="0052653C"/>
    <w:rsid w:val="00530EE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B7135"/>
    <w:rsid w:val="005C1567"/>
    <w:rsid w:val="005C6CE5"/>
    <w:rsid w:val="005C6E3A"/>
    <w:rsid w:val="005D3F07"/>
    <w:rsid w:val="005D6686"/>
    <w:rsid w:val="005E13EA"/>
    <w:rsid w:val="0060227E"/>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952CD"/>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E0618"/>
    <w:rsid w:val="008F22BD"/>
    <w:rsid w:val="009079BD"/>
    <w:rsid w:val="00910B43"/>
    <w:rsid w:val="00912BD9"/>
    <w:rsid w:val="00920E5B"/>
    <w:rsid w:val="00923A81"/>
    <w:rsid w:val="00926436"/>
    <w:rsid w:val="0093018C"/>
    <w:rsid w:val="00931477"/>
    <w:rsid w:val="00932AFF"/>
    <w:rsid w:val="009544C0"/>
    <w:rsid w:val="00954FA4"/>
    <w:rsid w:val="00956AE9"/>
    <w:rsid w:val="00964CC6"/>
    <w:rsid w:val="00991FDA"/>
    <w:rsid w:val="009927A1"/>
    <w:rsid w:val="00993EAE"/>
    <w:rsid w:val="009A5F3B"/>
    <w:rsid w:val="009B0B61"/>
    <w:rsid w:val="009B28C0"/>
    <w:rsid w:val="009B32A9"/>
    <w:rsid w:val="009B7136"/>
    <w:rsid w:val="009B7806"/>
    <w:rsid w:val="009C3AC2"/>
    <w:rsid w:val="009C57AF"/>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17D1A"/>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2D49"/>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4F41"/>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05A2"/>
    <w:rsid w:val="00C161FD"/>
    <w:rsid w:val="00C23F17"/>
    <w:rsid w:val="00C26D0D"/>
    <w:rsid w:val="00C27C95"/>
    <w:rsid w:val="00C300D2"/>
    <w:rsid w:val="00C3270F"/>
    <w:rsid w:val="00C3278B"/>
    <w:rsid w:val="00C33375"/>
    <w:rsid w:val="00C34C23"/>
    <w:rsid w:val="00C35F22"/>
    <w:rsid w:val="00C42005"/>
    <w:rsid w:val="00C44446"/>
    <w:rsid w:val="00C4664D"/>
    <w:rsid w:val="00C472AA"/>
    <w:rsid w:val="00C50A05"/>
    <w:rsid w:val="00C54AED"/>
    <w:rsid w:val="00C63D00"/>
    <w:rsid w:val="00C6441B"/>
    <w:rsid w:val="00C7108B"/>
    <w:rsid w:val="00C8089F"/>
    <w:rsid w:val="00C836CC"/>
    <w:rsid w:val="00C84559"/>
    <w:rsid w:val="00C87A74"/>
    <w:rsid w:val="00C92C71"/>
    <w:rsid w:val="00C93F8F"/>
    <w:rsid w:val="00CA3593"/>
    <w:rsid w:val="00CB143A"/>
    <w:rsid w:val="00CB258E"/>
    <w:rsid w:val="00CB3C8F"/>
    <w:rsid w:val="00CC02F1"/>
    <w:rsid w:val="00CC11A6"/>
    <w:rsid w:val="00CC135E"/>
    <w:rsid w:val="00CC4414"/>
    <w:rsid w:val="00CD5D3F"/>
    <w:rsid w:val="00CE71D7"/>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0525"/>
    <w:rsid w:val="00EB2173"/>
    <w:rsid w:val="00EB62E6"/>
    <w:rsid w:val="00ED1B30"/>
    <w:rsid w:val="00ED250E"/>
    <w:rsid w:val="00ED6516"/>
    <w:rsid w:val="00EE1AC1"/>
    <w:rsid w:val="00EE39D6"/>
    <w:rsid w:val="00EE52AD"/>
    <w:rsid w:val="00EF3517"/>
    <w:rsid w:val="00F01F92"/>
    <w:rsid w:val="00F10855"/>
    <w:rsid w:val="00F10A08"/>
    <w:rsid w:val="00F22AC5"/>
    <w:rsid w:val="00F254D1"/>
    <w:rsid w:val="00F32B82"/>
    <w:rsid w:val="00F4043E"/>
    <w:rsid w:val="00F41BBC"/>
    <w:rsid w:val="00F43B9D"/>
    <w:rsid w:val="00F444F0"/>
    <w:rsid w:val="00F50847"/>
    <w:rsid w:val="00F52FF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rsid w:val="00F10855"/>
    <w:rPr>
      <w:i/>
      <w:iCs/>
    </w:rPr>
  </w:style>
  <w:style w:type="character" w:customStyle="1" w:styleId="citation">
    <w:name w:val="citation"/>
    <w:basedOn w:val="DefaultParagraphFont"/>
    <w:rsid w:val="00F10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96/25/contents" TargetMode="External"/><Relationship Id="rId39" Type="http://schemas.openxmlformats.org/officeDocument/2006/relationships/hyperlink" Target="https://www.legislation.gov.uk/ukpga/1999/23/contents"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assets.publishing.service.gov.uk/government/uploads/system/uploads/attachment_data/file/344503/Review_of_Section_58_of_the_Children_Act_2004.pdf" TargetMode="External"/><Relationship Id="rId42"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domestic-violence-and-abuse" TargetMode="External"/><Relationship Id="rId29" Type="http://schemas.openxmlformats.org/officeDocument/2006/relationships/hyperlink" Target="https://hmicfrs.justiceinspectorates.gov.uk/glossary/public-protection-notic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major-investigation-and-public-protection/domestic-abuse/first-response/" TargetMode="External"/><Relationship Id="rId32" Type="http://schemas.openxmlformats.org/officeDocument/2006/relationships/hyperlink" Target="https://www.gov.uk/guidance/police-and-criminal-evidence-act-1984-pace-codes-of-practice" TargetMode="External"/><Relationship Id="rId37" Type="http://schemas.openxmlformats.org/officeDocument/2006/relationships/hyperlink" Target="https://assets.publishing.service.gov.uk/media/60620279d3bf7f5ceaca0d89/victims-code-2020.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p.college.police.uk/app-content/national-decision-model/the-national-decision-model/" TargetMode="External"/><Relationship Id="rId28" Type="http://schemas.openxmlformats.org/officeDocument/2006/relationships/hyperlink" Target="https://www.ed.ac.uk/reflection/reflectors-toolkit/reflecting-on-experience/gibbs-reflective-cycle" TargetMode="External"/><Relationship Id="rId36" Type="http://schemas.openxmlformats.org/officeDocument/2006/relationships/hyperlink" Target="https://www.app.college.police.uk/app-content/major-investigation-and-public-protection/domestic-abuse/investigative-development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yas.n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investigation/investigative-interviewing/investigative-interviewing" TargetMode="External"/><Relationship Id="rId27" Type="http://schemas.openxmlformats.org/officeDocument/2006/relationships/hyperlink" Target="https://www.gov.uk/government/uploads/sysem/uploads/attachment_data/file/656025/Guidance_on_Police_Powers.PDF" TargetMode="External"/><Relationship Id="rId30" Type="http://schemas.openxmlformats.org/officeDocument/2006/relationships/hyperlink" Target="https://www.mind.org.uk/information-support/guides-to-support-and-services/crisis-services/crisis-teams-crhts/" TargetMode="External"/><Relationship Id="rId35" Type="http://schemas.openxmlformats.org/officeDocument/2006/relationships/hyperlink" Target="https://www.legislation.gov.uk/anaw/2014/4/section/76"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childlawadvice.org.uk/information-pages/the-law-on-smacking-children/" TargetMode="External"/><Relationship Id="rId33" Type="http://schemas.openxmlformats.org/officeDocument/2006/relationships/hyperlink" Target="https://doi.org/10.1186/s12889-019-7609-0" TargetMode="External"/><Relationship Id="rId38" Type="http://schemas.openxmlformats.org/officeDocument/2006/relationships/hyperlink" Target="https://www.who.int/news-room/questions-and-answers/item/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25</Pages>
  <Words>8522</Words>
  <Characters>48581</Characters>
  <Application>Microsoft Office Word</Application>
  <DocSecurity>0</DocSecurity>
  <Lines>404</Lines>
  <Paragraphs>113</Paragraphs>
  <ScaleCrop>false</ScaleCrop>
  <Company>Powys County Council</Company>
  <LinksUpToDate>false</LinksUpToDate>
  <CharactersWithSpaces>56990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Woods,Joanie-Marie swp8659</cp:lastModifiedBy>
  <cp:revision>25</cp:revision>
  <cp:lastPrinted>2019-08-13T11:47:00Z</cp:lastPrinted>
  <dcterms:created xsi:type="dcterms:W3CDTF">2023-09-08T09:14:00Z</dcterms:created>
  <dcterms:modified xsi:type="dcterms:W3CDTF">2023-11-30T08:22:00Z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2023-09-08T09:12:08Z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68d8d656-c1c6-4394-861e-ff3be3e8194b</vt:lpwstr>
  </property>
  <property fmtid="{D5CDD505-2E9C-101B-9397-08002B2CF9AE}" pid="9" name="MSIP_Label_66cf8fe5-b7b7-4df7-b38d-1c61ac2f6639_ContentBits">
    <vt:lpwstr>0</vt:lpwstr>
  </property>
</Properties>
</file>