
<file path=[Content_Types].xml><?xml version="1.0" encoding="utf-8"?>
<Types xmlns="http://schemas.openxmlformats.org/package/2006/content-types">
  <Override PartName="/word/footnotes.xml" ContentType="application/vnd.openxmlformats-officedocument.wordprocessingml.footnotes+xml"/>
  <Override PartName="/word/charts/chart10.xml" ContentType="application/vnd.openxmlformats-officedocument.drawingml.chart+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footer2.xml" ContentType="application/vnd.openxmlformats-officedocument.wordprocessingml.footer+xml"/>
  <Override PartName="/word/footer3.xml" ContentType="application/vnd.openxmlformats-officedocument.wordprocessingml.footer+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5605" w:rsidRPr="0031264C" w:rsidRDefault="008E5605">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8E5605" w:rsidRPr="00C63C39" w:rsidRDefault="008E5605">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p>
    <w:p w:rsidR="008E5605" w:rsidRDefault="00C63C39">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24"/>
          <w:szCs w:val="24"/>
          <w:lang w:val="en-GB"/>
        </w:rPr>
        <w:t xml:space="preserve">                                   </w:t>
      </w:r>
      <w:r>
        <w:rPr>
          <w:rFonts w:ascii="Times New Roman" w:eastAsia="Times New Roman" w:hAnsi="Times New Roman" w:cs="Times New Roman"/>
          <w:b/>
          <w:color w:val="000000" w:themeColor="text1"/>
          <w:sz w:val="32"/>
          <w:szCs w:val="32"/>
          <w:lang w:val="en-GB"/>
        </w:rPr>
        <w:t>Module Code:LCBB401</w:t>
      </w:r>
    </w:p>
    <w:p w:rsidR="00C63C39" w:rsidRDefault="00C63C39">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Module Name:Accouting Fundamental</w:t>
      </w:r>
    </w:p>
    <w:p w:rsidR="00C63C39" w:rsidRDefault="00C63C39">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Module Tutor: Nadeem Mirza</w:t>
      </w:r>
    </w:p>
    <w:p w:rsidR="0056341B" w:rsidRDefault="0056341B">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Module Title:Assesment 1</w:t>
      </w:r>
    </w:p>
    <w:p w:rsidR="00C63C39" w:rsidRDefault="00C63C39">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Student Name: Angel Angelov</w:t>
      </w:r>
    </w:p>
    <w:p w:rsidR="00C63C39" w:rsidRDefault="00C63C39">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Student Number:2120247</w:t>
      </w:r>
    </w:p>
    <w:p w:rsidR="00C63C39" w:rsidRDefault="00C63C39">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rsidR="00C63C39" w:rsidRPr="00C63C39" w:rsidRDefault="00C63C39">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rsidR="008E5605" w:rsidRPr="00C63C39" w:rsidRDefault="00C63C39">
      <w:pPr>
        <w:pStyle w:val="normal"/>
        <w:spacing w:before="200" w:after="200"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24"/>
          <w:szCs w:val="24"/>
          <w:lang w:val="en-GB"/>
        </w:rPr>
        <w:t xml:space="preserve">                               </w:t>
      </w:r>
    </w:p>
    <w:p w:rsidR="008E5605" w:rsidRPr="0031264C" w:rsidRDefault="008E5605">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8E5605" w:rsidRPr="0031264C" w:rsidRDefault="00C7440D">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color w:val="000000" w:themeColor="text1"/>
          <w:lang w:val="en-GB"/>
        </w:rPr>
        <w:br w:type="page"/>
      </w:r>
    </w:p>
    <w:p w:rsidR="00000134" w:rsidRPr="0031264C" w:rsidRDefault="00C7440D">
      <w:pPr>
        <w:pStyle w:val="normal"/>
        <w:spacing w:before="200" w:after="200" w:line="360" w:lineRule="auto"/>
        <w:jc w:val="center"/>
        <w:rPr>
          <w:noProof/>
          <w:lang w:val="en-GB"/>
        </w:rPr>
      </w:pPr>
      <w:r w:rsidRPr="0031264C">
        <w:rPr>
          <w:rFonts w:ascii="Times New Roman" w:eastAsia="Times New Roman" w:hAnsi="Times New Roman" w:cs="Times New Roman"/>
          <w:b/>
          <w:color w:val="000000" w:themeColor="text1"/>
          <w:sz w:val="24"/>
          <w:szCs w:val="24"/>
          <w:lang w:val="en-GB"/>
        </w:rPr>
        <w:lastRenderedPageBreak/>
        <w:t>Table of Contents</w:t>
      </w:r>
      <w:r w:rsidR="003E360B" w:rsidRPr="0031264C">
        <w:rPr>
          <w:rFonts w:ascii="Times New Roman" w:eastAsia="Times New Roman" w:hAnsi="Times New Roman" w:cs="Times New Roman"/>
          <w:b/>
          <w:color w:val="000000" w:themeColor="text1"/>
          <w:sz w:val="24"/>
          <w:szCs w:val="24"/>
          <w:lang w:val="en-GB"/>
        </w:rPr>
        <w:fldChar w:fldCharType="begin"/>
      </w:r>
      <w:r w:rsidR="00000134" w:rsidRPr="0031264C">
        <w:rPr>
          <w:rFonts w:ascii="Times New Roman" w:eastAsia="Times New Roman" w:hAnsi="Times New Roman" w:cs="Times New Roman"/>
          <w:b/>
          <w:color w:val="000000" w:themeColor="text1"/>
          <w:sz w:val="24"/>
          <w:szCs w:val="24"/>
          <w:lang w:val="en-GB"/>
        </w:rPr>
        <w:instrText xml:space="preserve"> TOC \o "1-3" \h \z \u </w:instrText>
      </w:r>
      <w:r w:rsidR="003E360B" w:rsidRPr="0031264C">
        <w:rPr>
          <w:rFonts w:ascii="Times New Roman" w:eastAsia="Times New Roman" w:hAnsi="Times New Roman" w:cs="Times New Roman"/>
          <w:b/>
          <w:color w:val="000000" w:themeColor="text1"/>
          <w:sz w:val="24"/>
          <w:szCs w:val="24"/>
          <w:lang w:val="en-GB"/>
        </w:rPr>
        <w:fldChar w:fldCharType="separate"/>
      </w:r>
    </w:p>
    <w:p w:rsidR="00000134" w:rsidRPr="0031264C" w:rsidRDefault="003E360B" w:rsidP="00000134">
      <w:pPr>
        <w:pStyle w:val="10"/>
        <w:tabs>
          <w:tab w:val="right" w:leader="dot" w:pos="9019"/>
        </w:tabs>
        <w:spacing w:before="240" w:line="360" w:lineRule="auto"/>
        <w:jc w:val="both"/>
        <w:rPr>
          <w:rFonts w:ascii="Times New Roman" w:hAnsi="Times New Roman" w:cs="Times New Roman"/>
          <w:noProof/>
          <w:sz w:val="24"/>
          <w:lang w:val="en-GB"/>
        </w:rPr>
      </w:pPr>
      <w:hyperlink w:anchor="_Toc123137021" w:history="1">
        <w:r w:rsidR="00000134" w:rsidRPr="0031264C">
          <w:rPr>
            <w:rStyle w:val="ab"/>
            <w:rFonts w:ascii="Times New Roman" w:hAnsi="Times New Roman" w:cs="Times New Roman"/>
            <w:noProof/>
            <w:sz w:val="24"/>
            <w:lang w:val="en-GB"/>
          </w:rPr>
          <w:t>Introduction</w:t>
        </w:r>
        <w:r w:rsidR="00000134" w:rsidRPr="0031264C">
          <w:rPr>
            <w:rFonts w:ascii="Times New Roman" w:hAnsi="Times New Roman" w:cs="Times New Roman"/>
            <w:noProof/>
            <w:webHidden/>
            <w:sz w:val="24"/>
            <w:lang w:val="en-GB"/>
          </w:rPr>
          <w:tab/>
        </w:r>
        <w:r w:rsidRPr="0031264C">
          <w:rPr>
            <w:rFonts w:ascii="Times New Roman" w:hAnsi="Times New Roman" w:cs="Times New Roman"/>
            <w:noProof/>
            <w:webHidden/>
            <w:sz w:val="24"/>
            <w:lang w:val="en-GB"/>
          </w:rPr>
          <w:fldChar w:fldCharType="begin"/>
        </w:r>
        <w:r w:rsidR="00000134" w:rsidRPr="0031264C">
          <w:rPr>
            <w:rFonts w:ascii="Times New Roman" w:hAnsi="Times New Roman" w:cs="Times New Roman"/>
            <w:noProof/>
            <w:webHidden/>
            <w:sz w:val="24"/>
            <w:lang w:val="en-GB"/>
          </w:rPr>
          <w:instrText xml:space="preserve"> PAGEREF _Toc123137021 \h </w:instrText>
        </w:r>
        <w:r w:rsidRPr="0031264C">
          <w:rPr>
            <w:rFonts w:ascii="Times New Roman" w:hAnsi="Times New Roman" w:cs="Times New Roman"/>
            <w:noProof/>
            <w:webHidden/>
            <w:sz w:val="24"/>
            <w:lang w:val="en-GB"/>
          </w:rPr>
        </w:r>
        <w:r w:rsidRPr="0031264C">
          <w:rPr>
            <w:rFonts w:ascii="Times New Roman" w:hAnsi="Times New Roman" w:cs="Times New Roman"/>
            <w:noProof/>
            <w:webHidden/>
            <w:sz w:val="24"/>
            <w:lang w:val="en-GB"/>
          </w:rPr>
          <w:fldChar w:fldCharType="separate"/>
        </w:r>
        <w:r w:rsidR="00000134" w:rsidRPr="0031264C">
          <w:rPr>
            <w:rFonts w:ascii="Times New Roman" w:hAnsi="Times New Roman" w:cs="Times New Roman"/>
            <w:noProof/>
            <w:webHidden/>
            <w:sz w:val="24"/>
            <w:lang w:val="en-GB"/>
          </w:rPr>
          <w:t>2</w:t>
        </w:r>
        <w:r w:rsidRPr="0031264C">
          <w:rPr>
            <w:rFonts w:ascii="Times New Roman" w:hAnsi="Times New Roman" w:cs="Times New Roman"/>
            <w:noProof/>
            <w:webHidden/>
            <w:sz w:val="24"/>
            <w:lang w:val="en-GB"/>
          </w:rPr>
          <w:fldChar w:fldCharType="end"/>
        </w:r>
      </w:hyperlink>
    </w:p>
    <w:p w:rsidR="00000134" w:rsidRPr="0031264C" w:rsidRDefault="003E360B" w:rsidP="00000134">
      <w:pPr>
        <w:pStyle w:val="10"/>
        <w:tabs>
          <w:tab w:val="right" w:leader="dot" w:pos="9019"/>
        </w:tabs>
        <w:spacing w:before="240" w:line="360" w:lineRule="auto"/>
        <w:jc w:val="both"/>
        <w:rPr>
          <w:rFonts w:ascii="Times New Roman" w:hAnsi="Times New Roman" w:cs="Times New Roman"/>
          <w:noProof/>
          <w:sz w:val="24"/>
          <w:lang w:val="en-GB"/>
        </w:rPr>
      </w:pPr>
      <w:hyperlink w:anchor="_Toc123137022" w:history="1">
        <w:r w:rsidR="00000134" w:rsidRPr="0031264C">
          <w:rPr>
            <w:rStyle w:val="ab"/>
            <w:rFonts w:ascii="Times New Roman" w:hAnsi="Times New Roman" w:cs="Times New Roman"/>
            <w:noProof/>
            <w:sz w:val="24"/>
            <w:lang w:val="en-GB"/>
          </w:rPr>
          <w:t>Q1-Wales plc</w:t>
        </w:r>
        <w:r w:rsidR="00000134" w:rsidRPr="0031264C">
          <w:rPr>
            <w:rFonts w:ascii="Times New Roman" w:hAnsi="Times New Roman" w:cs="Times New Roman"/>
            <w:noProof/>
            <w:webHidden/>
            <w:sz w:val="24"/>
            <w:lang w:val="en-GB"/>
          </w:rPr>
          <w:tab/>
        </w:r>
        <w:r w:rsidRPr="0031264C">
          <w:rPr>
            <w:rFonts w:ascii="Times New Roman" w:hAnsi="Times New Roman" w:cs="Times New Roman"/>
            <w:noProof/>
            <w:webHidden/>
            <w:sz w:val="24"/>
            <w:lang w:val="en-GB"/>
          </w:rPr>
          <w:fldChar w:fldCharType="begin"/>
        </w:r>
        <w:r w:rsidR="00000134" w:rsidRPr="0031264C">
          <w:rPr>
            <w:rFonts w:ascii="Times New Roman" w:hAnsi="Times New Roman" w:cs="Times New Roman"/>
            <w:noProof/>
            <w:webHidden/>
            <w:sz w:val="24"/>
            <w:lang w:val="en-GB"/>
          </w:rPr>
          <w:instrText xml:space="preserve"> PAGEREF _Toc123137022 \h </w:instrText>
        </w:r>
        <w:r w:rsidRPr="0031264C">
          <w:rPr>
            <w:rFonts w:ascii="Times New Roman" w:hAnsi="Times New Roman" w:cs="Times New Roman"/>
            <w:noProof/>
            <w:webHidden/>
            <w:sz w:val="24"/>
            <w:lang w:val="en-GB"/>
          </w:rPr>
        </w:r>
        <w:r w:rsidRPr="0031264C">
          <w:rPr>
            <w:rFonts w:ascii="Times New Roman" w:hAnsi="Times New Roman" w:cs="Times New Roman"/>
            <w:noProof/>
            <w:webHidden/>
            <w:sz w:val="24"/>
            <w:lang w:val="en-GB"/>
          </w:rPr>
          <w:fldChar w:fldCharType="separate"/>
        </w:r>
        <w:r w:rsidR="00000134" w:rsidRPr="0031264C">
          <w:rPr>
            <w:rFonts w:ascii="Times New Roman" w:hAnsi="Times New Roman" w:cs="Times New Roman"/>
            <w:noProof/>
            <w:webHidden/>
            <w:sz w:val="24"/>
            <w:lang w:val="en-GB"/>
          </w:rPr>
          <w:t>2</w:t>
        </w:r>
        <w:r w:rsidRPr="0031264C">
          <w:rPr>
            <w:rFonts w:ascii="Times New Roman" w:hAnsi="Times New Roman" w:cs="Times New Roman"/>
            <w:noProof/>
            <w:webHidden/>
            <w:sz w:val="24"/>
            <w:lang w:val="en-GB"/>
          </w:rPr>
          <w:fldChar w:fldCharType="end"/>
        </w:r>
      </w:hyperlink>
    </w:p>
    <w:p w:rsidR="00000134" w:rsidRPr="0031264C" w:rsidRDefault="003E360B" w:rsidP="00000134">
      <w:pPr>
        <w:pStyle w:val="10"/>
        <w:tabs>
          <w:tab w:val="right" w:leader="dot" w:pos="9019"/>
        </w:tabs>
        <w:spacing w:before="240" w:line="360" w:lineRule="auto"/>
        <w:jc w:val="both"/>
        <w:rPr>
          <w:rFonts w:ascii="Times New Roman" w:hAnsi="Times New Roman" w:cs="Times New Roman"/>
          <w:noProof/>
          <w:sz w:val="24"/>
          <w:lang w:val="en-GB"/>
        </w:rPr>
      </w:pPr>
      <w:hyperlink w:anchor="_Toc123137023" w:history="1">
        <w:r w:rsidR="00000134" w:rsidRPr="0031264C">
          <w:rPr>
            <w:rStyle w:val="ab"/>
            <w:rFonts w:ascii="Times New Roman" w:hAnsi="Times New Roman" w:cs="Times New Roman"/>
            <w:noProof/>
            <w:sz w:val="24"/>
            <w:lang w:val="en-GB"/>
          </w:rPr>
          <w:t>a) Financial statements</w:t>
        </w:r>
        <w:r w:rsidR="00000134" w:rsidRPr="0031264C">
          <w:rPr>
            <w:rFonts w:ascii="Times New Roman" w:hAnsi="Times New Roman" w:cs="Times New Roman"/>
            <w:noProof/>
            <w:webHidden/>
            <w:sz w:val="24"/>
            <w:lang w:val="en-GB"/>
          </w:rPr>
          <w:tab/>
        </w:r>
        <w:r w:rsidRPr="0031264C">
          <w:rPr>
            <w:rFonts w:ascii="Times New Roman" w:hAnsi="Times New Roman" w:cs="Times New Roman"/>
            <w:noProof/>
            <w:webHidden/>
            <w:sz w:val="24"/>
            <w:lang w:val="en-GB"/>
          </w:rPr>
          <w:fldChar w:fldCharType="begin"/>
        </w:r>
        <w:r w:rsidR="00000134" w:rsidRPr="0031264C">
          <w:rPr>
            <w:rFonts w:ascii="Times New Roman" w:hAnsi="Times New Roman" w:cs="Times New Roman"/>
            <w:noProof/>
            <w:webHidden/>
            <w:sz w:val="24"/>
            <w:lang w:val="en-GB"/>
          </w:rPr>
          <w:instrText xml:space="preserve"> PAGEREF _Toc123137023 \h </w:instrText>
        </w:r>
        <w:r w:rsidRPr="0031264C">
          <w:rPr>
            <w:rFonts w:ascii="Times New Roman" w:hAnsi="Times New Roman" w:cs="Times New Roman"/>
            <w:noProof/>
            <w:webHidden/>
            <w:sz w:val="24"/>
            <w:lang w:val="en-GB"/>
          </w:rPr>
        </w:r>
        <w:r w:rsidRPr="0031264C">
          <w:rPr>
            <w:rFonts w:ascii="Times New Roman" w:hAnsi="Times New Roman" w:cs="Times New Roman"/>
            <w:noProof/>
            <w:webHidden/>
            <w:sz w:val="24"/>
            <w:lang w:val="en-GB"/>
          </w:rPr>
          <w:fldChar w:fldCharType="separate"/>
        </w:r>
        <w:r w:rsidR="00000134" w:rsidRPr="0031264C">
          <w:rPr>
            <w:rFonts w:ascii="Times New Roman" w:hAnsi="Times New Roman" w:cs="Times New Roman"/>
            <w:noProof/>
            <w:webHidden/>
            <w:sz w:val="24"/>
            <w:lang w:val="en-GB"/>
          </w:rPr>
          <w:t>2</w:t>
        </w:r>
        <w:r w:rsidRPr="0031264C">
          <w:rPr>
            <w:rFonts w:ascii="Times New Roman" w:hAnsi="Times New Roman" w:cs="Times New Roman"/>
            <w:noProof/>
            <w:webHidden/>
            <w:sz w:val="24"/>
            <w:lang w:val="en-GB"/>
          </w:rPr>
          <w:fldChar w:fldCharType="end"/>
        </w:r>
      </w:hyperlink>
    </w:p>
    <w:p w:rsidR="00000134" w:rsidRPr="0031264C" w:rsidRDefault="003E360B" w:rsidP="00000134">
      <w:pPr>
        <w:pStyle w:val="10"/>
        <w:tabs>
          <w:tab w:val="right" w:leader="dot" w:pos="9019"/>
        </w:tabs>
        <w:spacing w:before="240" w:line="360" w:lineRule="auto"/>
        <w:jc w:val="both"/>
        <w:rPr>
          <w:rFonts w:ascii="Times New Roman" w:hAnsi="Times New Roman" w:cs="Times New Roman"/>
          <w:noProof/>
          <w:sz w:val="24"/>
          <w:lang w:val="en-GB"/>
        </w:rPr>
      </w:pPr>
      <w:hyperlink w:anchor="_Toc123137024" w:history="1">
        <w:r w:rsidR="00000134" w:rsidRPr="0031264C">
          <w:rPr>
            <w:rStyle w:val="ab"/>
            <w:rFonts w:ascii="Times New Roman" w:hAnsi="Times New Roman" w:cs="Times New Roman"/>
            <w:noProof/>
            <w:sz w:val="24"/>
            <w:lang w:val="en-GB"/>
          </w:rPr>
          <w:t>b) Reason for financial position statement being balanced</w:t>
        </w:r>
        <w:r w:rsidR="00000134" w:rsidRPr="0031264C">
          <w:rPr>
            <w:rFonts w:ascii="Times New Roman" w:hAnsi="Times New Roman" w:cs="Times New Roman"/>
            <w:noProof/>
            <w:webHidden/>
            <w:sz w:val="24"/>
            <w:lang w:val="en-GB"/>
          </w:rPr>
          <w:tab/>
        </w:r>
        <w:r w:rsidRPr="0031264C">
          <w:rPr>
            <w:rFonts w:ascii="Times New Roman" w:hAnsi="Times New Roman" w:cs="Times New Roman"/>
            <w:noProof/>
            <w:webHidden/>
            <w:sz w:val="24"/>
            <w:lang w:val="en-GB"/>
          </w:rPr>
          <w:fldChar w:fldCharType="begin"/>
        </w:r>
        <w:r w:rsidR="00000134" w:rsidRPr="0031264C">
          <w:rPr>
            <w:rFonts w:ascii="Times New Roman" w:hAnsi="Times New Roman" w:cs="Times New Roman"/>
            <w:noProof/>
            <w:webHidden/>
            <w:sz w:val="24"/>
            <w:lang w:val="en-GB"/>
          </w:rPr>
          <w:instrText xml:space="preserve"> PAGEREF _Toc123137024 \h </w:instrText>
        </w:r>
        <w:r w:rsidRPr="0031264C">
          <w:rPr>
            <w:rFonts w:ascii="Times New Roman" w:hAnsi="Times New Roman" w:cs="Times New Roman"/>
            <w:noProof/>
            <w:webHidden/>
            <w:sz w:val="24"/>
            <w:lang w:val="en-GB"/>
          </w:rPr>
        </w:r>
        <w:r w:rsidRPr="0031264C">
          <w:rPr>
            <w:rFonts w:ascii="Times New Roman" w:hAnsi="Times New Roman" w:cs="Times New Roman"/>
            <w:noProof/>
            <w:webHidden/>
            <w:sz w:val="24"/>
            <w:lang w:val="en-GB"/>
          </w:rPr>
          <w:fldChar w:fldCharType="separate"/>
        </w:r>
        <w:r w:rsidR="00000134" w:rsidRPr="0031264C">
          <w:rPr>
            <w:rFonts w:ascii="Times New Roman" w:hAnsi="Times New Roman" w:cs="Times New Roman"/>
            <w:noProof/>
            <w:webHidden/>
            <w:sz w:val="24"/>
            <w:lang w:val="en-GB"/>
          </w:rPr>
          <w:t>5</w:t>
        </w:r>
        <w:r w:rsidRPr="0031264C">
          <w:rPr>
            <w:rFonts w:ascii="Times New Roman" w:hAnsi="Times New Roman" w:cs="Times New Roman"/>
            <w:noProof/>
            <w:webHidden/>
            <w:sz w:val="24"/>
            <w:lang w:val="en-GB"/>
          </w:rPr>
          <w:fldChar w:fldCharType="end"/>
        </w:r>
      </w:hyperlink>
    </w:p>
    <w:p w:rsidR="00000134" w:rsidRPr="0031264C" w:rsidRDefault="003E360B" w:rsidP="00000134">
      <w:pPr>
        <w:pStyle w:val="10"/>
        <w:tabs>
          <w:tab w:val="right" w:leader="dot" w:pos="9019"/>
        </w:tabs>
        <w:spacing w:before="240" w:line="360" w:lineRule="auto"/>
        <w:jc w:val="both"/>
        <w:rPr>
          <w:rFonts w:ascii="Times New Roman" w:hAnsi="Times New Roman" w:cs="Times New Roman"/>
          <w:noProof/>
          <w:sz w:val="24"/>
          <w:lang w:val="en-GB"/>
        </w:rPr>
      </w:pPr>
      <w:hyperlink w:anchor="_Toc123137025" w:history="1">
        <w:r w:rsidR="00000134" w:rsidRPr="0031264C">
          <w:rPr>
            <w:rStyle w:val="ab"/>
            <w:rFonts w:ascii="Times New Roman" w:hAnsi="Times New Roman" w:cs="Times New Roman"/>
            <w:noProof/>
            <w:sz w:val="24"/>
            <w:lang w:val="en-GB"/>
          </w:rPr>
          <w:t>Q2-Sweets Plc</w:t>
        </w:r>
        <w:r w:rsidR="00000134" w:rsidRPr="0031264C">
          <w:rPr>
            <w:rFonts w:ascii="Times New Roman" w:hAnsi="Times New Roman" w:cs="Times New Roman"/>
            <w:noProof/>
            <w:webHidden/>
            <w:sz w:val="24"/>
            <w:lang w:val="en-GB"/>
          </w:rPr>
          <w:tab/>
        </w:r>
        <w:r w:rsidRPr="0031264C">
          <w:rPr>
            <w:rFonts w:ascii="Times New Roman" w:hAnsi="Times New Roman" w:cs="Times New Roman"/>
            <w:noProof/>
            <w:webHidden/>
            <w:sz w:val="24"/>
            <w:lang w:val="en-GB"/>
          </w:rPr>
          <w:fldChar w:fldCharType="begin"/>
        </w:r>
        <w:r w:rsidR="00000134" w:rsidRPr="0031264C">
          <w:rPr>
            <w:rFonts w:ascii="Times New Roman" w:hAnsi="Times New Roman" w:cs="Times New Roman"/>
            <w:noProof/>
            <w:webHidden/>
            <w:sz w:val="24"/>
            <w:lang w:val="en-GB"/>
          </w:rPr>
          <w:instrText xml:space="preserve"> PAGEREF _Toc123137025 \h </w:instrText>
        </w:r>
        <w:r w:rsidRPr="0031264C">
          <w:rPr>
            <w:rFonts w:ascii="Times New Roman" w:hAnsi="Times New Roman" w:cs="Times New Roman"/>
            <w:noProof/>
            <w:webHidden/>
            <w:sz w:val="24"/>
            <w:lang w:val="en-GB"/>
          </w:rPr>
        </w:r>
        <w:r w:rsidRPr="0031264C">
          <w:rPr>
            <w:rFonts w:ascii="Times New Roman" w:hAnsi="Times New Roman" w:cs="Times New Roman"/>
            <w:noProof/>
            <w:webHidden/>
            <w:sz w:val="24"/>
            <w:lang w:val="en-GB"/>
          </w:rPr>
          <w:fldChar w:fldCharType="separate"/>
        </w:r>
        <w:r w:rsidR="00000134" w:rsidRPr="0031264C">
          <w:rPr>
            <w:rFonts w:ascii="Times New Roman" w:hAnsi="Times New Roman" w:cs="Times New Roman"/>
            <w:noProof/>
            <w:webHidden/>
            <w:sz w:val="24"/>
            <w:lang w:val="en-GB"/>
          </w:rPr>
          <w:t>5</w:t>
        </w:r>
        <w:r w:rsidRPr="0031264C">
          <w:rPr>
            <w:rFonts w:ascii="Times New Roman" w:hAnsi="Times New Roman" w:cs="Times New Roman"/>
            <w:noProof/>
            <w:webHidden/>
            <w:sz w:val="24"/>
            <w:lang w:val="en-GB"/>
          </w:rPr>
          <w:fldChar w:fldCharType="end"/>
        </w:r>
      </w:hyperlink>
    </w:p>
    <w:p w:rsidR="00000134" w:rsidRPr="0031264C" w:rsidRDefault="003E360B" w:rsidP="00000134">
      <w:pPr>
        <w:pStyle w:val="10"/>
        <w:tabs>
          <w:tab w:val="right" w:leader="dot" w:pos="9019"/>
        </w:tabs>
        <w:spacing w:before="240" w:line="360" w:lineRule="auto"/>
        <w:jc w:val="both"/>
        <w:rPr>
          <w:rFonts w:ascii="Times New Roman" w:hAnsi="Times New Roman" w:cs="Times New Roman"/>
          <w:noProof/>
          <w:sz w:val="24"/>
          <w:lang w:val="en-GB"/>
        </w:rPr>
      </w:pPr>
      <w:hyperlink w:anchor="_Toc123137026" w:history="1">
        <w:r w:rsidR="00000134" w:rsidRPr="0031264C">
          <w:rPr>
            <w:rStyle w:val="ab"/>
            <w:rFonts w:ascii="Times New Roman" w:hAnsi="Times New Roman" w:cs="Times New Roman"/>
            <w:noProof/>
            <w:sz w:val="24"/>
            <w:lang w:val="en-GB"/>
          </w:rPr>
          <w:t>a. Accounting ratios</w:t>
        </w:r>
        <w:r w:rsidR="00000134" w:rsidRPr="0031264C">
          <w:rPr>
            <w:rFonts w:ascii="Times New Roman" w:hAnsi="Times New Roman" w:cs="Times New Roman"/>
            <w:noProof/>
            <w:webHidden/>
            <w:sz w:val="24"/>
            <w:lang w:val="en-GB"/>
          </w:rPr>
          <w:tab/>
        </w:r>
        <w:r w:rsidRPr="0031264C">
          <w:rPr>
            <w:rFonts w:ascii="Times New Roman" w:hAnsi="Times New Roman" w:cs="Times New Roman"/>
            <w:noProof/>
            <w:webHidden/>
            <w:sz w:val="24"/>
            <w:lang w:val="en-GB"/>
          </w:rPr>
          <w:fldChar w:fldCharType="begin"/>
        </w:r>
        <w:r w:rsidR="00000134" w:rsidRPr="0031264C">
          <w:rPr>
            <w:rFonts w:ascii="Times New Roman" w:hAnsi="Times New Roman" w:cs="Times New Roman"/>
            <w:noProof/>
            <w:webHidden/>
            <w:sz w:val="24"/>
            <w:lang w:val="en-GB"/>
          </w:rPr>
          <w:instrText xml:space="preserve"> PAGEREF _Toc123137026 \h </w:instrText>
        </w:r>
        <w:r w:rsidRPr="0031264C">
          <w:rPr>
            <w:rFonts w:ascii="Times New Roman" w:hAnsi="Times New Roman" w:cs="Times New Roman"/>
            <w:noProof/>
            <w:webHidden/>
            <w:sz w:val="24"/>
            <w:lang w:val="en-GB"/>
          </w:rPr>
        </w:r>
        <w:r w:rsidRPr="0031264C">
          <w:rPr>
            <w:rFonts w:ascii="Times New Roman" w:hAnsi="Times New Roman" w:cs="Times New Roman"/>
            <w:noProof/>
            <w:webHidden/>
            <w:sz w:val="24"/>
            <w:lang w:val="en-GB"/>
          </w:rPr>
          <w:fldChar w:fldCharType="separate"/>
        </w:r>
        <w:r w:rsidR="00000134" w:rsidRPr="0031264C">
          <w:rPr>
            <w:rFonts w:ascii="Times New Roman" w:hAnsi="Times New Roman" w:cs="Times New Roman"/>
            <w:noProof/>
            <w:webHidden/>
            <w:sz w:val="24"/>
            <w:lang w:val="en-GB"/>
          </w:rPr>
          <w:t>5</w:t>
        </w:r>
        <w:r w:rsidRPr="0031264C">
          <w:rPr>
            <w:rFonts w:ascii="Times New Roman" w:hAnsi="Times New Roman" w:cs="Times New Roman"/>
            <w:noProof/>
            <w:webHidden/>
            <w:sz w:val="24"/>
            <w:lang w:val="en-GB"/>
          </w:rPr>
          <w:fldChar w:fldCharType="end"/>
        </w:r>
      </w:hyperlink>
    </w:p>
    <w:p w:rsidR="00000134" w:rsidRPr="0031264C" w:rsidRDefault="003E360B" w:rsidP="00000134">
      <w:pPr>
        <w:pStyle w:val="10"/>
        <w:tabs>
          <w:tab w:val="right" w:leader="dot" w:pos="9019"/>
        </w:tabs>
        <w:spacing w:before="240" w:line="360" w:lineRule="auto"/>
        <w:jc w:val="both"/>
        <w:rPr>
          <w:rFonts w:ascii="Times New Roman" w:hAnsi="Times New Roman" w:cs="Times New Roman"/>
          <w:noProof/>
          <w:sz w:val="24"/>
          <w:lang w:val="en-GB"/>
        </w:rPr>
      </w:pPr>
      <w:hyperlink w:anchor="_Toc123137027" w:history="1">
        <w:r w:rsidR="00000134" w:rsidRPr="0031264C">
          <w:rPr>
            <w:rStyle w:val="ab"/>
            <w:rFonts w:ascii="Times New Roman" w:hAnsi="Times New Roman" w:cs="Times New Roman"/>
            <w:noProof/>
            <w:sz w:val="24"/>
            <w:lang w:val="en-GB"/>
          </w:rPr>
          <w:t>b. Comment on financial performance</w:t>
        </w:r>
        <w:r w:rsidR="00000134" w:rsidRPr="0031264C">
          <w:rPr>
            <w:rFonts w:ascii="Times New Roman" w:hAnsi="Times New Roman" w:cs="Times New Roman"/>
            <w:noProof/>
            <w:webHidden/>
            <w:sz w:val="24"/>
            <w:lang w:val="en-GB"/>
          </w:rPr>
          <w:tab/>
        </w:r>
        <w:r w:rsidRPr="0031264C">
          <w:rPr>
            <w:rFonts w:ascii="Times New Roman" w:hAnsi="Times New Roman" w:cs="Times New Roman"/>
            <w:noProof/>
            <w:webHidden/>
            <w:sz w:val="24"/>
            <w:lang w:val="en-GB"/>
          </w:rPr>
          <w:fldChar w:fldCharType="begin"/>
        </w:r>
        <w:r w:rsidR="00000134" w:rsidRPr="0031264C">
          <w:rPr>
            <w:rFonts w:ascii="Times New Roman" w:hAnsi="Times New Roman" w:cs="Times New Roman"/>
            <w:noProof/>
            <w:webHidden/>
            <w:sz w:val="24"/>
            <w:lang w:val="en-GB"/>
          </w:rPr>
          <w:instrText xml:space="preserve"> PAGEREF _Toc123137027 \h </w:instrText>
        </w:r>
        <w:r w:rsidRPr="0031264C">
          <w:rPr>
            <w:rFonts w:ascii="Times New Roman" w:hAnsi="Times New Roman" w:cs="Times New Roman"/>
            <w:noProof/>
            <w:webHidden/>
            <w:sz w:val="24"/>
            <w:lang w:val="en-GB"/>
          </w:rPr>
        </w:r>
        <w:r w:rsidRPr="0031264C">
          <w:rPr>
            <w:rFonts w:ascii="Times New Roman" w:hAnsi="Times New Roman" w:cs="Times New Roman"/>
            <w:noProof/>
            <w:webHidden/>
            <w:sz w:val="24"/>
            <w:lang w:val="en-GB"/>
          </w:rPr>
          <w:fldChar w:fldCharType="separate"/>
        </w:r>
        <w:r w:rsidR="00000134" w:rsidRPr="0031264C">
          <w:rPr>
            <w:rFonts w:ascii="Times New Roman" w:hAnsi="Times New Roman" w:cs="Times New Roman"/>
            <w:noProof/>
            <w:webHidden/>
            <w:sz w:val="24"/>
            <w:lang w:val="en-GB"/>
          </w:rPr>
          <w:t>12</w:t>
        </w:r>
        <w:r w:rsidRPr="0031264C">
          <w:rPr>
            <w:rFonts w:ascii="Times New Roman" w:hAnsi="Times New Roman" w:cs="Times New Roman"/>
            <w:noProof/>
            <w:webHidden/>
            <w:sz w:val="24"/>
            <w:lang w:val="en-GB"/>
          </w:rPr>
          <w:fldChar w:fldCharType="end"/>
        </w:r>
      </w:hyperlink>
    </w:p>
    <w:p w:rsidR="00000134" w:rsidRPr="0031264C" w:rsidRDefault="003E360B" w:rsidP="00000134">
      <w:pPr>
        <w:pStyle w:val="10"/>
        <w:tabs>
          <w:tab w:val="right" w:leader="dot" w:pos="9019"/>
        </w:tabs>
        <w:spacing w:before="240" w:line="360" w:lineRule="auto"/>
        <w:jc w:val="both"/>
        <w:rPr>
          <w:rFonts w:ascii="Times New Roman" w:hAnsi="Times New Roman" w:cs="Times New Roman"/>
          <w:noProof/>
          <w:sz w:val="24"/>
          <w:lang w:val="en-GB"/>
        </w:rPr>
      </w:pPr>
      <w:hyperlink w:anchor="_Toc123137028" w:history="1">
        <w:r w:rsidR="00000134" w:rsidRPr="0031264C">
          <w:rPr>
            <w:rStyle w:val="ab"/>
            <w:rFonts w:ascii="Times New Roman" w:hAnsi="Times New Roman" w:cs="Times New Roman"/>
            <w:noProof/>
            <w:sz w:val="24"/>
            <w:lang w:val="en-GB"/>
          </w:rPr>
          <w:t>Conclusion</w:t>
        </w:r>
        <w:r w:rsidR="00000134" w:rsidRPr="0031264C">
          <w:rPr>
            <w:rFonts w:ascii="Times New Roman" w:hAnsi="Times New Roman" w:cs="Times New Roman"/>
            <w:noProof/>
            <w:webHidden/>
            <w:sz w:val="24"/>
            <w:lang w:val="en-GB"/>
          </w:rPr>
          <w:tab/>
        </w:r>
        <w:r w:rsidRPr="0031264C">
          <w:rPr>
            <w:rFonts w:ascii="Times New Roman" w:hAnsi="Times New Roman" w:cs="Times New Roman"/>
            <w:noProof/>
            <w:webHidden/>
            <w:sz w:val="24"/>
            <w:lang w:val="en-GB"/>
          </w:rPr>
          <w:fldChar w:fldCharType="begin"/>
        </w:r>
        <w:r w:rsidR="00000134" w:rsidRPr="0031264C">
          <w:rPr>
            <w:rFonts w:ascii="Times New Roman" w:hAnsi="Times New Roman" w:cs="Times New Roman"/>
            <w:noProof/>
            <w:webHidden/>
            <w:sz w:val="24"/>
            <w:lang w:val="en-GB"/>
          </w:rPr>
          <w:instrText xml:space="preserve"> PAGEREF _Toc123137028 \h </w:instrText>
        </w:r>
        <w:r w:rsidRPr="0031264C">
          <w:rPr>
            <w:rFonts w:ascii="Times New Roman" w:hAnsi="Times New Roman" w:cs="Times New Roman"/>
            <w:noProof/>
            <w:webHidden/>
            <w:sz w:val="24"/>
            <w:lang w:val="en-GB"/>
          </w:rPr>
        </w:r>
        <w:r w:rsidRPr="0031264C">
          <w:rPr>
            <w:rFonts w:ascii="Times New Roman" w:hAnsi="Times New Roman" w:cs="Times New Roman"/>
            <w:noProof/>
            <w:webHidden/>
            <w:sz w:val="24"/>
            <w:lang w:val="en-GB"/>
          </w:rPr>
          <w:fldChar w:fldCharType="separate"/>
        </w:r>
        <w:r w:rsidR="00000134" w:rsidRPr="0031264C">
          <w:rPr>
            <w:rFonts w:ascii="Times New Roman" w:hAnsi="Times New Roman" w:cs="Times New Roman"/>
            <w:noProof/>
            <w:webHidden/>
            <w:sz w:val="24"/>
            <w:lang w:val="en-GB"/>
          </w:rPr>
          <w:t>14</w:t>
        </w:r>
        <w:r w:rsidRPr="0031264C">
          <w:rPr>
            <w:rFonts w:ascii="Times New Roman" w:hAnsi="Times New Roman" w:cs="Times New Roman"/>
            <w:noProof/>
            <w:webHidden/>
            <w:sz w:val="24"/>
            <w:lang w:val="en-GB"/>
          </w:rPr>
          <w:fldChar w:fldCharType="end"/>
        </w:r>
      </w:hyperlink>
    </w:p>
    <w:p w:rsidR="00000134" w:rsidRPr="0031264C" w:rsidRDefault="003E360B" w:rsidP="00000134">
      <w:pPr>
        <w:pStyle w:val="10"/>
        <w:tabs>
          <w:tab w:val="right" w:leader="dot" w:pos="9019"/>
        </w:tabs>
        <w:spacing w:before="240" w:line="360" w:lineRule="auto"/>
        <w:jc w:val="both"/>
        <w:rPr>
          <w:rFonts w:ascii="Times New Roman" w:hAnsi="Times New Roman" w:cs="Times New Roman"/>
          <w:noProof/>
          <w:sz w:val="24"/>
          <w:lang w:val="en-GB"/>
        </w:rPr>
      </w:pPr>
      <w:hyperlink w:anchor="_Toc123137029" w:history="1">
        <w:r w:rsidR="00000134" w:rsidRPr="0031264C">
          <w:rPr>
            <w:rStyle w:val="ab"/>
            <w:rFonts w:ascii="Times New Roman" w:hAnsi="Times New Roman" w:cs="Times New Roman"/>
            <w:noProof/>
            <w:sz w:val="24"/>
            <w:lang w:val="en-GB"/>
          </w:rPr>
          <w:t>References</w:t>
        </w:r>
        <w:r w:rsidR="00000134" w:rsidRPr="0031264C">
          <w:rPr>
            <w:rFonts w:ascii="Times New Roman" w:hAnsi="Times New Roman" w:cs="Times New Roman"/>
            <w:noProof/>
            <w:webHidden/>
            <w:sz w:val="24"/>
            <w:lang w:val="en-GB"/>
          </w:rPr>
          <w:tab/>
        </w:r>
        <w:r w:rsidRPr="0031264C">
          <w:rPr>
            <w:rFonts w:ascii="Times New Roman" w:hAnsi="Times New Roman" w:cs="Times New Roman"/>
            <w:noProof/>
            <w:webHidden/>
            <w:sz w:val="24"/>
            <w:lang w:val="en-GB"/>
          </w:rPr>
          <w:fldChar w:fldCharType="begin"/>
        </w:r>
        <w:r w:rsidR="00000134" w:rsidRPr="0031264C">
          <w:rPr>
            <w:rFonts w:ascii="Times New Roman" w:hAnsi="Times New Roman" w:cs="Times New Roman"/>
            <w:noProof/>
            <w:webHidden/>
            <w:sz w:val="24"/>
            <w:lang w:val="en-GB"/>
          </w:rPr>
          <w:instrText xml:space="preserve"> PAGEREF _Toc123137029 \h </w:instrText>
        </w:r>
        <w:r w:rsidRPr="0031264C">
          <w:rPr>
            <w:rFonts w:ascii="Times New Roman" w:hAnsi="Times New Roman" w:cs="Times New Roman"/>
            <w:noProof/>
            <w:webHidden/>
            <w:sz w:val="24"/>
            <w:lang w:val="en-GB"/>
          </w:rPr>
        </w:r>
        <w:r w:rsidRPr="0031264C">
          <w:rPr>
            <w:rFonts w:ascii="Times New Roman" w:hAnsi="Times New Roman" w:cs="Times New Roman"/>
            <w:noProof/>
            <w:webHidden/>
            <w:sz w:val="24"/>
            <w:lang w:val="en-GB"/>
          </w:rPr>
          <w:fldChar w:fldCharType="separate"/>
        </w:r>
        <w:r w:rsidR="00000134" w:rsidRPr="0031264C">
          <w:rPr>
            <w:rFonts w:ascii="Times New Roman" w:hAnsi="Times New Roman" w:cs="Times New Roman"/>
            <w:noProof/>
            <w:webHidden/>
            <w:sz w:val="24"/>
            <w:lang w:val="en-GB"/>
          </w:rPr>
          <w:t>15</w:t>
        </w:r>
        <w:r w:rsidRPr="0031264C">
          <w:rPr>
            <w:rFonts w:ascii="Times New Roman" w:hAnsi="Times New Roman" w:cs="Times New Roman"/>
            <w:noProof/>
            <w:webHidden/>
            <w:sz w:val="24"/>
            <w:lang w:val="en-GB"/>
          </w:rPr>
          <w:fldChar w:fldCharType="end"/>
        </w:r>
      </w:hyperlink>
    </w:p>
    <w:p w:rsidR="008E5605" w:rsidRPr="0031264C" w:rsidRDefault="003E360B" w:rsidP="00000134">
      <w:pPr>
        <w:pStyle w:val="normal"/>
        <w:spacing w:before="24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fldChar w:fldCharType="end"/>
      </w:r>
    </w:p>
    <w:p w:rsidR="008E5605" w:rsidRPr="0031264C" w:rsidRDefault="008E5605">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color w:val="000000" w:themeColor="text1"/>
          <w:lang w:val="en-GB"/>
        </w:rPr>
        <w:br w:type="page"/>
      </w:r>
    </w:p>
    <w:p w:rsidR="008E5605" w:rsidRPr="0031264C" w:rsidRDefault="00C7440D">
      <w:pPr>
        <w:pStyle w:val="1"/>
        <w:rPr>
          <w:color w:val="000000" w:themeColor="text1"/>
          <w:lang w:val="en-GB"/>
        </w:rPr>
      </w:pPr>
      <w:bookmarkStart w:id="0" w:name="_ymdd33586bvm" w:colFirst="0" w:colLast="0"/>
      <w:bookmarkStart w:id="1" w:name="_Toc123137021"/>
      <w:bookmarkEnd w:id="0"/>
      <w:r w:rsidRPr="0031264C">
        <w:rPr>
          <w:color w:val="000000" w:themeColor="text1"/>
          <w:lang w:val="en-GB"/>
        </w:rPr>
        <w:lastRenderedPageBreak/>
        <w:t>Introduction</w:t>
      </w:r>
      <w:bookmarkEnd w:id="1"/>
      <w:r w:rsidRPr="0031264C">
        <w:rPr>
          <w:color w:val="000000" w:themeColor="text1"/>
          <w:lang w:val="en-GB"/>
        </w:rPr>
        <w:t xml:space="preserve"> </w:t>
      </w:r>
    </w:p>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“Accounting” is widely analysed as the process of measuring, processing, controlling, and communicating both financial and non-financial elements of commercial entities. Effective utilisation of accounting principles, concepts, and standards allows organisations to prepare financial statements and evaluate financial performance. The work comprises preparation of financial statements for Wales Plc and calculation of accounting ratios for Sweets Plc. This work also highlights reason behind financial position statements always being balanced along with evaluation of Sweets Plc’s financial performance in last two years.  </w:t>
      </w:r>
    </w:p>
    <w:p w:rsidR="008E5605" w:rsidRPr="0031264C" w:rsidRDefault="00C7440D">
      <w:pPr>
        <w:pStyle w:val="1"/>
        <w:rPr>
          <w:color w:val="000000" w:themeColor="text1"/>
          <w:lang w:val="en-GB"/>
        </w:rPr>
      </w:pPr>
      <w:bookmarkStart w:id="2" w:name="_jbehsht04asy" w:colFirst="0" w:colLast="0"/>
      <w:bookmarkStart w:id="3" w:name="_Toc123137022"/>
      <w:bookmarkEnd w:id="2"/>
      <w:r w:rsidRPr="0031264C">
        <w:rPr>
          <w:color w:val="000000" w:themeColor="text1"/>
          <w:lang w:val="en-GB"/>
        </w:rPr>
        <w:t>Q1-Wales plc</w:t>
      </w:r>
      <w:bookmarkEnd w:id="3"/>
      <w:r w:rsidRPr="0031264C">
        <w:rPr>
          <w:color w:val="000000" w:themeColor="text1"/>
          <w:lang w:val="en-GB"/>
        </w:rPr>
        <w:t xml:space="preserve"> </w:t>
      </w:r>
    </w:p>
    <w:p w:rsidR="008E5605" w:rsidRPr="0031264C" w:rsidRDefault="00C7440D">
      <w:pPr>
        <w:pStyle w:val="1"/>
        <w:rPr>
          <w:color w:val="000000" w:themeColor="text1"/>
          <w:lang w:val="en-GB"/>
        </w:rPr>
      </w:pPr>
      <w:bookmarkStart w:id="4" w:name="_qfcecbs6k08k" w:colFirst="0" w:colLast="0"/>
      <w:bookmarkStart w:id="5" w:name="_Toc123137023"/>
      <w:bookmarkEnd w:id="4"/>
      <w:r w:rsidRPr="0031264C">
        <w:rPr>
          <w:color w:val="000000" w:themeColor="text1"/>
          <w:lang w:val="en-GB"/>
        </w:rPr>
        <w:t>a) Financial statements</w:t>
      </w:r>
      <w:bookmarkEnd w:id="5"/>
    </w:p>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“Financial statements” are written records of company's operation comprising all cash inflows and outcomes. These statements are crucial for understanding financial performance of commercial entities. As per the views of Arnold and Lewis (2019), “income statement” and “financial position statement” are main financial statements for any entity. Hence, these two financial statements have been prepared for Wales Plc. </w:t>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t>Income Statement</w:t>
      </w:r>
    </w:p>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An “income statement” is financial statement that highlights spending, earnings, and sales of an organisation over specific period. This statement has main elements “revenue”, “expenses”, and “profit”. As observed by Guerard </w:t>
      </w:r>
      <w:r w:rsidRPr="0031264C">
        <w:rPr>
          <w:rFonts w:ascii="Times New Roman" w:eastAsia="Times New Roman" w:hAnsi="Times New Roman" w:cs="Times New Roman"/>
          <w:i/>
          <w:color w:val="000000" w:themeColor="text1"/>
          <w:sz w:val="24"/>
          <w:szCs w:val="24"/>
          <w:lang w:val="en-GB"/>
        </w:rPr>
        <w:t>et al.</w:t>
      </w:r>
      <w:r w:rsidRPr="0031264C">
        <w:rPr>
          <w:rFonts w:ascii="Times New Roman" w:eastAsia="Times New Roman" w:hAnsi="Times New Roman" w:cs="Times New Roman"/>
          <w:color w:val="000000" w:themeColor="text1"/>
          <w:sz w:val="24"/>
          <w:szCs w:val="24"/>
          <w:lang w:val="en-GB"/>
        </w:rPr>
        <w:t xml:space="preserve"> (2021), income statements can be prepared by organisations on quarterly or annual basis. Main reason to develop an income statement for Wales Plc is to evaluate its financial performance.</w:t>
      </w:r>
    </w:p>
    <w:tbl>
      <w:tblPr>
        <w:tblW w:w="7359" w:type="dxa"/>
        <w:jc w:val="center"/>
        <w:tblInd w:w="93" w:type="dxa"/>
        <w:tblLook w:val="04A0"/>
      </w:tblPr>
      <w:tblGrid>
        <w:gridCol w:w="4937"/>
        <w:gridCol w:w="1211"/>
        <w:gridCol w:w="1211"/>
      </w:tblGrid>
      <w:tr w:rsidR="00AF2E8A" w:rsidRPr="00FA6F73" w:rsidTr="00C63C39">
        <w:trPr>
          <w:trHeight w:val="268"/>
          <w:jc w:val="center"/>
        </w:trPr>
        <w:tc>
          <w:tcPr>
            <w:tcW w:w="7359" w:type="dxa"/>
            <w:gridSpan w:val="3"/>
            <w:tcBorders>
              <w:top w:val="single" w:sz="4" w:space="0" w:color="auto"/>
              <w:left w:val="single" w:sz="4" w:space="0" w:color="auto"/>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jc w:val="center"/>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xml:space="preserve">"Income Statement" </w:t>
            </w:r>
          </w:p>
        </w:tc>
      </w:tr>
      <w:tr w:rsidR="00AF2E8A" w:rsidRPr="00FA6F73" w:rsidTr="00C63C39">
        <w:trPr>
          <w:trHeight w:val="268"/>
          <w:jc w:val="center"/>
        </w:trPr>
        <w:tc>
          <w:tcPr>
            <w:tcW w:w="7359" w:type="dxa"/>
            <w:gridSpan w:val="3"/>
            <w:tcBorders>
              <w:top w:val="single" w:sz="4" w:space="0" w:color="auto"/>
              <w:left w:val="single" w:sz="4" w:space="0" w:color="auto"/>
              <w:bottom w:val="single" w:sz="4" w:space="0" w:color="auto"/>
              <w:right w:val="single" w:sz="4" w:space="0" w:color="000000"/>
            </w:tcBorders>
            <w:shd w:val="clear" w:color="000000" w:fill="B8CCE4"/>
            <w:noWrap/>
            <w:vAlign w:val="bottom"/>
            <w:hideMark/>
          </w:tcPr>
          <w:p w:rsidR="00AF2E8A" w:rsidRPr="00FA6F73" w:rsidRDefault="00AF2E8A" w:rsidP="00C63C39">
            <w:pPr>
              <w:spacing w:line="240" w:lineRule="auto"/>
              <w:jc w:val="center"/>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"Entity: Wales Plc"</w:t>
            </w:r>
          </w:p>
        </w:tc>
      </w:tr>
      <w:tr w:rsidR="00AF2E8A" w:rsidRPr="00FA6F73" w:rsidTr="00C63C39">
        <w:trPr>
          <w:trHeight w:val="268"/>
          <w:jc w:val="center"/>
        </w:trPr>
        <w:tc>
          <w:tcPr>
            <w:tcW w:w="7359" w:type="dxa"/>
            <w:gridSpan w:val="3"/>
            <w:tcBorders>
              <w:top w:val="single" w:sz="4" w:space="0" w:color="auto"/>
              <w:left w:val="single" w:sz="4" w:space="0" w:color="auto"/>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jc w:val="center"/>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As at 31.12.2021</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FA6F73">
              <w:rPr>
                <w:rFonts w:ascii="Times New Roman" w:eastAsia="Times New Roman" w:hAnsi="Times New Roman" w:cs="Times New Roman"/>
                <w:b/>
                <w:bCs/>
                <w:color w:val="000000" w:themeColor="text1"/>
                <w:sz w:val="24"/>
                <w:szCs w:val="24"/>
                <w:lang w:val="en-GB"/>
              </w:rPr>
              <w:t>Details (£)</w:t>
            </w:r>
          </w:p>
        </w:tc>
        <w:tc>
          <w:tcPr>
            <w:tcW w:w="1211" w:type="dxa"/>
            <w:tcBorders>
              <w:top w:val="nil"/>
              <w:left w:val="nil"/>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FA6F73">
              <w:rPr>
                <w:rFonts w:ascii="Times New Roman" w:eastAsia="Times New Roman" w:hAnsi="Times New Roman" w:cs="Times New Roman"/>
                <w:b/>
                <w:bCs/>
                <w:color w:val="000000" w:themeColor="text1"/>
                <w:sz w:val="24"/>
                <w:szCs w:val="24"/>
                <w:lang w:val="en-GB"/>
              </w:rPr>
              <w:t>Sum</w:t>
            </w:r>
          </w:p>
        </w:tc>
        <w:tc>
          <w:tcPr>
            <w:tcW w:w="1211" w:type="dxa"/>
            <w:tcBorders>
              <w:top w:val="nil"/>
              <w:left w:val="nil"/>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FA6F73">
              <w:rPr>
                <w:rFonts w:ascii="Times New Roman" w:eastAsia="Times New Roman" w:hAnsi="Times New Roman" w:cs="Times New Roman"/>
                <w:b/>
                <w:bCs/>
                <w:color w:val="000000" w:themeColor="text1"/>
                <w:sz w:val="24"/>
                <w:szCs w:val="24"/>
                <w:lang w:val="en-GB"/>
              </w:rPr>
              <w:t>Sum</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"Sales"</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800000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"Sales value outstanding"</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980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"Total Revenue"</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800980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"Cost of Sales"</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578650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"Sales value outstanding"</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980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"Total Cost of Sales"</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579630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"Profits- Gross"</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221350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"Expenses- Operating"</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lastRenderedPageBreak/>
              <w:t>"Administrative Expenses"</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30000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"Distribution Costs"</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28000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"Total Expenses-Operating"</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58000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"Income- Operating"</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163350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"Sales Commission"</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3000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i/>
                <w:iCs/>
                <w:color w:val="000000" w:themeColor="text1"/>
                <w:sz w:val="24"/>
                <w:szCs w:val="24"/>
                <w:lang w:val="en-GB"/>
              </w:rPr>
            </w:pPr>
            <w:r w:rsidRPr="00FA6F73">
              <w:rPr>
                <w:rFonts w:ascii="Times New Roman" w:eastAsia="Times New Roman" w:hAnsi="Times New Roman" w:cs="Times New Roman"/>
                <w:i/>
                <w:iCs/>
                <w:color w:val="000000" w:themeColor="text1"/>
                <w:sz w:val="24"/>
                <w:szCs w:val="24"/>
                <w:lang w:val="en-GB"/>
              </w:rPr>
              <w:t>"EBIT"</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i/>
                <w:iCs/>
                <w:color w:val="000000" w:themeColor="text1"/>
                <w:sz w:val="24"/>
                <w:szCs w:val="24"/>
                <w:lang w:val="en-GB"/>
              </w:rPr>
            </w:pPr>
            <w:r w:rsidRPr="00FA6F73">
              <w:rPr>
                <w:rFonts w:ascii="Times New Roman" w:eastAsia="Times New Roman" w:hAnsi="Times New Roman" w:cs="Times New Roman"/>
                <w:i/>
                <w:iCs/>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i/>
                <w:iCs/>
                <w:color w:val="000000" w:themeColor="text1"/>
                <w:sz w:val="24"/>
                <w:szCs w:val="24"/>
                <w:lang w:val="en-GB"/>
              </w:rPr>
            </w:pPr>
            <w:r w:rsidRPr="00FA6F73">
              <w:rPr>
                <w:rFonts w:ascii="Times New Roman" w:eastAsia="Times New Roman" w:hAnsi="Times New Roman" w:cs="Times New Roman"/>
                <w:i/>
                <w:iCs/>
                <w:color w:val="000000" w:themeColor="text1"/>
                <w:sz w:val="24"/>
                <w:szCs w:val="24"/>
                <w:lang w:val="en-GB"/>
              </w:rPr>
              <w:t>160350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"Interest Paid"</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2000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"Interest Expenses- Outstanding"</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6000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"EBT"</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152350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"Corporate Tax"</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-100000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"Net Income"</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52350</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"Director's Remuneration"</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5000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"10% £1 Preference Shares Dividend"</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30000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 Ordinary Shares Dividend"</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20000</w:t>
            </w:r>
          </w:p>
        </w:tc>
        <w:tc>
          <w:tcPr>
            <w:tcW w:w="1211"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F73DA6" w:rsidRPr="0031264C" w:rsidTr="00C63C39">
        <w:trPr>
          <w:trHeight w:val="268"/>
          <w:jc w:val="center"/>
        </w:trPr>
        <w:tc>
          <w:tcPr>
            <w:tcW w:w="4937" w:type="dxa"/>
            <w:tcBorders>
              <w:top w:val="nil"/>
              <w:left w:val="single" w:sz="4" w:space="0" w:color="auto"/>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"Profits- Net/Loss"</w:t>
            </w:r>
          </w:p>
        </w:tc>
        <w:tc>
          <w:tcPr>
            <w:tcW w:w="1211"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211"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-2650</w:t>
            </w:r>
          </w:p>
        </w:tc>
      </w:tr>
    </w:tbl>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Computation of “income statement” for Wales Plc shows total revenue of £800000, EBIT of £160350, and net loss amounting to £2650. While determining financial performance of Wales Plc for 2021, computation of total finance cost had been made. As per financial data available, it has been found that company has </w:t>
      </w:r>
      <w:r w:rsidR="00A4651D" w:rsidRPr="0031264C">
        <w:rPr>
          <w:rFonts w:ascii="Times New Roman" w:eastAsia="Times New Roman" w:hAnsi="Times New Roman" w:cs="Times New Roman"/>
          <w:color w:val="000000" w:themeColor="text1"/>
          <w:sz w:val="24"/>
          <w:szCs w:val="24"/>
          <w:lang w:val="en-GB"/>
        </w:rPr>
        <w:t>interest</w:t>
      </w:r>
      <w:r w:rsidRPr="0031264C">
        <w:rPr>
          <w:rFonts w:ascii="Times New Roman" w:eastAsia="Times New Roman" w:hAnsi="Times New Roman" w:cs="Times New Roman"/>
          <w:color w:val="000000" w:themeColor="text1"/>
          <w:sz w:val="24"/>
          <w:szCs w:val="24"/>
          <w:lang w:val="en-GB"/>
        </w:rPr>
        <w:t xml:space="preserve"> paid £2000. However, it has a 4% debenture amounting to £200000. Therefore, total interest payment will be £6000, so £4000 interest will be outstanding. This amount has been deducted from EBT. Besides, the company has goods valued at £980 sent to customers on last day of 2021, and payments have not been received. Therefore, this amount has been considered outstanding sales and has been deducted from sales &amp; added to cost of sales. Because of higher operating expenses than sales revenue, it has incurred net loss amounting to £2650.   </w:t>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t>Financial Position Statement</w:t>
      </w:r>
    </w:p>
    <w:p w:rsidR="00AF2E8A"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“Financial position statement” is another financial statement which is developed by an organisation for projecting their financial position. This statement has three main elements which are “equities”, ”assets”, and “liabilities”. Main concept behind this statement is projecting financial position by projecting parity in liabilities, assets, and equities. </w:t>
      </w:r>
    </w:p>
    <w:tbl>
      <w:tblPr>
        <w:tblW w:w="7390" w:type="dxa"/>
        <w:jc w:val="center"/>
        <w:tblInd w:w="93" w:type="dxa"/>
        <w:tblLook w:val="04A0"/>
      </w:tblPr>
      <w:tblGrid>
        <w:gridCol w:w="4911"/>
        <w:gridCol w:w="1319"/>
        <w:gridCol w:w="1160"/>
      </w:tblGrid>
      <w:tr w:rsidR="00AF2E8A" w:rsidRPr="00FA6F73" w:rsidTr="00C63C39">
        <w:trPr>
          <w:trHeight w:val="389"/>
          <w:jc w:val="center"/>
        </w:trPr>
        <w:tc>
          <w:tcPr>
            <w:tcW w:w="7390" w:type="dxa"/>
            <w:gridSpan w:val="3"/>
            <w:tcBorders>
              <w:top w:val="single" w:sz="4" w:space="0" w:color="auto"/>
              <w:left w:val="single" w:sz="4" w:space="0" w:color="auto"/>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jc w:val="center"/>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"Statement of Financial Position"</w:t>
            </w:r>
          </w:p>
        </w:tc>
      </w:tr>
      <w:tr w:rsidR="00AF2E8A" w:rsidRPr="00FA6F73" w:rsidTr="00C63C39">
        <w:trPr>
          <w:trHeight w:val="389"/>
          <w:jc w:val="center"/>
        </w:trPr>
        <w:tc>
          <w:tcPr>
            <w:tcW w:w="7390" w:type="dxa"/>
            <w:gridSpan w:val="3"/>
            <w:tcBorders>
              <w:top w:val="single" w:sz="4" w:space="0" w:color="auto"/>
              <w:left w:val="single" w:sz="4" w:space="0" w:color="auto"/>
              <w:bottom w:val="single" w:sz="4" w:space="0" w:color="auto"/>
              <w:right w:val="single" w:sz="4" w:space="0" w:color="000000"/>
            </w:tcBorders>
            <w:shd w:val="clear" w:color="000000" w:fill="B8CCE4"/>
            <w:noWrap/>
            <w:vAlign w:val="bottom"/>
            <w:hideMark/>
          </w:tcPr>
          <w:p w:rsidR="00AF2E8A" w:rsidRPr="00FA6F73" w:rsidRDefault="00AF2E8A" w:rsidP="00C63C39">
            <w:pPr>
              <w:spacing w:line="240" w:lineRule="auto"/>
              <w:jc w:val="center"/>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"Entity: Wales Plc"</w:t>
            </w:r>
          </w:p>
        </w:tc>
      </w:tr>
      <w:tr w:rsidR="00AF2E8A" w:rsidRPr="00FA6F73" w:rsidTr="00C63C39">
        <w:trPr>
          <w:trHeight w:val="389"/>
          <w:jc w:val="center"/>
        </w:trPr>
        <w:tc>
          <w:tcPr>
            <w:tcW w:w="7390" w:type="dxa"/>
            <w:gridSpan w:val="3"/>
            <w:tcBorders>
              <w:top w:val="single" w:sz="4" w:space="0" w:color="auto"/>
              <w:left w:val="single" w:sz="4" w:space="0" w:color="auto"/>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jc w:val="center"/>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As at 31.12.2021</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FA6F73">
              <w:rPr>
                <w:rFonts w:ascii="Times New Roman" w:eastAsia="Times New Roman" w:hAnsi="Times New Roman" w:cs="Times New Roman"/>
                <w:b/>
                <w:bCs/>
                <w:color w:val="000000" w:themeColor="text1"/>
                <w:sz w:val="24"/>
                <w:szCs w:val="24"/>
                <w:lang w:val="en-GB"/>
              </w:rPr>
              <w:t>Details (£)</w:t>
            </w:r>
          </w:p>
        </w:tc>
        <w:tc>
          <w:tcPr>
            <w:tcW w:w="1319" w:type="dxa"/>
            <w:tcBorders>
              <w:top w:val="nil"/>
              <w:left w:val="nil"/>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FA6F73">
              <w:rPr>
                <w:rFonts w:ascii="Times New Roman" w:eastAsia="Times New Roman" w:hAnsi="Times New Roman" w:cs="Times New Roman"/>
                <w:b/>
                <w:bCs/>
                <w:color w:val="000000" w:themeColor="text1"/>
                <w:sz w:val="24"/>
                <w:szCs w:val="24"/>
                <w:lang w:val="en-GB"/>
              </w:rPr>
              <w:t>Sum</w:t>
            </w:r>
          </w:p>
        </w:tc>
        <w:tc>
          <w:tcPr>
            <w:tcW w:w="1160" w:type="dxa"/>
            <w:tcBorders>
              <w:top w:val="nil"/>
              <w:left w:val="nil"/>
              <w:bottom w:val="single" w:sz="4" w:space="0" w:color="auto"/>
              <w:right w:val="single" w:sz="4" w:space="0" w:color="auto"/>
            </w:tcBorders>
            <w:shd w:val="clear" w:color="000000" w:fill="B8CCE4"/>
            <w:noWrap/>
            <w:vAlign w:val="bottom"/>
            <w:hideMark/>
          </w:tcPr>
          <w:p w:rsidR="00AF2E8A" w:rsidRPr="00FA6F73"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FA6F73">
              <w:rPr>
                <w:rFonts w:ascii="Times New Roman" w:eastAsia="Times New Roman" w:hAnsi="Times New Roman" w:cs="Times New Roman"/>
                <w:b/>
                <w:bCs/>
                <w:color w:val="000000" w:themeColor="text1"/>
                <w:sz w:val="24"/>
                <w:szCs w:val="24"/>
                <w:lang w:val="en-GB"/>
              </w:rPr>
              <w:t>Sum</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"Assets"</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"Non-Current"</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lastRenderedPageBreak/>
              <w:t>"Plant &amp; Equipment"</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1,250,000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xml:space="preserve">Total </w:t>
            </w:r>
          </w:p>
        </w:tc>
        <w:tc>
          <w:tcPr>
            <w:tcW w:w="1319"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1250000</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"Current"</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"Trade Receivable"</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170125</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"Sales value outstanding"</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980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"Cash and bank"</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176,250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"Sales value outstanding"</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-980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"Stock at 31st December 2021"</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430,600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xml:space="preserve">Total </w:t>
            </w:r>
          </w:p>
        </w:tc>
        <w:tc>
          <w:tcPr>
            <w:tcW w:w="1319"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776975</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Total Assets</w:t>
            </w:r>
          </w:p>
        </w:tc>
        <w:tc>
          <w:tcPr>
            <w:tcW w:w="1319"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2026975</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"Equities &amp; Liabilities"</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"Non-Current"</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"4% Debentures"</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200000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xml:space="preserve">Total </w:t>
            </w:r>
          </w:p>
        </w:tc>
        <w:tc>
          <w:tcPr>
            <w:tcW w:w="1319"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200000</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"Current"</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"Salesmen's Commission"</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3000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"Trade Payable"</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188625</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"Interest Expenses- Outstanding"</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6000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"Corporate Tax"</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100000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xml:space="preserve">Total </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297625</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Total Liabilities</w:t>
            </w:r>
          </w:p>
        </w:tc>
        <w:tc>
          <w:tcPr>
            <w:tcW w:w="1319"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497625</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Net Assets</w:t>
            </w:r>
          </w:p>
        </w:tc>
        <w:tc>
          <w:tcPr>
            <w:tcW w:w="1319"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1529350</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"Equity"</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 Ordinary Shares"</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1,000,000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"Profits- Net/Loss"</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-2650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"10% £1 Preference Shares"</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400,000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"Retained profits at 1st January 2021"</w:t>
            </w:r>
          </w:p>
        </w:tc>
        <w:tc>
          <w:tcPr>
            <w:tcW w:w="1319"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132,000</w:t>
            </w:r>
          </w:p>
        </w:tc>
        <w:tc>
          <w:tcPr>
            <w:tcW w:w="1160" w:type="dxa"/>
            <w:tcBorders>
              <w:top w:val="nil"/>
              <w:left w:val="nil"/>
              <w:bottom w:val="single" w:sz="4" w:space="0" w:color="auto"/>
              <w:right w:val="single" w:sz="4" w:space="0" w:color="auto"/>
            </w:tcBorders>
            <w:shd w:val="clear" w:color="000000" w:fill="FDE9D9"/>
            <w:noWrap/>
            <w:vAlign w:val="bottom"/>
            <w:hideMark/>
          </w:tcPr>
          <w:p w:rsidR="00AF2E8A" w:rsidRPr="00FA6F73" w:rsidRDefault="00AF2E8A" w:rsidP="00C63C39">
            <w:pPr>
              <w:spacing w:line="240" w:lineRule="auto"/>
              <w:rPr>
                <w:rFonts w:ascii="Times New Roman" w:eastAsia="Times New Roman" w:hAnsi="Times New Roman" w:cs="Times New Roman"/>
                <w:color w:val="000000" w:themeColor="text1"/>
                <w:sz w:val="24"/>
                <w:szCs w:val="24"/>
                <w:lang w:val="en-GB"/>
              </w:rPr>
            </w:pPr>
            <w:r w:rsidRPr="00FA6F73">
              <w:rPr>
                <w:rFonts w:ascii="Times New Roman" w:eastAsia="Times New Roman" w:hAnsi="Times New Roman" w:cs="Times New Roman"/>
                <w:color w:val="000000" w:themeColor="text1"/>
                <w:sz w:val="24"/>
                <w:szCs w:val="24"/>
                <w:lang w:val="en-GB"/>
              </w:rPr>
              <w:t> </w:t>
            </w:r>
          </w:p>
        </w:tc>
      </w:tr>
      <w:tr w:rsidR="00AF2E8A" w:rsidRPr="0031264C" w:rsidTr="00C63C39">
        <w:trPr>
          <w:trHeight w:val="389"/>
          <w:jc w:val="center"/>
        </w:trPr>
        <w:tc>
          <w:tcPr>
            <w:tcW w:w="4911" w:type="dxa"/>
            <w:tcBorders>
              <w:top w:val="nil"/>
              <w:left w:val="single" w:sz="4" w:space="0" w:color="auto"/>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Total Equity</w:t>
            </w:r>
          </w:p>
        </w:tc>
        <w:tc>
          <w:tcPr>
            <w:tcW w:w="1319"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 </w:t>
            </w:r>
          </w:p>
        </w:tc>
        <w:tc>
          <w:tcPr>
            <w:tcW w:w="1160" w:type="dxa"/>
            <w:tcBorders>
              <w:top w:val="nil"/>
              <w:left w:val="nil"/>
              <w:bottom w:val="single" w:sz="4" w:space="0" w:color="auto"/>
              <w:right w:val="single" w:sz="4" w:space="0" w:color="auto"/>
            </w:tcBorders>
            <w:shd w:val="clear" w:color="000000" w:fill="FAC090"/>
            <w:noWrap/>
            <w:vAlign w:val="bottom"/>
            <w:hideMark/>
          </w:tcPr>
          <w:p w:rsidR="00AF2E8A" w:rsidRPr="00FA6F73"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FA6F73">
              <w:rPr>
                <w:rFonts w:ascii="Times New Roman" w:eastAsia="Times New Roman" w:hAnsi="Times New Roman" w:cs="Times New Roman"/>
                <w:b/>
                <w:bCs/>
                <w:i/>
                <w:iCs/>
                <w:color w:val="000000" w:themeColor="text1"/>
                <w:sz w:val="24"/>
                <w:szCs w:val="24"/>
                <w:lang w:val="en-GB"/>
              </w:rPr>
              <w:t>1529350</w:t>
            </w:r>
          </w:p>
        </w:tc>
      </w:tr>
    </w:tbl>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Computation of financial position statement has been made for Wales Plc which shows total assets of £297625, total liabilities of £497625, and total equities £1529350. In this computation, outstanding amounts of sales have been deducted from cash and outstanding interest &amp; commission has taken into current liabilities. The computation highlights that even when this company has incurred net losses in 2021, it was able to maintain sound financial position.  </w:t>
      </w:r>
    </w:p>
    <w:p w:rsidR="008E5605" w:rsidRPr="0031264C" w:rsidRDefault="00C7440D">
      <w:pPr>
        <w:pStyle w:val="1"/>
        <w:rPr>
          <w:color w:val="000000" w:themeColor="text1"/>
          <w:lang w:val="en-GB"/>
        </w:rPr>
      </w:pPr>
      <w:bookmarkStart w:id="6" w:name="_qx7lm6f55dpi" w:colFirst="0" w:colLast="0"/>
      <w:bookmarkStart w:id="7" w:name="_Toc123137024"/>
      <w:bookmarkEnd w:id="6"/>
      <w:r w:rsidRPr="0031264C">
        <w:rPr>
          <w:color w:val="000000" w:themeColor="text1"/>
          <w:lang w:val="en-GB"/>
        </w:rPr>
        <w:lastRenderedPageBreak/>
        <w:t>b) Reason for financial position statement being balanced</w:t>
      </w:r>
      <w:bookmarkEnd w:id="7"/>
      <w:r w:rsidRPr="0031264C">
        <w:rPr>
          <w:color w:val="000000" w:themeColor="text1"/>
          <w:lang w:val="en-GB"/>
        </w:rPr>
        <w:t xml:space="preserve"> </w:t>
      </w:r>
    </w:p>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“Financial position statement” is utilised by commercial entities for projecting their performance and position to key stakeholders. Such statement is beneficial for the projection of financial performance at year-end. One of most recognised characteristics of this statement is that figures of total assets and total equities &amp; liabilities are equal.  Thoroughly analysing financial position statements helps assess what entity owes and owns (Drury, 2013). Amount recorded in both equity &amp; liabilities and assets sides of company is equal to projected amount of funds that company will obtain if it sells all of its assets. Main reason behind balanced figure of financial position statement is usage of the “double-entry bookkeeping system” (Seal </w:t>
      </w:r>
      <w:r w:rsidRPr="0031264C">
        <w:rPr>
          <w:rFonts w:ascii="Times New Roman" w:eastAsia="Times New Roman" w:hAnsi="Times New Roman" w:cs="Times New Roman"/>
          <w:i/>
          <w:color w:val="000000" w:themeColor="text1"/>
          <w:sz w:val="24"/>
          <w:szCs w:val="24"/>
          <w:lang w:val="en-GB"/>
        </w:rPr>
        <w:t>et al.</w:t>
      </w:r>
      <w:r w:rsidRPr="0031264C">
        <w:rPr>
          <w:rFonts w:ascii="Times New Roman" w:eastAsia="Times New Roman" w:hAnsi="Times New Roman" w:cs="Times New Roman"/>
          <w:color w:val="000000" w:themeColor="text1"/>
          <w:sz w:val="24"/>
          <w:szCs w:val="24"/>
          <w:lang w:val="en-GB"/>
        </w:rPr>
        <w:t xml:space="preserve"> 2018). Under this concept, all transactions of company are recorded under two-sided accounting entries. This means for every debit entry, there will be supporting credit entry. Therefore, each accounting entry recorded in one account necessitates with opposing &amp; equivalent entry within another account.</w:t>
      </w:r>
    </w:p>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As a financial position statement is one of most crucial financial statements which reflects financial performance &amp; position of company, such a statement must be prepared as per strong accounting concepts. Utilisation of double-entry bookkeeping system allows ventures to record every financial transaction systematically through journal entries from which, ledger accounts and trial balances are prepared. Development of financial position statements is the financial stage of projecting financial position of commercial entities (Dyson, 2010). As preparation of financial position statement is based on development of primary books of accounts, preparing ledgers, and developing trial balance, usage of double-entry bookkeeping system is ensured from initial recording of transactions. As a result, errors can be avoided from financial records and precise financial position statements can be prepared. However, if financial position statement is not balanced, then there must be an error in business records. For instance, Wales Plc has total balance of £2026975 which shows sound financial position.        </w:t>
      </w:r>
    </w:p>
    <w:p w:rsidR="008E5605" w:rsidRPr="0031264C" w:rsidRDefault="00C7440D">
      <w:pPr>
        <w:pStyle w:val="1"/>
        <w:rPr>
          <w:color w:val="000000" w:themeColor="text1"/>
          <w:lang w:val="en-GB"/>
        </w:rPr>
      </w:pPr>
      <w:bookmarkStart w:id="8" w:name="_5h75kt6kasqo" w:colFirst="0" w:colLast="0"/>
      <w:bookmarkStart w:id="9" w:name="_Toc123137025"/>
      <w:bookmarkEnd w:id="8"/>
      <w:r w:rsidRPr="0031264C">
        <w:rPr>
          <w:color w:val="000000" w:themeColor="text1"/>
          <w:lang w:val="en-GB"/>
        </w:rPr>
        <w:t>Q2-Sweets Plc</w:t>
      </w:r>
      <w:bookmarkEnd w:id="9"/>
      <w:r w:rsidRPr="0031264C">
        <w:rPr>
          <w:color w:val="000000" w:themeColor="text1"/>
          <w:lang w:val="en-GB"/>
        </w:rPr>
        <w:t xml:space="preserve"> </w:t>
      </w:r>
    </w:p>
    <w:p w:rsidR="008E5605" w:rsidRPr="0031264C" w:rsidRDefault="00C7440D">
      <w:pPr>
        <w:pStyle w:val="1"/>
        <w:rPr>
          <w:color w:val="000000" w:themeColor="text1"/>
          <w:lang w:val="en-GB"/>
        </w:rPr>
      </w:pPr>
      <w:bookmarkStart w:id="10" w:name="_6f71po23dfmp" w:colFirst="0" w:colLast="0"/>
      <w:bookmarkStart w:id="11" w:name="_Toc123137026"/>
      <w:bookmarkEnd w:id="10"/>
      <w:r w:rsidRPr="0031264C">
        <w:rPr>
          <w:color w:val="000000" w:themeColor="text1"/>
          <w:lang w:val="en-GB"/>
        </w:rPr>
        <w:t>a. Accounting ratios</w:t>
      </w:r>
      <w:bookmarkEnd w:id="11"/>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“Accounting ratios” are accounting tools that help in comparing numerical values taken from financial reports &amp; statements of company. In this way, accounting ratios can highlight “efficiency”, “profitability”, “solvency”, and “liquidity” of commercial entities. Accounting ratio calculation and computation for Sweets Plc is as under: </w:t>
      </w:r>
      <w:r w:rsidRPr="0031264C">
        <w:rPr>
          <w:rFonts w:ascii="Times New Roman" w:eastAsia="Times New Roman" w:hAnsi="Times New Roman" w:cs="Times New Roman"/>
          <w:b/>
          <w:color w:val="000000" w:themeColor="text1"/>
          <w:sz w:val="24"/>
          <w:szCs w:val="24"/>
          <w:lang w:val="en-GB"/>
        </w:rPr>
        <w:t xml:space="preserve"> </w:t>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lastRenderedPageBreak/>
        <w:t>1: “ROCE”</w:t>
      </w:r>
    </w:p>
    <w:tbl>
      <w:tblPr>
        <w:tblW w:w="5720" w:type="dxa"/>
        <w:jc w:val="center"/>
        <w:tblInd w:w="103" w:type="dxa"/>
        <w:tblLook w:val="04A0"/>
      </w:tblPr>
      <w:tblGrid>
        <w:gridCol w:w="3721"/>
        <w:gridCol w:w="1098"/>
        <w:gridCol w:w="901"/>
      </w:tblGrid>
      <w:tr w:rsidR="00AF2E8A" w:rsidRPr="009A39B8" w:rsidTr="00C63C39">
        <w:trPr>
          <w:trHeight w:val="315"/>
          <w:jc w:val="center"/>
        </w:trPr>
        <w:tc>
          <w:tcPr>
            <w:tcW w:w="5720"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“ROCE”</w:t>
            </w:r>
          </w:p>
        </w:tc>
      </w:tr>
      <w:tr w:rsidR="00AF2E8A" w:rsidRPr="009A39B8" w:rsidTr="00C63C39">
        <w:trPr>
          <w:trHeight w:val="315"/>
          <w:jc w:val="center"/>
        </w:trPr>
        <w:tc>
          <w:tcPr>
            <w:tcW w:w="5720"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C63C39">
        <w:trPr>
          <w:trHeight w:val="315"/>
          <w:jc w:val="center"/>
        </w:trPr>
        <w:tc>
          <w:tcPr>
            <w:tcW w:w="3721"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1098"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90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C63C39">
        <w:trPr>
          <w:trHeight w:val="315"/>
          <w:jc w:val="center"/>
        </w:trPr>
        <w:tc>
          <w:tcPr>
            <w:tcW w:w="3721"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"EBIT"</w:t>
            </w:r>
          </w:p>
        </w:tc>
        <w:tc>
          <w:tcPr>
            <w:tcW w:w="1098"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699</w:t>
            </w:r>
          </w:p>
        </w:tc>
        <w:tc>
          <w:tcPr>
            <w:tcW w:w="90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805</w:t>
            </w:r>
          </w:p>
        </w:tc>
      </w:tr>
      <w:tr w:rsidR="00AF2E8A" w:rsidRPr="009A39B8" w:rsidTr="00C63C39">
        <w:trPr>
          <w:trHeight w:val="315"/>
          <w:jc w:val="center"/>
        </w:trPr>
        <w:tc>
          <w:tcPr>
            <w:tcW w:w="3721"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"Capital Employed"</w:t>
            </w:r>
          </w:p>
        </w:tc>
        <w:tc>
          <w:tcPr>
            <w:tcW w:w="1098"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7,041</w:t>
            </w:r>
          </w:p>
        </w:tc>
        <w:tc>
          <w:tcPr>
            <w:tcW w:w="90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7,225</w:t>
            </w:r>
          </w:p>
        </w:tc>
      </w:tr>
      <w:tr w:rsidR="00AF2E8A" w:rsidRPr="009A39B8" w:rsidTr="00C63C39">
        <w:trPr>
          <w:trHeight w:val="315"/>
          <w:jc w:val="center"/>
        </w:trPr>
        <w:tc>
          <w:tcPr>
            <w:tcW w:w="3721"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"Total Assets"</w:t>
            </w:r>
          </w:p>
        </w:tc>
        <w:tc>
          <w:tcPr>
            <w:tcW w:w="1098"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10,087</w:t>
            </w:r>
          </w:p>
        </w:tc>
        <w:tc>
          <w:tcPr>
            <w:tcW w:w="90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9,736</w:t>
            </w:r>
          </w:p>
        </w:tc>
      </w:tr>
      <w:tr w:rsidR="00AF2E8A" w:rsidRPr="009A39B8" w:rsidTr="00C63C39">
        <w:trPr>
          <w:trHeight w:val="315"/>
          <w:jc w:val="center"/>
        </w:trPr>
        <w:tc>
          <w:tcPr>
            <w:tcW w:w="3721"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"Current Liabilities"</w:t>
            </w:r>
          </w:p>
        </w:tc>
        <w:tc>
          <w:tcPr>
            <w:tcW w:w="1098"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3,046</w:t>
            </w:r>
          </w:p>
        </w:tc>
        <w:tc>
          <w:tcPr>
            <w:tcW w:w="90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2,511</w:t>
            </w:r>
          </w:p>
        </w:tc>
      </w:tr>
      <w:tr w:rsidR="00AF2E8A" w:rsidRPr="009A39B8" w:rsidTr="00C63C39">
        <w:trPr>
          <w:trHeight w:val="315"/>
          <w:jc w:val="center"/>
        </w:trPr>
        <w:tc>
          <w:tcPr>
            <w:tcW w:w="3721"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“ROCE”</w:t>
            </w:r>
          </w:p>
        </w:tc>
        <w:tc>
          <w:tcPr>
            <w:tcW w:w="1098"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10%</w:t>
            </w:r>
          </w:p>
        </w:tc>
        <w:tc>
          <w:tcPr>
            <w:tcW w:w="901"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11%</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drawing>
          <wp:inline distT="0" distB="0" distL="0" distR="0">
            <wp:extent cx="3686175" cy="2705100"/>
            <wp:effectExtent l="19050" t="0" r="9525" b="0"/>
            <wp:docPr id="1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t>2: “ROE”</w:t>
      </w:r>
    </w:p>
    <w:tbl>
      <w:tblPr>
        <w:tblW w:w="5806" w:type="dxa"/>
        <w:jc w:val="center"/>
        <w:tblInd w:w="103" w:type="dxa"/>
        <w:tblLook w:val="04A0"/>
      </w:tblPr>
      <w:tblGrid>
        <w:gridCol w:w="3214"/>
        <w:gridCol w:w="1296"/>
        <w:gridCol w:w="1296"/>
      </w:tblGrid>
      <w:tr w:rsidR="00AF2E8A" w:rsidRPr="009A39B8" w:rsidTr="00C63C39">
        <w:trPr>
          <w:trHeight w:val="346"/>
          <w:jc w:val="center"/>
        </w:trPr>
        <w:tc>
          <w:tcPr>
            <w:tcW w:w="5806"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“ROE”</w:t>
            </w:r>
          </w:p>
        </w:tc>
      </w:tr>
      <w:tr w:rsidR="00AF2E8A" w:rsidRPr="009A39B8" w:rsidTr="00C63C39">
        <w:trPr>
          <w:trHeight w:val="346"/>
          <w:jc w:val="center"/>
        </w:trPr>
        <w:tc>
          <w:tcPr>
            <w:tcW w:w="5806"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C63C39">
        <w:trPr>
          <w:trHeight w:val="346"/>
          <w:jc w:val="center"/>
        </w:trPr>
        <w:tc>
          <w:tcPr>
            <w:tcW w:w="3214"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129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129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C63C39">
        <w:trPr>
          <w:trHeight w:val="346"/>
          <w:jc w:val="center"/>
        </w:trPr>
        <w:tc>
          <w:tcPr>
            <w:tcW w:w="3214"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"Net Income"</w:t>
            </w:r>
          </w:p>
        </w:tc>
        <w:tc>
          <w:tcPr>
            <w:tcW w:w="129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366</w:t>
            </w:r>
          </w:p>
        </w:tc>
        <w:tc>
          <w:tcPr>
            <w:tcW w:w="129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431</w:t>
            </w:r>
          </w:p>
        </w:tc>
      </w:tr>
      <w:tr w:rsidR="00AF2E8A" w:rsidRPr="009A39B8" w:rsidTr="00C63C39">
        <w:trPr>
          <w:trHeight w:val="346"/>
          <w:jc w:val="center"/>
        </w:trPr>
        <w:tc>
          <w:tcPr>
            <w:tcW w:w="3214"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"Equities"</w:t>
            </w:r>
          </w:p>
        </w:tc>
        <w:tc>
          <w:tcPr>
            <w:tcW w:w="129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2,912</w:t>
            </w:r>
          </w:p>
        </w:tc>
        <w:tc>
          <w:tcPr>
            <w:tcW w:w="129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3,088</w:t>
            </w:r>
          </w:p>
        </w:tc>
      </w:tr>
      <w:tr w:rsidR="00AF2E8A" w:rsidRPr="009A39B8" w:rsidTr="00C63C39">
        <w:trPr>
          <w:trHeight w:val="346"/>
          <w:jc w:val="center"/>
        </w:trPr>
        <w:tc>
          <w:tcPr>
            <w:tcW w:w="3214"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“ROE”</w:t>
            </w:r>
          </w:p>
        </w:tc>
        <w:tc>
          <w:tcPr>
            <w:tcW w:w="1296"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13%</w:t>
            </w:r>
          </w:p>
        </w:tc>
        <w:tc>
          <w:tcPr>
            <w:tcW w:w="1296"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14%</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lastRenderedPageBreak/>
        <w:drawing>
          <wp:inline distT="0" distB="0" distL="0" distR="0">
            <wp:extent cx="3590925" cy="2695575"/>
            <wp:effectExtent l="19050" t="0" r="9525" b="0"/>
            <wp:docPr id="1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t>3: “Earnings per share”</w:t>
      </w:r>
    </w:p>
    <w:tbl>
      <w:tblPr>
        <w:tblW w:w="5904" w:type="dxa"/>
        <w:jc w:val="center"/>
        <w:tblInd w:w="103" w:type="dxa"/>
        <w:tblLook w:val="04A0"/>
      </w:tblPr>
      <w:tblGrid>
        <w:gridCol w:w="4194"/>
        <w:gridCol w:w="855"/>
        <w:gridCol w:w="855"/>
      </w:tblGrid>
      <w:tr w:rsidR="00AF2E8A" w:rsidRPr="009A39B8" w:rsidTr="00AF2E8A">
        <w:trPr>
          <w:trHeight w:val="332"/>
          <w:jc w:val="center"/>
        </w:trPr>
        <w:tc>
          <w:tcPr>
            <w:tcW w:w="5904"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“Earnings per share”</w:t>
            </w:r>
          </w:p>
        </w:tc>
      </w:tr>
      <w:tr w:rsidR="00AF2E8A" w:rsidRPr="009A39B8" w:rsidTr="00AF2E8A">
        <w:trPr>
          <w:trHeight w:val="332"/>
          <w:jc w:val="center"/>
        </w:trPr>
        <w:tc>
          <w:tcPr>
            <w:tcW w:w="5904"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C63C39">
        <w:trPr>
          <w:trHeight w:val="332"/>
          <w:jc w:val="center"/>
        </w:trPr>
        <w:tc>
          <w:tcPr>
            <w:tcW w:w="4194"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85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85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C63C39">
        <w:trPr>
          <w:trHeight w:val="332"/>
          <w:jc w:val="center"/>
        </w:trPr>
        <w:tc>
          <w:tcPr>
            <w:tcW w:w="4194"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xml:space="preserve">"Net Income" </w:t>
            </w:r>
          </w:p>
        </w:tc>
        <w:tc>
          <w:tcPr>
            <w:tcW w:w="85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366</w:t>
            </w:r>
          </w:p>
        </w:tc>
        <w:tc>
          <w:tcPr>
            <w:tcW w:w="85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431</w:t>
            </w:r>
          </w:p>
        </w:tc>
      </w:tr>
      <w:tr w:rsidR="00AF2E8A" w:rsidRPr="009A39B8" w:rsidTr="00C63C39">
        <w:trPr>
          <w:trHeight w:val="332"/>
          <w:jc w:val="center"/>
        </w:trPr>
        <w:tc>
          <w:tcPr>
            <w:tcW w:w="4194"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"Dividends"</w:t>
            </w:r>
          </w:p>
        </w:tc>
        <w:tc>
          <w:tcPr>
            <w:tcW w:w="85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242</w:t>
            </w:r>
          </w:p>
        </w:tc>
        <w:tc>
          <w:tcPr>
            <w:tcW w:w="85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255</w:t>
            </w:r>
          </w:p>
        </w:tc>
      </w:tr>
      <w:tr w:rsidR="00AF2E8A" w:rsidRPr="009A39B8" w:rsidTr="00C63C39">
        <w:trPr>
          <w:trHeight w:val="332"/>
          <w:jc w:val="center"/>
        </w:trPr>
        <w:tc>
          <w:tcPr>
            <w:tcW w:w="4194"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"Outstanding Shares"</w:t>
            </w:r>
          </w:p>
        </w:tc>
        <w:tc>
          <w:tcPr>
            <w:tcW w:w="85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600</w:t>
            </w:r>
          </w:p>
        </w:tc>
        <w:tc>
          <w:tcPr>
            <w:tcW w:w="85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600</w:t>
            </w:r>
          </w:p>
        </w:tc>
      </w:tr>
      <w:tr w:rsidR="00AF2E8A" w:rsidRPr="009A39B8" w:rsidTr="00C63C39">
        <w:trPr>
          <w:trHeight w:val="332"/>
          <w:jc w:val="center"/>
        </w:trPr>
        <w:tc>
          <w:tcPr>
            <w:tcW w:w="4194"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“Earnings per share”</w:t>
            </w:r>
          </w:p>
        </w:tc>
        <w:tc>
          <w:tcPr>
            <w:tcW w:w="855"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0.21</w:t>
            </w:r>
          </w:p>
        </w:tc>
        <w:tc>
          <w:tcPr>
            <w:tcW w:w="855"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0.29</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drawing>
          <wp:inline distT="0" distB="0" distL="0" distR="0">
            <wp:extent cx="3686175" cy="2657475"/>
            <wp:effectExtent l="19050" t="0" r="9525" b="0"/>
            <wp:docPr id="13"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i/>
          <w:color w:val="000000" w:themeColor="text1"/>
          <w:sz w:val="24"/>
          <w:szCs w:val="24"/>
          <w:lang w:val="en-GB"/>
        </w:rPr>
        <w:t xml:space="preserve">Note:- </w:t>
      </w:r>
      <w:r w:rsidRPr="0031264C">
        <w:rPr>
          <w:rFonts w:ascii="Times New Roman" w:eastAsia="Times New Roman" w:hAnsi="Times New Roman" w:cs="Times New Roman"/>
          <w:color w:val="000000" w:themeColor="text1"/>
          <w:sz w:val="24"/>
          <w:szCs w:val="24"/>
          <w:lang w:val="en-GB"/>
        </w:rPr>
        <w:t xml:space="preserve">It has been assumed that Sweets Plc has shares outstanding 600 that has been computed by dividing total shares £300m with book value per share of 50p. </w:t>
      </w:r>
    </w:p>
    <w:p w:rsidR="00AF2E8A" w:rsidRPr="0031264C" w:rsidRDefault="00AF2E8A">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lastRenderedPageBreak/>
        <w:t>4: “Net profit margin”</w:t>
      </w:r>
    </w:p>
    <w:tbl>
      <w:tblPr>
        <w:tblW w:w="5720" w:type="dxa"/>
        <w:jc w:val="center"/>
        <w:tblInd w:w="103" w:type="dxa"/>
        <w:tblLook w:val="04A0"/>
      </w:tblPr>
      <w:tblGrid>
        <w:gridCol w:w="3680"/>
        <w:gridCol w:w="1020"/>
        <w:gridCol w:w="1020"/>
      </w:tblGrid>
      <w:tr w:rsidR="00AF2E8A" w:rsidRPr="009A39B8" w:rsidTr="00C63C39">
        <w:trPr>
          <w:trHeight w:val="315"/>
          <w:jc w:val="center"/>
        </w:trPr>
        <w:tc>
          <w:tcPr>
            <w:tcW w:w="5720"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“Net profit margin”</w:t>
            </w:r>
          </w:p>
        </w:tc>
      </w:tr>
      <w:tr w:rsidR="00AF2E8A" w:rsidRPr="009A39B8" w:rsidTr="00C63C39">
        <w:trPr>
          <w:trHeight w:val="315"/>
          <w:jc w:val="center"/>
        </w:trPr>
        <w:tc>
          <w:tcPr>
            <w:tcW w:w="5720"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C63C39">
        <w:trPr>
          <w:trHeight w:val="315"/>
          <w:jc w:val="center"/>
        </w:trPr>
        <w:tc>
          <w:tcPr>
            <w:tcW w:w="3680"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1020"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1020"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C63C39">
        <w:trPr>
          <w:trHeight w:val="315"/>
          <w:jc w:val="center"/>
        </w:trPr>
        <w:tc>
          <w:tcPr>
            <w:tcW w:w="3680"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"Net Income"</w:t>
            </w:r>
          </w:p>
        </w:tc>
        <w:tc>
          <w:tcPr>
            <w:tcW w:w="1020"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366</w:t>
            </w:r>
          </w:p>
        </w:tc>
        <w:tc>
          <w:tcPr>
            <w:tcW w:w="1020"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431</w:t>
            </w:r>
          </w:p>
        </w:tc>
      </w:tr>
      <w:tr w:rsidR="00AF2E8A" w:rsidRPr="009A39B8" w:rsidTr="00C63C39">
        <w:trPr>
          <w:trHeight w:val="315"/>
          <w:jc w:val="center"/>
        </w:trPr>
        <w:tc>
          <w:tcPr>
            <w:tcW w:w="3680"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"Revenue"</w:t>
            </w:r>
          </w:p>
        </w:tc>
        <w:tc>
          <w:tcPr>
            <w:tcW w:w="1020"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6,441</w:t>
            </w:r>
          </w:p>
        </w:tc>
        <w:tc>
          <w:tcPr>
            <w:tcW w:w="1020"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6,738</w:t>
            </w:r>
          </w:p>
        </w:tc>
      </w:tr>
      <w:tr w:rsidR="00AF2E8A" w:rsidRPr="009A39B8" w:rsidTr="00C63C39">
        <w:trPr>
          <w:trHeight w:val="315"/>
          <w:jc w:val="center"/>
        </w:trPr>
        <w:tc>
          <w:tcPr>
            <w:tcW w:w="3680"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“Net profit margin”</w:t>
            </w:r>
          </w:p>
        </w:tc>
        <w:tc>
          <w:tcPr>
            <w:tcW w:w="1020"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6%</w:t>
            </w:r>
          </w:p>
        </w:tc>
        <w:tc>
          <w:tcPr>
            <w:tcW w:w="1020"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6%</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drawing>
          <wp:inline distT="0" distB="0" distL="0" distR="0">
            <wp:extent cx="3657600" cy="2724150"/>
            <wp:effectExtent l="19050" t="0" r="19050" b="0"/>
            <wp:docPr id="1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t>5: “Asset turnover”</w:t>
      </w:r>
    </w:p>
    <w:tbl>
      <w:tblPr>
        <w:tblW w:w="5867" w:type="dxa"/>
        <w:jc w:val="center"/>
        <w:tblInd w:w="103" w:type="dxa"/>
        <w:tblLook w:val="04A0"/>
      </w:tblPr>
      <w:tblGrid>
        <w:gridCol w:w="3436"/>
        <w:gridCol w:w="1335"/>
        <w:gridCol w:w="1096"/>
      </w:tblGrid>
      <w:tr w:rsidR="00AF2E8A" w:rsidRPr="009A39B8" w:rsidTr="00C63C39">
        <w:trPr>
          <w:trHeight w:val="338"/>
          <w:jc w:val="center"/>
        </w:trPr>
        <w:tc>
          <w:tcPr>
            <w:tcW w:w="5867"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“Asset turnover”</w:t>
            </w:r>
          </w:p>
        </w:tc>
      </w:tr>
      <w:tr w:rsidR="00AF2E8A" w:rsidRPr="009A39B8" w:rsidTr="00C63C39">
        <w:trPr>
          <w:trHeight w:val="338"/>
          <w:jc w:val="center"/>
        </w:trPr>
        <w:tc>
          <w:tcPr>
            <w:tcW w:w="5867"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C63C39">
        <w:trPr>
          <w:trHeight w:val="338"/>
          <w:jc w:val="center"/>
        </w:trPr>
        <w:tc>
          <w:tcPr>
            <w:tcW w:w="3436"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133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109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C63C39">
        <w:trPr>
          <w:trHeight w:val="338"/>
          <w:jc w:val="center"/>
        </w:trPr>
        <w:tc>
          <w:tcPr>
            <w:tcW w:w="3436"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"Net Sales"</w:t>
            </w:r>
          </w:p>
        </w:tc>
        <w:tc>
          <w:tcPr>
            <w:tcW w:w="133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6,441</w:t>
            </w:r>
          </w:p>
        </w:tc>
        <w:tc>
          <w:tcPr>
            <w:tcW w:w="109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6,738</w:t>
            </w:r>
          </w:p>
        </w:tc>
      </w:tr>
      <w:tr w:rsidR="00AF2E8A" w:rsidRPr="009A39B8" w:rsidTr="00C63C39">
        <w:trPr>
          <w:trHeight w:val="338"/>
          <w:jc w:val="center"/>
        </w:trPr>
        <w:tc>
          <w:tcPr>
            <w:tcW w:w="3436"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"Total Assets"</w:t>
            </w:r>
          </w:p>
        </w:tc>
        <w:tc>
          <w:tcPr>
            <w:tcW w:w="133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10,087</w:t>
            </w:r>
          </w:p>
        </w:tc>
        <w:tc>
          <w:tcPr>
            <w:tcW w:w="109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9,736</w:t>
            </w:r>
          </w:p>
        </w:tc>
      </w:tr>
      <w:tr w:rsidR="00AF2E8A" w:rsidRPr="009A39B8" w:rsidTr="00C63C39">
        <w:trPr>
          <w:trHeight w:val="338"/>
          <w:jc w:val="center"/>
        </w:trPr>
        <w:tc>
          <w:tcPr>
            <w:tcW w:w="3436"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“Asset turnover”</w:t>
            </w:r>
          </w:p>
        </w:tc>
        <w:tc>
          <w:tcPr>
            <w:tcW w:w="1335"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64%</w:t>
            </w:r>
          </w:p>
        </w:tc>
        <w:tc>
          <w:tcPr>
            <w:tcW w:w="1096"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69%</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lastRenderedPageBreak/>
        <w:drawing>
          <wp:inline distT="0" distB="0" distL="0" distR="0">
            <wp:extent cx="3457575" cy="2657475"/>
            <wp:effectExtent l="19050" t="0" r="9525" b="0"/>
            <wp:docPr id="15"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t>6: “Stock holding days”</w:t>
      </w:r>
    </w:p>
    <w:tbl>
      <w:tblPr>
        <w:tblW w:w="5994" w:type="dxa"/>
        <w:jc w:val="center"/>
        <w:tblInd w:w="103" w:type="dxa"/>
        <w:tblLook w:val="04A0"/>
      </w:tblPr>
      <w:tblGrid>
        <w:gridCol w:w="3548"/>
        <w:gridCol w:w="1223"/>
        <w:gridCol w:w="1223"/>
      </w:tblGrid>
      <w:tr w:rsidR="00AF2E8A" w:rsidRPr="009A39B8" w:rsidTr="00C63C39">
        <w:trPr>
          <w:trHeight w:val="349"/>
          <w:jc w:val="center"/>
        </w:trPr>
        <w:tc>
          <w:tcPr>
            <w:tcW w:w="5994"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“Stock holding days”</w:t>
            </w:r>
          </w:p>
        </w:tc>
      </w:tr>
      <w:tr w:rsidR="00AF2E8A" w:rsidRPr="009A39B8" w:rsidTr="00C63C39">
        <w:trPr>
          <w:trHeight w:val="349"/>
          <w:jc w:val="center"/>
        </w:trPr>
        <w:tc>
          <w:tcPr>
            <w:tcW w:w="5994"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C63C39">
        <w:trPr>
          <w:trHeight w:val="349"/>
          <w:jc w:val="center"/>
        </w:trPr>
        <w:tc>
          <w:tcPr>
            <w:tcW w:w="3548"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1223"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1223"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C63C39">
        <w:trPr>
          <w:trHeight w:val="349"/>
          <w:jc w:val="center"/>
        </w:trPr>
        <w:tc>
          <w:tcPr>
            <w:tcW w:w="3548"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xml:space="preserve">"Inventories"  </w:t>
            </w:r>
          </w:p>
        </w:tc>
        <w:tc>
          <w:tcPr>
            <w:tcW w:w="1223"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659</w:t>
            </w:r>
          </w:p>
        </w:tc>
        <w:tc>
          <w:tcPr>
            <w:tcW w:w="1223"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708</w:t>
            </w:r>
          </w:p>
        </w:tc>
      </w:tr>
      <w:tr w:rsidR="00AF2E8A" w:rsidRPr="009A39B8" w:rsidTr="00C63C39">
        <w:trPr>
          <w:trHeight w:val="349"/>
          <w:jc w:val="center"/>
        </w:trPr>
        <w:tc>
          <w:tcPr>
            <w:tcW w:w="3548"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:x: "365 Days"</w:t>
            </w:r>
          </w:p>
        </w:tc>
        <w:tc>
          <w:tcPr>
            <w:tcW w:w="1223"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240535</w:t>
            </w:r>
          </w:p>
        </w:tc>
        <w:tc>
          <w:tcPr>
            <w:tcW w:w="1223"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258420</w:t>
            </w:r>
          </w:p>
        </w:tc>
      </w:tr>
      <w:tr w:rsidR="00AF2E8A" w:rsidRPr="009A39B8" w:rsidTr="00C63C39">
        <w:trPr>
          <w:trHeight w:val="349"/>
          <w:jc w:val="center"/>
        </w:trPr>
        <w:tc>
          <w:tcPr>
            <w:tcW w:w="3548"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xml:space="preserve">:÷: "Cost of Sales" </w:t>
            </w:r>
          </w:p>
        </w:tc>
        <w:tc>
          <w:tcPr>
            <w:tcW w:w="1223"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3,096</w:t>
            </w:r>
          </w:p>
        </w:tc>
        <w:tc>
          <w:tcPr>
            <w:tcW w:w="1223"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3,235</w:t>
            </w:r>
          </w:p>
        </w:tc>
      </w:tr>
      <w:tr w:rsidR="00AF2E8A" w:rsidRPr="009A39B8" w:rsidTr="00C63C39">
        <w:trPr>
          <w:trHeight w:val="349"/>
          <w:jc w:val="center"/>
        </w:trPr>
        <w:tc>
          <w:tcPr>
            <w:tcW w:w="3548"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“Stock holding days”</w:t>
            </w:r>
          </w:p>
        </w:tc>
        <w:tc>
          <w:tcPr>
            <w:tcW w:w="1223"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78</w:t>
            </w:r>
          </w:p>
        </w:tc>
        <w:tc>
          <w:tcPr>
            <w:tcW w:w="1223"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80</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drawing>
          <wp:inline distT="0" distB="0" distL="0" distR="0">
            <wp:extent cx="3714750" cy="2609850"/>
            <wp:effectExtent l="19050" t="0" r="19050" b="0"/>
            <wp:docPr id="16"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i/>
          <w:color w:val="000000" w:themeColor="text1"/>
          <w:sz w:val="24"/>
          <w:szCs w:val="24"/>
          <w:lang w:val="en-GB"/>
        </w:rPr>
        <w:t xml:space="preserve">Note:- </w:t>
      </w:r>
      <w:r w:rsidRPr="0031264C">
        <w:rPr>
          <w:rFonts w:ascii="Times New Roman" w:eastAsia="Times New Roman" w:hAnsi="Times New Roman" w:cs="Times New Roman"/>
          <w:color w:val="000000" w:themeColor="text1"/>
          <w:sz w:val="24"/>
          <w:szCs w:val="24"/>
          <w:lang w:val="en-GB"/>
        </w:rPr>
        <w:t xml:space="preserve">It has been assumed that Sweets Plc has operated throughout year which is 365 days. </w:t>
      </w:r>
    </w:p>
    <w:p w:rsidR="00AF2E8A" w:rsidRPr="0031264C" w:rsidRDefault="00AF2E8A">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AF2E8A" w:rsidRPr="0031264C" w:rsidRDefault="00AF2E8A">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lastRenderedPageBreak/>
        <w:t>7: “Debtors collection period”</w:t>
      </w:r>
    </w:p>
    <w:tbl>
      <w:tblPr>
        <w:tblW w:w="5721" w:type="dxa"/>
        <w:jc w:val="center"/>
        <w:tblInd w:w="103" w:type="dxa"/>
        <w:tblLook w:val="04A0"/>
      </w:tblPr>
      <w:tblGrid>
        <w:gridCol w:w="3727"/>
        <w:gridCol w:w="997"/>
        <w:gridCol w:w="997"/>
      </w:tblGrid>
      <w:tr w:rsidR="00AF2E8A" w:rsidRPr="009A39B8" w:rsidTr="00C63C39">
        <w:trPr>
          <w:trHeight w:val="315"/>
          <w:jc w:val="center"/>
        </w:trPr>
        <w:tc>
          <w:tcPr>
            <w:tcW w:w="5721"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“Debtors collection period”</w:t>
            </w:r>
          </w:p>
        </w:tc>
      </w:tr>
      <w:tr w:rsidR="00AF2E8A" w:rsidRPr="009A39B8" w:rsidTr="00C63C39">
        <w:trPr>
          <w:trHeight w:val="315"/>
          <w:jc w:val="center"/>
        </w:trPr>
        <w:tc>
          <w:tcPr>
            <w:tcW w:w="5721"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C63C39">
        <w:trPr>
          <w:trHeight w:val="315"/>
          <w:jc w:val="center"/>
        </w:trPr>
        <w:tc>
          <w:tcPr>
            <w:tcW w:w="3727"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997"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997"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C63C39">
        <w:trPr>
          <w:trHeight w:val="315"/>
          <w:jc w:val="center"/>
        </w:trPr>
        <w:tc>
          <w:tcPr>
            <w:tcW w:w="3727"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"Receivables"</w:t>
            </w:r>
          </w:p>
        </w:tc>
        <w:tc>
          <w:tcPr>
            <w:tcW w:w="997"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1,287</w:t>
            </w:r>
          </w:p>
        </w:tc>
        <w:tc>
          <w:tcPr>
            <w:tcW w:w="997"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1,249</w:t>
            </w:r>
          </w:p>
        </w:tc>
      </w:tr>
      <w:tr w:rsidR="00AF2E8A" w:rsidRPr="009A39B8" w:rsidTr="00C63C39">
        <w:trPr>
          <w:trHeight w:val="315"/>
          <w:jc w:val="center"/>
        </w:trPr>
        <w:tc>
          <w:tcPr>
            <w:tcW w:w="3727"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:x: "365 Days"</w:t>
            </w:r>
          </w:p>
        </w:tc>
        <w:tc>
          <w:tcPr>
            <w:tcW w:w="997"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469755</w:t>
            </w:r>
          </w:p>
        </w:tc>
        <w:tc>
          <w:tcPr>
            <w:tcW w:w="997"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455885</w:t>
            </w:r>
          </w:p>
        </w:tc>
      </w:tr>
      <w:tr w:rsidR="00AF2E8A" w:rsidRPr="009A39B8" w:rsidTr="00C63C39">
        <w:trPr>
          <w:trHeight w:val="315"/>
          <w:jc w:val="center"/>
        </w:trPr>
        <w:tc>
          <w:tcPr>
            <w:tcW w:w="3727"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"Sales"</w:t>
            </w:r>
          </w:p>
        </w:tc>
        <w:tc>
          <w:tcPr>
            <w:tcW w:w="997"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6,441</w:t>
            </w:r>
          </w:p>
        </w:tc>
        <w:tc>
          <w:tcPr>
            <w:tcW w:w="997"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6,738</w:t>
            </w:r>
          </w:p>
        </w:tc>
      </w:tr>
      <w:tr w:rsidR="00AF2E8A" w:rsidRPr="009A39B8" w:rsidTr="00C63C39">
        <w:trPr>
          <w:trHeight w:val="315"/>
          <w:jc w:val="center"/>
        </w:trPr>
        <w:tc>
          <w:tcPr>
            <w:tcW w:w="3727"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“Debtors collection period”</w:t>
            </w:r>
          </w:p>
        </w:tc>
        <w:tc>
          <w:tcPr>
            <w:tcW w:w="997"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73</w:t>
            </w:r>
          </w:p>
        </w:tc>
        <w:tc>
          <w:tcPr>
            <w:tcW w:w="997"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68</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drawing>
          <wp:inline distT="0" distB="0" distL="0" distR="0">
            <wp:extent cx="3648075" cy="2752725"/>
            <wp:effectExtent l="19050" t="0" r="9525" b="0"/>
            <wp:docPr id="1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i/>
          <w:color w:val="000000" w:themeColor="text1"/>
          <w:sz w:val="24"/>
          <w:szCs w:val="24"/>
          <w:lang w:val="en-GB"/>
        </w:rPr>
        <w:t xml:space="preserve">Note:- </w:t>
      </w:r>
      <w:r w:rsidRPr="0031264C">
        <w:rPr>
          <w:rFonts w:ascii="Times New Roman" w:eastAsia="Times New Roman" w:hAnsi="Times New Roman" w:cs="Times New Roman"/>
          <w:color w:val="000000" w:themeColor="text1"/>
          <w:sz w:val="24"/>
          <w:szCs w:val="24"/>
          <w:lang w:val="en-GB"/>
        </w:rPr>
        <w:t xml:space="preserve">It has been assumed that Sweets Plc has made sales throughout year which is 365 days. </w:t>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t>8: “Current ratio”</w:t>
      </w:r>
    </w:p>
    <w:tbl>
      <w:tblPr>
        <w:tblW w:w="5922" w:type="dxa"/>
        <w:jc w:val="center"/>
        <w:tblInd w:w="103" w:type="dxa"/>
        <w:tblLook w:val="04A0"/>
      </w:tblPr>
      <w:tblGrid>
        <w:gridCol w:w="3871"/>
        <w:gridCol w:w="1025"/>
        <w:gridCol w:w="1026"/>
      </w:tblGrid>
      <w:tr w:rsidR="00AF2E8A" w:rsidRPr="009A39B8" w:rsidTr="00C63C39">
        <w:trPr>
          <w:trHeight w:val="351"/>
          <w:jc w:val="center"/>
        </w:trPr>
        <w:tc>
          <w:tcPr>
            <w:tcW w:w="5922"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“Current ratio”</w:t>
            </w:r>
          </w:p>
        </w:tc>
      </w:tr>
      <w:tr w:rsidR="00AF2E8A" w:rsidRPr="009A39B8" w:rsidTr="00C63C39">
        <w:trPr>
          <w:trHeight w:val="351"/>
          <w:jc w:val="center"/>
        </w:trPr>
        <w:tc>
          <w:tcPr>
            <w:tcW w:w="5922"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AF2E8A">
        <w:trPr>
          <w:trHeight w:val="351"/>
          <w:jc w:val="center"/>
        </w:trPr>
        <w:tc>
          <w:tcPr>
            <w:tcW w:w="3871"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102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102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AF2E8A">
        <w:trPr>
          <w:trHeight w:val="351"/>
          <w:jc w:val="center"/>
        </w:trPr>
        <w:tc>
          <w:tcPr>
            <w:tcW w:w="3871"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"Current Assets"</w:t>
            </w:r>
          </w:p>
        </w:tc>
        <w:tc>
          <w:tcPr>
            <w:tcW w:w="102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2,355</w:t>
            </w:r>
          </w:p>
        </w:tc>
        <w:tc>
          <w:tcPr>
            <w:tcW w:w="102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2,303</w:t>
            </w:r>
          </w:p>
        </w:tc>
      </w:tr>
      <w:tr w:rsidR="00AF2E8A" w:rsidRPr="009A39B8" w:rsidTr="00AF2E8A">
        <w:trPr>
          <w:trHeight w:val="351"/>
          <w:jc w:val="center"/>
        </w:trPr>
        <w:tc>
          <w:tcPr>
            <w:tcW w:w="3871"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"Current Liabilities"</w:t>
            </w:r>
          </w:p>
        </w:tc>
        <w:tc>
          <w:tcPr>
            <w:tcW w:w="102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3,046</w:t>
            </w:r>
          </w:p>
        </w:tc>
        <w:tc>
          <w:tcPr>
            <w:tcW w:w="1026"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2,511</w:t>
            </w:r>
          </w:p>
        </w:tc>
      </w:tr>
      <w:tr w:rsidR="00AF2E8A" w:rsidRPr="009A39B8" w:rsidTr="00AF2E8A">
        <w:trPr>
          <w:trHeight w:val="351"/>
          <w:jc w:val="center"/>
        </w:trPr>
        <w:tc>
          <w:tcPr>
            <w:tcW w:w="3871"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“Current ratio”</w:t>
            </w:r>
          </w:p>
        </w:tc>
        <w:tc>
          <w:tcPr>
            <w:tcW w:w="1025"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0.77</w:t>
            </w:r>
          </w:p>
        </w:tc>
        <w:tc>
          <w:tcPr>
            <w:tcW w:w="1026"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0.92</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lastRenderedPageBreak/>
        <w:drawing>
          <wp:inline distT="0" distB="0" distL="0" distR="0">
            <wp:extent cx="3752850" cy="2819400"/>
            <wp:effectExtent l="19050" t="0" r="19050" b="0"/>
            <wp:docPr id="1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t>9: “Gearing ratio”</w:t>
      </w:r>
    </w:p>
    <w:tbl>
      <w:tblPr>
        <w:tblW w:w="6040" w:type="dxa"/>
        <w:jc w:val="center"/>
        <w:tblInd w:w="103" w:type="dxa"/>
        <w:tblLook w:val="04A0"/>
      </w:tblPr>
      <w:tblGrid>
        <w:gridCol w:w="3570"/>
        <w:gridCol w:w="1235"/>
        <w:gridCol w:w="1235"/>
      </w:tblGrid>
      <w:tr w:rsidR="00AF2E8A" w:rsidRPr="009A39B8" w:rsidTr="00AF2E8A">
        <w:trPr>
          <w:trHeight w:val="346"/>
          <w:jc w:val="center"/>
        </w:trPr>
        <w:tc>
          <w:tcPr>
            <w:tcW w:w="6040"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“Gearing ratio”</w:t>
            </w:r>
          </w:p>
        </w:tc>
      </w:tr>
      <w:tr w:rsidR="00AF2E8A" w:rsidRPr="009A39B8" w:rsidTr="00AF2E8A">
        <w:trPr>
          <w:trHeight w:val="346"/>
          <w:jc w:val="center"/>
        </w:trPr>
        <w:tc>
          <w:tcPr>
            <w:tcW w:w="6040"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C63C39">
        <w:trPr>
          <w:trHeight w:val="346"/>
          <w:jc w:val="center"/>
        </w:trPr>
        <w:tc>
          <w:tcPr>
            <w:tcW w:w="3570"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123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123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C63C39">
        <w:trPr>
          <w:trHeight w:val="346"/>
          <w:jc w:val="center"/>
        </w:trPr>
        <w:tc>
          <w:tcPr>
            <w:tcW w:w="3570"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"Liabilities"</w:t>
            </w:r>
          </w:p>
        </w:tc>
        <w:tc>
          <w:tcPr>
            <w:tcW w:w="123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7175</w:t>
            </w:r>
          </w:p>
        </w:tc>
        <w:tc>
          <w:tcPr>
            <w:tcW w:w="123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6648</w:t>
            </w:r>
          </w:p>
        </w:tc>
      </w:tr>
      <w:tr w:rsidR="00AF2E8A" w:rsidRPr="009A39B8" w:rsidTr="00C63C39">
        <w:trPr>
          <w:trHeight w:val="346"/>
          <w:jc w:val="center"/>
        </w:trPr>
        <w:tc>
          <w:tcPr>
            <w:tcW w:w="3570"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"Equities"</w:t>
            </w:r>
          </w:p>
        </w:tc>
        <w:tc>
          <w:tcPr>
            <w:tcW w:w="123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2,912</w:t>
            </w:r>
          </w:p>
        </w:tc>
        <w:tc>
          <w:tcPr>
            <w:tcW w:w="1235"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3,088</w:t>
            </w:r>
          </w:p>
        </w:tc>
      </w:tr>
      <w:tr w:rsidR="00AF2E8A" w:rsidRPr="009A39B8" w:rsidTr="00C63C39">
        <w:trPr>
          <w:trHeight w:val="346"/>
          <w:jc w:val="center"/>
        </w:trPr>
        <w:tc>
          <w:tcPr>
            <w:tcW w:w="3570"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“Gearing ratio”</w:t>
            </w:r>
          </w:p>
        </w:tc>
        <w:tc>
          <w:tcPr>
            <w:tcW w:w="1235"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2.46</w:t>
            </w:r>
          </w:p>
        </w:tc>
        <w:tc>
          <w:tcPr>
            <w:tcW w:w="1235"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2.15</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drawing>
          <wp:inline distT="0" distB="0" distL="0" distR="0">
            <wp:extent cx="3695700" cy="2714625"/>
            <wp:effectExtent l="19050" t="0" r="19050" b="0"/>
            <wp:docPr id="19"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F2E8A" w:rsidRPr="0031264C" w:rsidRDefault="00AF2E8A">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AF2E8A" w:rsidRPr="0031264C" w:rsidRDefault="00AF2E8A">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AF2E8A" w:rsidRPr="0031264C" w:rsidRDefault="00AF2E8A">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8E5605" w:rsidRPr="0031264C" w:rsidRDefault="00C7440D">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color w:val="000000" w:themeColor="text1"/>
          <w:sz w:val="24"/>
          <w:szCs w:val="24"/>
          <w:lang w:val="en-GB"/>
        </w:rPr>
        <w:lastRenderedPageBreak/>
        <w:t>10: “Interest cover”</w:t>
      </w:r>
    </w:p>
    <w:tbl>
      <w:tblPr>
        <w:tblW w:w="5720" w:type="dxa"/>
        <w:jc w:val="center"/>
        <w:tblInd w:w="103" w:type="dxa"/>
        <w:tblLook w:val="04A0"/>
      </w:tblPr>
      <w:tblGrid>
        <w:gridCol w:w="3698"/>
        <w:gridCol w:w="1011"/>
        <w:gridCol w:w="1011"/>
      </w:tblGrid>
      <w:tr w:rsidR="00AF2E8A" w:rsidRPr="009A39B8" w:rsidTr="00C63C39">
        <w:trPr>
          <w:trHeight w:val="315"/>
          <w:jc w:val="center"/>
        </w:trPr>
        <w:tc>
          <w:tcPr>
            <w:tcW w:w="5720" w:type="dxa"/>
            <w:gridSpan w:val="3"/>
            <w:tcBorders>
              <w:top w:val="single" w:sz="4" w:space="0" w:color="auto"/>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“Interest cover”</w:t>
            </w:r>
          </w:p>
        </w:tc>
      </w:tr>
      <w:tr w:rsidR="00AF2E8A" w:rsidRPr="009A39B8" w:rsidTr="00C63C39">
        <w:trPr>
          <w:trHeight w:val="315"/>
          <w:jc w:val="center"/>
        </w:trPr>
        <w:tc>
          <w:tcPr>
            <w:tcW w:w="5720" w:type="dxa"/>
            <w:gridSpan w:val="3"/>
            <w:tcBorders>
              <w:top w:val="single" w:sz="4" w:space="0" w:color="auto"/>
              <w:left w:val="single" w:sz="4" w:space="0" w:color="auto"/>
              <w:bottom w:val="single" w:sz="4" w:space="0" w:color="auto"/>
              <w:right w:val="single" w:sz="4" w:space="0" w:color="000000"/>
            </w:tcBorders>
            <w:shd w:val="clear" w:color="000000" w:fill="8DB4E3"/>
            <w:noWrap/>
            <w:vAlign w:val="bottom"/>
            <w:hideMark/>
          </w:tcPr>
          <w:p w:rsidR="00AF2E8A" w:rsidRPr="009A39B8" w:rsidRDefault="00AF2E8A" w:rsidP="00C63C39">
            <w:pPr>
              <w:spacing w:line="240" w:lineRule="auto"/>
              <w:jc w:val="center"/>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"Entity: Sweets Plc"</w:t>
            </w:r>
          </w:p>
        </w:tc>
      </w:tr>
      <w:tr w:rsidR="00AF2E8A" w:rsidRPr="009A39B8" w:rsidTr="00C63C39">
        <w:trPr>
          <w:trHeight w:val="315"/>
          <w:jc w:val="center"/>
        </w:trPr>
        <w:tc>
          <w:tcPr>
            <w:tcW w:w="3698"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Details "£m"</w:t>
            </w:r>
          </w:p>
        </w:tc>
        <w:tc>
          <w:tcPr>
            <w:tcW w:w="101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2020</w:t>
            </w:r>
          </w:p>
        </w:tc>
        <w:tc>
          <w:tcPr>
            <w:tcW w:w="101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b/>
                <w:bCs/>
                <w:color w:val="000000" w:themeColor="text1"/>
                <w:sz w:val="24"/>
                <w:szCs w:val="24"/>
                <w:lang w:val="en-GB"/>
              </w:rPr>
            </w:pPr>
            <w:r w:rsidRPr="009A39B8">
              <w:rPr>
                <w:rFonts w:ascii="Times New Roman" w:eastAsia="Times New Roman" w:hAnsi="Times New Roman" w:cs="Times New Roman"/>
                <w:b/>
                <w:bCs/>
                <w:color w:val="000000" w:themeColor="text1"/>
                <w:sz w:val="24"/>
                <w:szCs w:val="24"/>
                <w:lang w:val="en-GB"/>
              </w:rPr>
              <w:t>2021</w:t>
            </w:r>
          </w:p>
        </w:tc>
      </w:tr>
      <w:tr w:rsidR="00AF2E8A" w:rsidRPr="009A39B8" w:rsidTr="00C63C39">
        <w:trPr>
          <w:trHeight w:val="315"/>
          <w:jc w:val="center"/>
        </w:trPr>
        <w:tc>
          <w:tcPr>
            <w:tcW w:w="3698"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"EBIT"</w:t>
            </w:r>
          </w:p>
        </w:tc>
        <w:tc>
          <w:tcPr>
            <w:tcW w:w="101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699</w:t>
            </w:r>
          </w:p>
        </w:tc>
        <w:tc>
          <w:tcPr>
            <w:tcW w:w="101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805</w:t>
            </w:r>
          </w:p>
        </w:tc>
      </w:tr>
      <w:tr w:rsidR="00AF2E8A" w:rsidRPr="009A39B8" w:rsidTr="00C63C39">
        <w:trPr>
          <w:trHeight w:val="315"/>
          <w:jc w:val="center"/>
        </w:trPr>
        <w:tc>
          <w:tcPr>
            <w:tcW w:w="3698" w:type="dxa"/>
            <w:tcBorders>
              <w:top w:val="nil"/>
              <w:left w:val="single" w:sz="4" w:space="0" w:color="auto"/>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 "Finance Cost"</w:t>
            </w:r>
          </w:p>
        </w:tc>
        <w:tc>
          <w:tcPr>
            <w:tcW w:w="101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181</w:t>
            </w:r>
          </w:p>
        </w:tc>
        <w:tc>
          <w:tcPr>
            <w:tcW w:w="1011" w:type="dxa"/>
            <w:tcBorders>
              <w:top w:val="nil"/>
              <w:left w:val="nil"/>
              <w:bottom w:val="single" w:sz="4" w:space="0" w:color="auto"/>
              <w:right w:val="single" w:sz="4" w:space="0" w:color="auto"/>
            </w:tcBorders>
            <w:shd w:val="clear" w:color="000000" w:fill="D7E4BC"/>
            <w:noWrap/>
            <w:vAlign w:val="bottom"/>
            <w:hideMark/>
          </w:tcPr>
          <w:p w:rsidR="00AF2E8A" w:rsidRPr="009A39B8" w:rsidRDefault="00AF2E8A" w:rsidP="00C63C39">
            <w:pPr>
              <w:spacing w:line="240" w:lineRule="auto"/>
              <w:jc w:val="right"/>
              <w:rPr>
                <w:rFonts w:ascii="Times New Roman" w:eastAsia="Times New Roman" w:hAnsi="Times New Roman" w:cs="Times New Roman"/>
                <w:color w:val="000000" w:themeColor="text1"/>
                <w:sz w:val="24"/>
                <w:szCs w:val="24"/>
                <w:lang w:val="en-GB"/>
              </w:rPr>
            </w:pPr>
            <w:r w:rsidRPr="009A39B8">
              <w:rPr>
                <w:rFonts w:ascii="Times New Roman" w:eastAsia="Times New Roman" w:hAnsi="Times New Roman" w:cs="Times New Roman"/>
                <w:color w:val="000000" w:themeColor="text1"/>
                <w:sz w:val="24"/>
                <w:szCs w:val="24"/>
                <w:lang w:val="en-GB"/>
              </w:rPr>
              <w:t>226</w:t>
            </w:r>
          </w:p>
        </w:tc>
      </w:tr>
      <w:tr w:rsidR="00AF2E8A" w:rsidRPr="009A39B8" w:rsidTr="00C63C39">
        <w:trPr>
          <w:trHeight w:val="315"/>
          <w:jc w:val="center"/>
        </w:trPr>
        <w:tc>
          <w:tcPr>
            <w:tcW w:w="3698" w:type="dxa"/>
            <w:tcBorders>
              <w:top w:val="nil"/>
              <w:left w:val="single" w:sz="4" w:space="0" w:color="auto"/>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“Interest cover”</w:t>
            </w:r>
          </w:p>
        </w:tc>
        <w:tc>
          <w:tcPr>
            <w:tcW w:w="1011"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3.86</w:t>
            </w:r>
          </w:p>
        </w:tc>
        <w:tc>
          <w:tcPr>
            <w:tcW w:w="1011" w:type="dxa"/>
            <w:tcBorders>
              <w:top w:val="nil"/>
              <w:left w:val="nil"/>
              <w:bottom w:val="single" w:sz="4" w:space="0" w:color="auto"/>
              <w:right w:val="single" w:sz="4" w:space="0" w:color="auto"/>
            </w:tcBorders>
            <w:shd w:val="clear" w:color="000000" w:fill="8DB4E3"/>
            <w:noWrap/>
            <w:vAlign w:val="bottom"/>
            <w:hideMark/>
          </w:tcPr>
          <w:p w:rsidR="00AF2E8A" w:rsidRPr="009A39B8" w:rsidRDefault="00AF2E8A" w:rsidP="00C63C39">
            <w:pPr>
              <w:spacing w:line="240" w:lineRule="auto"/>
              <w:jc w:val="right"/>
              <w:rPr>
                <w:rFonts w:ascii="Times New Roman" w:eastAsia="Times New Roman" w:hAnsi="Times New Roman" w:cs="Times New Roman"/>
                <w:b/>
                <w:bCs/>
                <w:i/>
                <w:iCs/>
                <w:color w:val="000000" w:themeColor="text1"/>
                <w:sz w:val="24"/>
                <w:szCs w:val="24"/>
                <w:lang w:val="en-GB"/>
              </w:rPr>
            </w:pPr>
            <w:r w:rsidRPr="009A39B8">
              <w:rPr>
                <w:rFonts w:ascii="Times New Roman" w:eastAsia="Times New Roman" w:hAnsi="Times New Roman" w:cs="Times New Roman"/>
                <w:b/>
                <w:bCs/>
                <w:i/>
                <w:iCs/>
                <w:color w:val="000000" w:themeColor="text1"/>
                <w:sz w:val="24"/>
                <w:szCs w:val="24"/>
                <w:lang w:val="en-GB"/>
              </w:rPr>
              <w:t>3.56</w:t>
            </w:r>
          </w:p>
        </w:tc>
      </w:tr>
    </w:tbl>
    <w:p w:rsidR="00AF2E8A" w:rsidRPr="0031264C" w:rsidRDefault="00AF2E8A" w:rsidP="00AF2E8A">
      <w:pPr>
        <w:pStyle w:val="normal"/>
        <w:spacing w:before="200" w:after="200" w:line="360" w:lineRule="auto"/>
        <w:jc w:val="center"/>
        <w:rPr>
          <w:rFonts w:ascii="Times New Roman" w:eastAsia="Times New Roman" w:hAnsi="Times New Roman" w:cs="Times New Roman"/>
          <w:b/>
          <w:color w:val="000000" w:themeColor="text1"/>
          <w:sz w:val="24"/>
          <w:szCs w:val="24"/>
          <w:lang w:val="en-GB"/>
        </w:rPr>
      </w:pPr>
      <w:r w:rsidRPr="0031264C">
        <w:rPr>
          <w:rFonts w:ascii="Times New Roman" w:eastAsia="Times New Roman" w:hAnsi="Times New Roman" w:cs="Times New Roman"/>
          <w:b/>
          <w:noProof/>
          <w:color w:val="000000" w:themeColor="text1"/>
          <w:sz w:val="24"/>
          <w:szCs w:val="24"/>
          <w:lang w:val="bg-BG" w:eastAsia="bg-BG"/>
        </w:rPr>
        <w:drawing>
          <wp:inline distT="0" distB="0" distL="0" distR="0">
            <wp:extent cx="3590925" cy="2752725"/>
            <wp:effectExtent l="19050" t="0" r="9525" b="0"/>
            <wp:docPr id="20"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E5605" w:rsidRPr="0031264C" w:rsidRDefault="00C7440D">
      <w:pPr>
        <w:pStyle w:val="1"/>
        <w:rPr>
          <w:color w:val="000000" w:themeColor="text1"/>
          <w:lang w:val="en-GB"/>
        </w:rPr>
      </w:pPr>
      <w:bookmarkStart w:id="12" w:name="_v8eua651c45z" w:colFirst="0" w:colLast="0"/>
      <w:bookmarkStart w:id="13" w:name="_Toc123137027"/>
      <w:bookmarkEnd w:id="12"/>
      <w:r w:rsidRPr="0031264C">
        <w:rPr>
          <w:color w:val="000000" w:themeColor="text1"/>
          <w:lang w:val="en-GB"/>
        </w:rPr>
        <w:t>b. Comment on financial performance</w:t>
      </w:r>
      <w:bookmarkEnd w:id="13"/>
      <w:r w:rsidRPr="0031264C">
        <w:rPr>
          <w:color w:val="000000" w:themeColor="text1"/>
          <w:lang w:val="en-GB"/>
        </w:rPr>
        <w:t xml:space="preserve"> </w:t>
      </w:r>
    </w:p>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Ventures operating in a competitive environment aim to maintain sound financial performance &amp; position to gain higher market share. Financial performance of Sweets Plc which is a UK-based “sweets and confectionery manufacturer” can be analysed through results of accounting ratios. Computation of </w:t>
      </w:r>
      <w:r w:rsidRPr="0031264C">
        <w:rPr>
          <w:rFonts w:ascii="Times New Roman" w:eastAsia="Times New Roman" w:hAnsi="Times New Roman" w:cs="Times New Roman"/>
          <w:b/>
          <w:i/>
          <w:color w:val="000000" w:themeColor="text1"/>
          <w:sz w:val="24"/>
          <w:szCs w:val="24"/>
          <w:lang w:val="en-GB"/>
        </w:rPr>
        <w:t xml:space="preserve">ROCE </w:t>
      </w:r>
      <w:r w:rsidRPr="0031264C">
        <w:rPr>
          <w:rFonts w:ascii="Times New Roman" w:eastAsia="Times New Roman" w:hAnsi="Times New Roman" w:cs="Times New Roman"/>
          <w:color w:val="000000" w:themeColor="text1"/>
          <w:sz w:val="24"/>
          <w:szCs w:val="24"/>
          <w:lang w:val="en-GB"/>
        </w:rPr>
        <w:t xml:space="preserve">highlights a 1% improvement in earnings. As per Kadim </w:t>
      </w:r>
      <w:r w:rsidRPr="0031264C">
        <w:rPr>
          <w:rFonts w:ascii="Times New Roman" w:eastAsia="Times New Roman" w:hAnsi="Times New Roman" w:cs="Times New Roman"/>
          <w:i/>
          <w:color w:val="000000" w:themeColor="text1"/>
          <w:sz w:val="24"/>
          <w:szCs w:val="24"/>
          <w:lang w:val="en-GB"/>
        </w:rPr>
        <w:t>et al.</w:t>
      </w:r>
      <w:r w:rsidRPr="0031264C">
        <w:rPr>
          <w:rFonts w:ascii="Times New Roman" w:eastAsia="Times New Roman" w:hAnsi="Times New Roman" w:cs="Times New Roman"/>
          <w:color w:val="000000" w:themeColor="text1"/>
          <w:sz w:val="24"/>
          <w:szCs w:val="24"/>
          <w:lang w:val="en-GB"/>
        </w:rPr>
        <w:t xml:space="preserve"> (2020), organisations that effectively use capital employed can generate higher returns from them. In case of sweets Plc, it can be said that ability to utilise capital employed has been enhanced which has improved its performance in 2021. Computation of </w:t>
      </w:r>
      <w:r w:rsidRPr="0031264C">
        <w:rPr>
          <w:rFonts w:ascii="Times New Roman" w:eastAsia="Times New Roman" w:hAnsi="Times New Roman" w:cs="Times New Roman"/>
          <w:b/>
          <w:i/>
          <w:color w:val="000000" w:themeColor="text1"/>
          <w:sz w:val="24"/>
          <w:szCs w:val="24"/>
          <w:lang w:val="en-GB"/>
        </w:rPr>
        <w:t>net profit margin</w:t>
      </w:r>
      <w:r w:rsidRPr="0031264C">
        <w:rPr>
          <w:rFonts w:ascii="Times New Roman" w:eastAsia="Times New Roman" w:hAnsi="Times New Roman" w:cs="Times New Roman"/>
          <w:color w:val="000000" w:themeColor="text1"/>
          <w:sz w:val="24"/>
          <w:szCs w:val="24"/>
          <w:lang w:val="en-GB"/>
        </w:rPr>
        <w:t xml:space="preserve"> shows consistency in profitability in last two years. Both revenues and net profits of this company are on an increasing trend. Keeping operating expenses lower in comparison to sales can bring high returns to the company (Nariswari and Nugraha, 2020). As Sweets Plc has similar returns even when it has increased revenues, it can be said that operating expenses were increased in 2021. As per </w:t>
      </w:r>
      <w:r w:rsidRPr="0031264C">
        <w:rPr>
          <w:rFonts w:ascii="Times New Roman" w:eastAsia="Times New Roman" w:hAnsi="Times New Roman" w:cs="Times New Roman"/>
          <w:b/>
          <w:i/>
          <w:color w:val="000000" w:themeColor="text1"/>
          <w:sz w:val="24"/>
          <w:szCs w:val="24"/>
          <w:lang w:val="en-GB"/>
        </w:rPr>
        <w:t>debtor collection period</w:t>
      </w:r>
      <w:r w:rsidRPr="0031264C">
        <w:rPr>
          <w:rFonts w:ascii="Times New Roman" w:eastAsia="Times New Roman" w:hAnsi="Times New Roman" w:cs="Times New Roman"/>
          <w:color w:val="000000" w:themeColor="text1"/>
          <w:sz w:val="24"/>
          <w:szCs w:val="24"/>
          <w:lang w:val="en-GB"/>
        </w:rPr>
        <w:t xml:space="preserve">, performance of Sweets Plc has been improved by 5 days. As argued by Weetman (2019), collecting dues in less time indicates high efficiency of a company. Receivables of Sweets Plc have slightly </w:t>
      </w:r>
      <w:r w:rsidRPr="0031264C">
        <w:rPr>
          <w:rFonts w:ascii="Times New Roman" w:eastAsia="Times New Roman" w:hAnsi="Times New Roman" w:cs="Times New Roman"/>
          <w:color w:val="000000" w:themeColor="text1"/>
          <w:sz w:val="24"/>
          <w:szCs w:val="24"/>
          <w:lang w:val="en-GB"/>
        </w:rPr>
        <w:lastRenderedPageBreak/>
        <w:t xml:space="preserve">reduced and revenue has increased. The results also show that the company is maintaining strict policies for dues collection which is good for its efficiency. </w:t>
      </w:r>
      <w:r w:rsidRPr="0031264C">
        <w:rPr>
          <w:rFonts w:ascii="Times New Roman" w:eastAsia="Times New Roman" w:hAnsi="Times New Roman" w:cs="Times New Roman"/>
          <w:b/>
          <w:i/>
          <w:color w:val="000000" w:themeColor="text1"/>
          <w:sz w:val="24"/>
          <w:szCs w:val="24"/>
          <w:lang w:val="en-GB"/>
        </w:rPr>
        <w:t>Interest cover</w:t>
      </w:r>
      <w:r w:rsidRPr="0031264C">
        <w:rPr>
          <w:rFonts w:ascii="Times New Roman" w:eastAsia="Times New Roman" w:hAnsi="Times New Roman" w:cs="Times New Roman"/>
          <w:color w:val="000000" w:themeColor="text1"/>
          <w:sz w:val="24"/>
          <w:szCs w:val="24"/>
          <w:lang w:val="en-GB"/>
        </w:rPr>
        <w:t xml:space="preserve"> ratio shows results of 3.56 in 2021 and 3.86 in 2020. A declined interest cover ratio highlights reduced legibility of venture to honour debt payments. </w:t>
      </w:r>
      <w:r w:rsidRPr="0031264C">
        <w:rPr>
          <w:rFonts w:ascii="Times New Roman" w:eastAsia="Times New Roman" w:hAnsi="Times New Roman" w:cs="Times New Roman"/>
          <w:b/>
          <w:i/>
          <w:color w:val="000000" w:themeColor="text1"/>
          <w:sz w:val="24"/>
          <w:szCs w:val="24"/>
          <w:lang w:val="en-GB"/>
        </w:rPr>
        <w:t xml:space="preserve">ROE </w:t>
      </w:r>
      <w:r w:rsidRPr="0031264C">
        <w:rPr>
          <w:rFonts w:ascii="Times New Roman" w:eastAsia="Times New Roman" w:hAnsi="Times New Roman" w:cs="Times New Roman"/>
          <w:color w:val="000000" w:themeColor="text1"/>
          <w:sz w:val="24"/>
          <w:szCs w:val="24"/>
          <w:lang w:val="en-GB"/>
        </w:rPr>
        <w:t>computation shows an improvement in return by 1%.</w:t>
      </w:r>
    </w:p>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 xml:space="preserve">Effective utilisation of equity capital can bring higher returns for an organisation (Mari and Marra, 2019). In case of Sweets Plc, effective usage of equities can be found along with an increment in net incomes and equities which is good for this company. Evaluation of </w:t>
      </w:r>
      <w:r w:rsidRPr="0031264C">
        <w:rPr>
          <w:rFonts w:ascii="Times New Roman" w:eastAsia="Times New Roman" w:hAnsi="Times New Roman" w:cs="Times New Roman"/>
          <w:b/>
          <w:i/>
          <w:color w:val="000000" w:themeColor="text1"/>
          <w:sz w:val="24"/>
          <w:szCs w:val="24"/>
          <w:lang w:val="en-GB"/>
        </w:rPr>
        <w:t xml:space="preserve">asset turnover </w:t>
      </w:r>
      <w:r w:rsidRPr="0031264C">
        <w:rPr>
          <w:rFonts w:ascii="Times New Roman" w:eastAsia="Times New Roman" w:hAnsi="Times New Roman" w:cs="Times New Roman"/>
          <w:color w:val="000000" w:themeColor="text1"/>
          <w:sz w:val="24"/>
          <w:szCs w:val="24"/>
          <w:lang w:val="en-GB"/>
        </w:rPr>
        <w:t xml:space="preserve">reflects a 5% increment in 2021. According to Jiménez and Grima (2020), effectively utilising asset base reflects good efficiency &amp; profitability of a company. As Sweets Plc has soundly used its asset balance, profitability from them has been improved. However, total assets were reduced by £351m in 2021 which is not good for this company. </w:t>
      </w:r>
      <w:r w:rsidRPr="0031264C">
        <w:rPr>
          <w:rFonts w:ascii="Times New Roman" w:eastAsia="Times New Roman" w:hAnsi="Times New Roman" w:cs="Times New Roman"/>
          <w:b/>
          <w:i/>
          <w:color w:val="000000" w:themeColor="text1"/>
          <w:sz w:val="24"/>
          <w:szCs w:val="24"/>
          <w:lang w:val="en-GB"/>
        </w:rPr>
        <w:t xml:space="preserve">Current ratio </w:t>
      </w:r>
      <w:r w:rsidRPr="0031264C">
        <w:rPr>
          <w:rFonts w:ascii="Times New Roman" w:eastAsia="Times New Roman" w:hAnsi="Times New Roman" w:cs="Times New Roman"/>
          <w:color w:val="000000" w:themeColor="text1"/>
          <w:sz w:val="24"/>
          <w:szCs w:val="24"/>
          <w:lang w:val="en-GB"/>
        </w:rPr>
        <w:t xml:space="preserve">of Sweets Plc is 0.92 times in 2021 which is higher than last year. Having an increasing trend of current ratio highlights improved efficiency (Atrill and McLaney, 2018). Also, the company has significant reduction in both current assets and current liabilities. In case of earnings per share, it can be seen that earnings from each share have increased to £0.29 from £0.21 in 2021. Having strong financial performance allows organisations to boost </w:t>
      </w:r>
      <w:r w:rsidRPr="0031264C">
        <w:rPr>
          <w:rFonts w:ascii="Times New Roman" w:eastAsia="Times New Roman" w:hAnsi="Times New Roman" w:cs="Times New Roman"/>
          <w:b/>
          <w:i/>
          <w:color w:val="000000" w:themeColor="text1"/>
          <w:sz w:val="24"/>
          <w:szCs w:val="24"/>
          <w:lang w:val="en-GB"/>
        </w:rPr>
        <w:t>earnings per share</w:t>
      </w:r>
      <w:r w:rsidRPr="0031264C">
        <w:rPr>
          <w:rFonts w:ascii="Times New Roman" w:eastAsia="Times New Roman" w:hAnsi="Times New Roman" w:cs="Times New Roman"/>
          <w:color w:val="000000" w:themeColor="text1"/>
          <w:sz w:val="24"/>
          <w:szCs w:val="24"/>
          <w:lang w:val="en-GB"/>
        </w:rPr>
        <w:t xml:space="preserve"> (Abdi </w:t>
      </w:r>
      <w:r w:rsidRPr="0031264C">
        <w:rPr>
          <w:rFonts w:ascii="Times New Roman" w:eastAsia="Times New Roman" w:hAnsi="Times New Roman" w:cs="Times New Roman"/>
          <w:i/>
          <w:color w:val="000000" w:themeColor="text1"/>
          <w:sz w:val="24"/>
          <w:szCs w:val="24"/>
          <w:lang w:val="en-GB"/>
        </w:rPr>
        <w:t>et al.</w:t>
      </w:r>
      <w:r w:rsidRPr="0031264C">
        <w:rPr>
          <w:rFonts w:ascii="Times New Roman" w:eastAsia="Times New Roman" w:hAnsi="Times New Roman" w:cs="Times New Roman"/>
          <w:color w:val="000000" w:themeColor="text1"/>
          <w:sz w:val="24"/>
          <w:szCs w:val="24"/>
          <w:lang w:val="en-GB"/>
        </w:rPr>
        <w:t xml:space="preserve"> 2020). As Sweets Plc was able to maintain sound profitability, liquidity and efficiency, its earnings per share have been improved. As per analysis of stock holding days, it has been seen that </w:t>
      </w:r>
      <w:r w:rsidRPr="0031264C">
        <w:rPr>
          <w:rFonts w:ascii="Times New Roman" w:eastAsia="Times New Roman" w:hAnsi="Times New Roman" w:cs="Times New Roman"/>
          <w:b/>
          <w:i/>
          <w:color w:val="000000" w:themeColor="text1"/>
          <w:sz w:val="24"/>
          <w:szCs w:val="24"/>
          <w:lang w:val="en-GB"/>
        </w:rPr>
        <w:t>stock holding days</w:t>
      </w:r>
      <w:r w:rsidRPr="0031264C">
        <w:rPr>
          <w:rFonts w:ascii="Times New Roman" w:eastAsia="Times New Roman" w:hAnsi="Times New Roman" w:cs="Times New Roman"/>
          <w:color w:val="000000" w:themeColor="text1"/>
          <w:sz w:val="24"/>
          <w:szCs w:val="24"/>
          <w:lang w:val="en-GB"/>
        </w:rPr>
        <w:t xml:space="preserve"> of Sweets Plc have increased by 2 days in 2021. Main reason for such an increase is taking a long time to convert inventories into cash. As per Ali </w:t>
      </w:r>
      <w:r w:rsidRPr="0031264C">
        <w:rPr>
          <w:rFonts w:ascii="Times New Roman" w:eastAsia="Times New Roman" w:hAnsi="Times New Roman" w:cs="Times New Roman"/>
          <w:i/>
          <w:color w:val="000000" w:themeColor="text1"/>
          <w:sz w:val="24"/>
          <w:szCs w:val="24"/>
          <w:lang w:val="en-GB"/>
        </w:rPr>
        <w:t>et al.</w:t>
      </w:r>
      <w:r w:rsidRPr="0031264C">
        <w:rPr>
          <w:rFonts w:ascii="Times New Roman" w:eastAsia="Times New Roman" w:hAnsi="Times New Roman" w:cs="Times New Roman"/>
          <w:color w:val="000000" w:themeColor="text1"/>
          <w:sz w:val="24"/>
          <w:szCs w:val="24"/>
          <w:lang w:val="en-GB"/>
        </w:rPr>
        <w:t xml:space="preserve"> (2018), having an increasing trend of stock holding days highlights reduced efficiency of a company. Besides, computation of </w:t>
      </w:r>
      <w:r w:rsidRPr="0031264C">
        <w:rPr>
          <w:rFonts w:ascii="Times New Roman" w:eastAsia="Times New Roman" w:hAnsi="Times New Roman" w:cs="Times New Roman"/>
          <w:b/>
          <w:i/>
          <w:color w:val="000000" w:themeColor="text1"/>
          <w:sz w:val="24"/>
          <w:szCs w:val="24"/>
          <w:lang w:val="en-GB"/>
        </w:rPr>
        <w:t>gearing ratio</w:t>
      </w:r>
      <w:r w:rsidRPr="0031264C">
        <w:rPr>
          <w:rFonts w:ascii="Times New Roman" w:eastAsia="Times New Roman" w:hAnsi="Times New Roman" w:cs="Times New Roman"/>
          <w:color w:val="000000" w:themeColor="text1"/>
          <w:sz w:val="24"/>
          <w:szCs w:val="24"/>
          <w:lang w:val="en-GB"/>
        </w:rPr>
        <w:t xml:space="preserve"> reflects results of 2.15 in 2021 and 2.46 in 2020. This means value of debt capital in capital structure of Sweets Plc has been reduced in comparison to equity capital. As per the views of Hedayat Mazhari </w:t>
      </w:r>
      <w:r w:rsidRPr="0031264C">
        <w:rPr>
          <w:rFonts w:ascii="Times New Roman" w:eastAsia="Times New Roman" w:hAnsi="Times New Roman" w:cs="Times New Roman"/>
          <w:i/>
          <w:color w:val="000000" w:themeColor="text1"/>
          <w:sz w:val="24"/>
          <w:szCs w:val="24"/>
          <w:lang w:val="en-GB"/>
        </w:rPr>
        <w:t>et al.</w:t>
      </w:r>
      <w:r w:rsidRPr="0031264C">
        <w:rPr>
          <w:rFonts w:ascii="Times New Roman" w:eastAsia="Times New Roman" w:hAnsi="Times New Roman" w:cs="Times New Roman"/>
          <w:color w:val="000000" w:themeColor="text1"/>
          <w:sz w:val="24"/>
          <w:szCs w:val="24"/>
          <w:lang w:val="en-GB"/>
        </w:rPr>
        <w:t xml:space="preserve"> (2021), having high equity capital provides stability to company's capital structure. Sweets Plc has improved the figure of equities and declined liabilities which is good for its solvency. In essence, Sweets Plc has a strong financial position &amp; performance in 2021 as compared to 2020.              </w:t>
      </w:r>
    </w:p>
    <w:p w:rsidR="00F620A2" w:rsidRPr="0031264C" w:rsidRDefault="00F620A2">
      <w:pPr>
        <w:rPr>
          <w:rFonts w:ascii="Times New Roman" w:eastAsia="Times New Roman" w:hAnsi="Times New Roman" w:cs="Times New Roman"/>
          <w:b/>
          <w:color w:val="000000" w:themeColor="text1"/>
          <w:sz w:val="24"/>
          <w:szCs w:val="24"/>
          <w:lang w:val="en-GB"/>
        </w:rPr>
      </w:pPr>
      <w:bookmarkStart w:id="14" w:name="_5swmiqipub5e" w:colFirst="0" w:colLast="0"/>
      <w:bookmarkEnd w:id="14"/>
      <w:r w:rsidRPr="0031264C">
        <w:rPr>
          <w:color w:val="000000" w:themeColor="text1"/>
          <w:lang w:val="en-GB"/>
        </w:rPr>
        <w:br w:type="page"/>
      </w:r>
    </w:p>
    <w:p w:rsidR="008E5605" w:rsidRPr="0031264C" w:rsidRDefault="00C7440D">
      <w:pPr>
        <w:pStyle w:val="1"/>
        <w:rPr>
          <w:color w:val="000000" w:themeColor="text1"/>
          <w:lang w:val="en-GB"/>
        </w:rPr>
      </w:pPr>
      <w:bookmarkStart w:id="15" w:name="_Toc123137028"/>
      <w:r w:rsidRPr="0031264C">
        <w:rPr>
          <w:color w:val="000000" w:themeColor="text1"/>
          <w:lang w:val="en-GB"/>
        </w:rPr>
        <w:lastRenderedPageBreak/>
        <w:t>Conclusion</w:t>
      </w:r>
      <w:bookmarkEnd w:id="15"/>
    </w:p>
    <w:p w:rsidR="008E5605" w:rsidRPr="0031264C" w:rsidRDefault="00C7440D">
      <w:pPr>
        <w:pStyle w:val="normal"/>
        <w:spacing w:before="200" w:after="200" w:line="360" w:lineRule="auto"/>
        <w:jc w:val="both"/>
        <w:rPr>
          <w:rFonts w:ascii="Times New Roman" w:eastAsia="Times New Roman" w:hAnsi="Times New Roman" w:cs="Times New Roman"/>
          <w:color w:val="000000" w:themeColor="text1"/>
          <w:sz w:val="24"/>
          <w:szCs w:val="24"/>
          <w:lang w:val="en-GB"/>
        </w:rPr>
      </w:pPr>
      <w:r w:rsidRPr="0031264C">
        <w:rPr>
          <w:rFonts w:ascii="Times New Roman" w:eastAsia="Times New Roman" w:hAnsi="Times New Roman" w:cs="Times New Roman"/>
          <w:color w:val="000000" w:themeColor="text1"/>
          <w:sz w:val="24"/>
          <w:szCs w:val="24"/>
          <w:lang w:val="en-GB"/>
        </w:rPr>
        <w:t>Appropriate incorporation of accounting and finance-related concepts allows the venture to maintain feasible performance. As per the computation of financial statements of Wales Plc, it can be concluded that the company has sound financial position &amp; performance. However, net losses occurred at year-end which must be recovered. Besides, retail computations of Sweets Plc highlight sound profitability, efficiency, solvency, and liquidity position. However, the company must take less time to convert inventories into cash or sales. The company must also take suitable measures to maintain a viable proportion of working capital.</w:t>
      </w:r>
      <w:r w:rsidRPr="0031264C">
        <w:rPr>
          <w:color w:val="000000" w:themeColor="text1"/>
          <w:lang w:val="en-GB"/>
        </w:rPr>
        <w:br w:type="page"/>
      </w:r>
    </w:p>
    <w:p w:rsidR="008E5605" w:rsidRPr="0031264C" w:rsidRDefault="00C7440D">
      <w:pPr>
        <w:pStyle w:val="1"/>
        <w:rPr>
          <w:color w:val="000000" w:themeColor="text1"/>
          <w:lang w:val="en-GB"/>
        </w:rPr>
      </w:pPr>
      <w:bookmarkStart w:id="16" w:name="_w9omk0g6h03w" w:colFirst="0" w:colLast="0"/>
      <w:bookmarkStart w:id="17" w:name="_Toc123137029"/>
      <w:bookmarkEnd w:id="16"/>
      <w:r w:rsidRPr="0031264C">
        <w:rPr>
          <w:color w:val="000000" w:themeColor="text1"/>
          <w:lang w:val="en-GB"/>
        </w:rPr>
        <w:lastRenderedPageBreak/>
        <w:t>References</w:t>
      </w:r>
      <w:bookmarkEnd w:id="17"/>
      <w:r w:rsidRPr="0031264C">
        <w:rPr>
          <w:color w:val="000000" w:themeColor="text1"/>
          <w:lang w:val="en-GB"/>
        </w:rPr>
        <w:t xml:space="preserve">    </w:t>
      </w:r>
    </w:p>
    <w:p w:rsidR="00316463" w:rsidRPr="0031264C" w:rsidRDefault="00316463" w:rsidP="00316463">
      <w:pPr>
        <w:spacing w:before="240" w:line="360" w:lineRule="auto"/>
        <w:jc w:val="both"/>
        <w:rPr>
          <w:rFonts w:ascii="Times New Roman" w:hAnsi="Times New Roman" w:cs="Times New Roman"/>
          <w:color w:val="000000" w:themeColor="text1"/>
          <w:sz w:val="24"/>
          <w:szCs w:val="24"/>
          <w:shd w:val="clear" w:color="auto" w:fill="FFFFFF"/>
          <w:lang w:val="en-GB"/>
        </w:rPr>
      </w:pPr>
      <w:r w:rsidRPr="0031264C">
        <w:rPr>
          <w:rFonts w:ascii="Times New Roman" w:hAnsi="Times New Roman" w:cs="Times New Roman"/>
          <w:color w:val="000000" w:themeColor="text1"/>
          <w:sz w:val="24"/>
          <w:szCs w:val="24"/>
          <w:shd w:val="clear" w:color="auto" w:fill="FFFFFF"/>
          <w:lang w:val="en-GB"/>
        </w:rPr>
        <w:t>Abdi, Y., Li, X. and Càmara-Turull, X., (2020). Impact of sustainability on firm value and financial performance in the air transport industry. </w:t>
      </w:r>
      <w:r w:rsidRPr="0031264C">
        <w:rPr>
          <w:rFonts w:ascii="Times New Roman" w:hAnsi="Times New Roman" w:cs="Times New Roman"/>
          <w:i/>
          <w:iCs/>
          <w:color w:val="000000" w:themeColor="text1"/>
          <w:sz w:val="24"/>
          <w:szCs w:val="24"/>
          <w:shd w:val="clear" w:color="auto" w:fill="FFFFFF"/>
          <w:lang w:val="en-GB"/>
        </w:rPr>
        <w:t>Sustainability</w:t>
      </w:r>
      <w:r w:rsidRPr="0031264C">
        <w:rPr>
          <w:rFonts w:ascii="Times New Roman" w:hAnsi="Times New Roman" w:cs="Times New Roman"/>
          <w:color w:val="000000" w:themeColor="text1"/>
          <w:sz w:val="24"/>
          <w:szCs w:val="24"/>
          <w:shd w:val="clear" w:color="auto" w:fill="FFFFFF"/>
          <w:lang w:val="en-GB"/>
        </w:rPr>
        <w:t>, </w:t>
      </w:r>
      <w:r w:rsidRPr="0031264C">
        <w:rPr>
          <w:rFonts w:ascii="Times New Roman" w:hAnsi="Times New Roman" w:cs="Times New Roman"/>
          <w:i/>
          <w:iCs/>
          <w:color w:val="000000" w:themeColor="text1"/>
          <w:sz w:val="24"/>
          <w:szCs w:val="24"/>
          <w:shd w:val="clear" w:color="auto" w:fill="FFFFFF"/>
          <w:lang w:val="en-GB"/>
        </w:rPr>
        <w:t>12</w:t>
      </w:r>
      <w:r w:rsidRPr="0031264C">
        <w:rPr>
          <w:rFonts w:ascii="Times New Roman" w:hAnsi="Times New Roman" w:cs="Times New Roman"/>
          <w:color w:val="000000" w:themeColor="text1"/>
          <w:sz w:val="24"/>
          <w:szCs w:val="24"/>
          <w:shd w:val="clear" w:color="auto" w:fill="FFFFFF"/>
          <w:lang w:val="en-GB"/>
        </w:rPr>
        <w:t>(23), pp.99-157.</w:t>
      </w:r>
    </w:p>
    <w:p w:rsidR="00316463" w:rsidRPr="0031264C" w:rsidRDefault="00316463" w:rsidP="00316463">
      <w:pPr>
        <w:spacing w:before="240" w:line="360" w:lineRule="auto"/>
        <w:jc w:val="both"/>
        <w:rPr>
          <w:rFonts w:ascii="Times New Roman" w:hAnsi="Times New Roman" w:cs="Times New Roman"/>
          <w:color w:val="000000" w:themeColor="text1"/>
          <w:sz w:val="24"/>
          <w:szCs w:val="24"/>
          <w:shd w:val="clear" w:color="auto" w:fill="FFFFFF"/>
          <w:lang w:val="en-GB"/>
        </w:rPr>
      </w:pPr>
      <w:r w:rsidRPr="0031264C">
        <w:rPr>
          <w:rFonts w:ascii="Times New Roman" w:hAnsi="Times New Roman" w:cs="Times New Roman"/>
          <w:color w:val="000000" w:themeColor="text1"/>
          <w:sz w:val="24"/>
          <w:szCs w:val="24"/>
          <w:shd w:val="clear" w:color="auto" w:fill="FFFFFF"/>
          <w:lang w:val="en-GB"/>
        </w:rPr>
        <w:t>Ali, U., Ormal, L. and Ahmad, F., (2018). Impact of free cash flow on profitability of the firms in automobile sector of Germany. </w:t>
      </w:r>
      <w:r w:rsidRPr="0031264C">
        <w:rPr>
          <w:rFonts w:ascii="Times New Roman" w:hAnsi="Times New Roman" w:cs="Times New Roman"/>
          <w:i/>
          <w:iCs/>
          <w:color w:val="000000" w:themeColor="text1"/>
          <w:sz w:val="24"/>
          <w:szCs w:val="24"/>
          <w:shd w:val="clear" w:color="auto" w:fill="FFFFFF"/>
          <w:lang w:val="en-GB"/>
        </w:rPr>
        <w:t>Journal of Economics and Management Sciences</w:t>
      </w:r>
      <w:r w:rsidRPr="0031264C">
        <w:rPr>
          <w:rFonts w:ascii="Times New Roman" w:hAnsi="Times New Roman" w:cs="Times New Roman"/>
          <w:color w:val="000000" w:themeColor="text1"/>
          <w:sz w:val="24"/>
          <w:szCs w:val="24"/>
          <w:shd w:val="clear" w:color="auto" w:fill="FFFFFF"/>
          <w:lang w:val="en-GB"/>
        </w:rPr>
        <w:t>, </w:t>
      </w:r>
      <w:r w:rsidRPr="0031264C">
        <w:rPr>
          <w:rFonts w:ascii="Times New Roman" w:hAnsi="Times New Roman" w:cs="Times New Roman"/>
          <w:i/>
          <w:iCs/>
          <w:color w:val="000000" w:themeColor="text1"/>
          <w:sz w:val="24"/>
          <w:szCs w:val="24"/>
          <w:shd w:val="clear" w:color="auto" w:fill="FFFFFF"/>
          <w:lang w:val="en-GB"/>
        </w:rPr>
        <w:t>1</w:t>
      </w:r>
      <w:r w:rsidRPr="0031264C">
        <w:rPr>
          <w:rFonts w:ascii="Times New Roman" w:hAnsi="Times New Roman" w:cs="Times New Roman"/>
          <w:color w:val="000000" w:themeColor="text1"/>
          <w:sz w:val="24"/>
          <w:szCs w:val="24"/>
          <w:shd w:val="clear" w:color="auto" w:fill="FFFFFF"/>
          <w:lang w:val="en-GB"/>
        </w:rPr>
        <w:t>(1), pp.57-67.</w:t>
      </w:r>
    </w:p>
    <w:p w:rsidR="00316463" w:rsidRPr="0031264C" w:rsidRDefault="00316463" w:rsidP="00316463">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31264C">
        <w:rPr>
          <w:rFonts w:ascii="Times New Roman" w:hAnsi="Times New Roman" w:cs="Times New Roman"/>
          <w:color w:val="000000" w:themeColor="text1"/>
          <w:sz w:val="24"/>
          <w:szCs w:val="24"/>
          <w:shd w:val="clear" w:color="auto" w:fill="FFFFFF"/>
          <w:lang w:val="en-GB"/>
        </w:rPr>
        <w:t>Arnold, G. and Lewis, D.S., (2019). </w:t>
      </w:r>
      <w:r w:rsidRPr="0031264C">
        <w:rPr>
          <w:rFonts w:ascii="Times New Roman" w:hAnsi="Times New Roman" w:cs="Times New Roman"/>
          <w:i/>
          <w:iCs/>
          <w:color w:val="000000" w:themeColor="text1"/>
          <w:sz w:val="24"/>
          <w:szCs w:val="24"/>
          <w:shd w:val="clear" w:color="auto" w:fill="FFFFFF"/>
          <w:lang w:val="en-GB"/>
        </w:rPr>
        <w:t>Corporate financial management, 6</w:t>
      </w:r>
      <w:r w:rsidRPr="0031264C">
        <w:rPr>
          <w:rFonts w:ascii="Times New Roman" w:hAnsi="Times New Roman" w:cs="Times New Roman"/>
          <w:i/>
          <w:iCs/>
          <w:color w:val="000000" w:themeColor="text1"/>
          <w:sz w:val="24"/>
          <w:szCs w:val="24"/>
          <w:shd w:val="clear" w:color="auto" w:fill="FFFFFF"/>
          <w:vertAlign w:val="superscript"/>
          <w:lang w:val="en-GB"/>
        </w:rPr>
        <w:t>th</w:t>
      </w:r>
      <w:r w:rsidRPr="0031264C">
        <w:rPr>
          <w:rFonts w:ascii="Times New Roman" w:hAnsi="Times New Roman" w:cs="Times New Roman"/>
          <w:i/>
          <w:iCs/>
          <w:color w:val="000000" w:themeColor="text1"/>
          <w:sz w:val="24"/>
          <w:szCs w:val="24"/>
          <w:shd w:val="clear" w:color="auto" w:fill="FFFFFF"/>
          <w:lang w:val="en-GB"/>
        </w:rPr>
        <w:t xml:space="preserve"> edition</w:t>
      </w:r>
      <w:r w:rsidRPr="0031264C">
        <w:rPr>
          <w:rFonts w:ascii="Times New Roman" w:hAnsi="Times New Roman" w:cs="Times New Roman"/>
          <w:color w:val="000000" w:themeColor="text1"/>
          <w:sz w:val="24"/>
          <w:szCs w:val="24"/>
          <w:shd w:val="clear" w:color="auto" w:fill="FFFFFF"/>
          <w:lang w:val="en-GB"/>
        </w:rPr>
        <w:t>. Pearson: UK.</w:t>
      </w:r>
    </w:p>
    <w:p w:rsidR="00316463" w:rsidRPr="0031264C" w:rsidRDefault="00316463" w:rsidP="00316463">
      <w:pPr>
        <w:spacing w:before="240" w:after="240" w:line="360" w:lineRule="auto"/>
        <w:jc w:val="both"/>
        <w:rPr>
          <w:rFonts w:ascii="Times New Roman" w:hAnsi="Times New Roman" w:cs="Times New Roman"/>
          <w:color w:val="000000" w:themeColor="text1"/>
          <w:sz w:val="24"/>
          <w:szCs w:val="24"/>
          <w:lang w:val="en-GB"/>
        </w:rPr>
      </w:pPr>
      <w:r w:rsidRPr="0031264C">
        <w:rPr>
          <w:rFonts w:ascii="Times New Roman" w:hAnsi="Times New Roman" w:cs="Times New Roman"/>
          <w:color w:val="000000" w:themeColor="text1"/>
          <w:sz w:val="24"/>
          <w:szCs w:val="24"/>
          <w:lang w:val="en-GB"/>
        </w:rPr>
        <w:t>Atrill, P. and McLaney, E. (2018). Accounting and Finance for Non-Specialists, 10</w:t>
      </w:r>
      <w:r w:rsidRPr="0031264C">
        <w:rPr>
          <w:rFonts w:ascii="Times New Roman" w:hAnsi="Times New Roman" w:cs="Times New Roman"/>
          <w:color w:val="000000" w:themeColor="text1"/>
          <w:sz w:val="24"/>
          <w:szCs w:val="24"/>
          <w:vertAlign w:val="superscript"/>
          <w:lang w:val="en-GB"/>
        </w:rPr>
        <w:t>th</w:t>
      </w:r>
      <w:r w:rsidRPr="0031264C">
        <w:rPr>
          <w:rFonts w:ascii="Times New Roman" w:hAnsi="Times New Roman" w:cs="Times New Roman"/>
          <w:color w:val="000000" w:themeColor="text1"/>
          <w:sz w:val="24"/>
          <w:szCs w:val="24"/>
          <w:lang w:val="en-GB"/>
        </w:rPr>
        <w:t xml:space="preserve"> Edition, Harlow: Pearson: UK.</w:t>
      </w:r>
    </w:p>
    <w:p w:rsidR="00316463" w:rsidRPr="0031264C" w:rsidRDefault="00316463" w:rsidP="00316463">
      <w:pPr>
        <w:spacing w:after="240" w:line="360" w:lineRule="auto"/>
        <w:jc w:val="both"/>
        <w:rPr>
          <w:rFonts w:ascii="Times New Roman" w:hAnsi="Times New Roman" w:cs="Times New Roman"/>
          <w:color w:val="000000" w:themeColor="text1"/>
          <w:sz w:val="24"/>
          <w:szCs w:val="24"/>
          <w:lang w:val="en-GB"/>
        </w:rPr>
      </w:pPr>
      <w:bookmarkStart w:id="18" w:name="_Hlk118227670"/>
      <w:r w:rsidRPr="0031264C">
        <w:rPr>
          <w:rFonts w:ascii="Times New Roman" w:hAnsi="Times New Roman" w:cs="Times New Roman"/>
          <w:color w:val="000000" w:themeColor="text1"/>
          <w:sz w:val="24"/>
          <w:szCs w:val="24"/>
          <w:lang w:val="en-GB"/>
        </w:rPr>
        <w:t>Drury, C.M., (2013). </w:t>
      </w:r>
      <w:bookmarkEnd w:id="18"/>
      <w:r w:rsidRPr="0031264C">
        <w:rPr>
          <w:rFonts w:ascii="Times New Roman" w:hAnsi="Times New Roman" w:cs="Times New Roman"/>
          <w:i/>
          <w:iCs/>
          <w:color w:val="000000" w:themeColor="text1"/>
          <w:sz w:val="24"/>
          <w:szCs w:val="24"/>
          <w:lang w:val="en-GB"/>
        </w:rPr>
        <w:t>Management and cost accounting, 4</w:t>
      </w:r>
      <w:r w:rsidRPr="0031264C">
        <w:rPr>
          <w:rFonts w:ascii="Times New Roman" w:hAnsi="Times New Roman" w:cs="Times New Roman"/>
          <w:i/>
          <w:iCs/>
          <w:color w:val="000000" w:themeColor="text1"/>
          <w:sz w:val="24"/>
          <w:szCs w:val="24"/>
          <w:vertAlign w:val="superscript"/>
          <w:lang w:val="en-GB"/>
        </w:rPr>
        <w:t>th</w:t>
      </w:r>
      <w:r w:rsidRPr="0031264C">
        <w:rPr>
          <w:rFonts w:ascii="Times New Roman" w:hAnsi="Times New Roman" w:cs="Times New Roman"/>
          <w:color w:val="000000" w:themeColor="text1"/>
          <w:sz w:val="24"/>
          <w:szCs w:val="24"/>
          <w:lang w:val="en-GB"/>
        </w:rPr>
        <w:t>Edition. Springer: UK.</w:t>
      </w:r>
    </w:p>
    <w:p w:rsidR="00316463" w:rsidRPr="0031264C" w:rsidRDefault="00316463" w:rsidP="00316463">
      <w:pPr>
        <w:spacing w:before="240" w:after="240" w:line="360" w:lineRule="auto"/>
        <w:jc w:val="both"/>
        <w:rPr>
          <w:rFonts w:ascii="Times New Roman" w:hAnsi="Times New Roman" w:cs="Times New Roman"/>
          <w:color w:val="000000" w:themeColor="text1"/>
          <w:sz w:val="24"/>
          <w:szCs w:val="24"/>
          <w:lang w:val="en-GB"/>
        </w:rPr>
      </w:pPr>
      <w:r w:rsidRPr="0031264C">
        <w:rPr>
          <w:rFonts w:ascii="Times New Roman" w:hAnsi="Times New Roman" w:cs="Times New Roman"/>
          <w:color w:val="000000" w:themeColor="text1"/>
          <w:sz w:val="24"/>
          <w:szCs w:val="24"/>
          <w:lang w:val="en-GB"/>
        </w:rPr>
        <w:t>Dyson, J. (2010). Accounting for Non-Accounting Students, 8</w:t>
      </w:r>
      <w:r w:rsidRPr="0031264C">
        <w:rPr>
          <w:rFonts w:ascii="Times New Roman" w:hAnsi="Times New Roman" w:cs="Times New Roman"/>
          <w:color w:val="000000" w:themeColor="text1"/>
          <w:sz w:val="24"/>
          <w:szCs w:val="24"/>
          <w:vertAlign w:val="superscript"/>
          <w:lang w:val="en-GB"/>
        </w:rPr>
        <w:t>th</w:t>
      </w:r>
      <w:r w:rsidRPr="0031264C">
        <w:rPr>
          <w:rFonts w:ascii="Times New Roman" w:hAnsi="Times New Roman" w:cs="Times New Roman"/>
          <w:color w:val="000000" w:themeColor="text1"/>
          <w:sz w:val="24"/>
          <w:szCs w:val="24"/>
          <w:lang w:val="en-GB"/>
        </w:rPr>
        <w:t xml:space="preserve"> Edition, Harlow: FT Prentice Hall: UK.</w:t>
      </w:r>
    </w:p>
    <w:p w:rsidR="00316463" w:rsidRPr="0031264C" w:rsidRDefault="00316463" w:rsidP="00316463">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31264C">
        <w:rPr>
          <w:rFonts w:ascii="Times New Roman" w:hAnsi="Times New Roman" w:cs="Times New Roman"/>
          <w:color w:val="000000" w:themeColor="text1"/>
          <w:sz w:val="24"/>
          <w:szCs w:val="24"/>
          <w:shd w:val="clear" w:color="auto" w:fill="FFFFFF"/>
          <w:lang w:val="en-GB"/>
        </w:rPr>
        <w:t>Guerard, J.B., Saxena, A. and Gultekin, M., (2021). Financing Current Operations and Efficiency Ratio Analysis. In </w:t>
      </w:r>
      <w:r w:rsidRPr="0031264C">
        <w:rPr>
          <w:rFonts w:ascii="Times New Roman" w:hAnsi="Times New Roman" w:cs="Times New Roman"/>
          <w:i/>
          <w:iCs/>
          <w:color w:val="000000" w:themeColor="text1"/>
          <w:sz w:val="24"/>
          <w:szCs w:val="24"/>
          <w:shd w:val="clear" w:color="auto" w:fill="FFFFFF"/>
          <w:lang w:val="en-GB"/>
        </w:rPr>
        <w:t>Quantitative Corporate Finance</w:t>
      </w:r>
      <w:r w:rsidRPr="0031264C">
        <w:rPr>
          <w:rFonts w:ascii="Times New Roman" w:hAnsi="Times New Roman" w:cs="Times New Roman"/>
          <w:color w:val="000000" w:themeColor="text1"/>
          <w:sz w:val="24"/>
          <w:szCs w:val="24"/>
          <w:shd w:val="clear" w:color="auto" w:fill="FFFFFF"/>
          <w:lang w:val="en-GB"/>
        </w:rPr>
        <w:t xml:space="preserve">, </w:t>
      </w:r>
      <w:r w:rsidRPr="0031264C">
        <w:rPr>
          <w:rFonts w:ascii="Times New Roman" w:hAnsi="Times New Roman" w:cs="Times New Roman"/>
          <w:i/>
          <w:color w:val="000000" w:themeColor="text1"/>
          <w:sz w:val="24"/>
          <w:szCs w:val="24"/>
          <w:shd w:val="clear" w:color="auto" w:fill="FFFFFF"/>
          <w:lang w:val="en-GB"/>
        </w:rPr>
        <w:t>2</w:t>
      </w:r>
      <w:r w:rsidRPr="0031264C">
        <w:rPr>
          <w:rFonts w:ascii="Times New Roman" w:hAnsi="Times New Roman" w:cs="Times New Roman"/>
          <w:color w:val="000000" w:themeColor="text1"/>
          <w:sz w:val="24"/>
          <w:szCs w:val="24"/>
          <w:shd w:val="clear" w:color="auto" w:fill="FFFFFF"/>
          <w:lang w:val="en-GB"/>
        </w:rPr>
        <w:t>(1), pp. 79-98.</w:t>
      </w:r>
    </w:p>
    <w:p w:rsidR="00316463" w:rsidRPr="0031264C" w:rsidRDefault="00316463" w:rsidP="00316463">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31264C">
        <w:rPr>
          <w:rFonts w:ascii="Times New Roman" w:hAnsi="Times New Roman" w:cs="Times New Roman"/>
          <w:color w:val="000000" w:themeColor="text1"/>
          <w:sz w:val="24"/>
          <w:szCs w:val="24"/>
          <w:shd w:val="clear" w:color="auto" w:fill="FFFFFF"/>
          <w:lang w:val="en-GB"/>
        </w:rPr>
        <w:t>Hedayat Mazhari, R., Khoramabadi, M. and Lashgar Ara, S., (2021). Assessing Efficiency Using Data Envelopment Analysis Method and its Relation to Financial Ratios. </w:t>
      </w:r>
      <w:r w:rsidRPr="0031264C">
        <w:rPr>
          <w:rFonts w:ascii="Times New Roman" w:hAnsi="Times New Roman" w:cs="Times New Roman"/>
          <w:i/>
          <w:iCs/>
          <w:color w:val="000000" w:themeColor="text1"/>
          <w:sz w:val="24"/>
          <w:szCs w:val="24"/>
          <w:shd w:val="clear" w:color="auto" w:fill="FFFFFF"/>
          <w:lang w:val="en-GB"/>
        </w:rPr>
        <w:t>Journal of Financial Accounting Research</w:t>
      </w:r>
      <w:r w:rsidRPr="0031264C">
        <w:rPr>
          <w:rFonts w:ascii="Times New Roman" w:hAnsi="Times New Roman" w:cs="Times New Roman"/>
          <w:color w:val="000000" w:themeColor="text1"/>
          <w:sz w:val="24"/>
          <w:szCs w:val="24"/>
          <w:shd w:val="clear" w:color="auto" w:fill="FFFFFF"/>
          <w:lang w:val="en-GB"/>
        </w:rPr>
        <w:t>, </w:t>
      </w:r>
      <w:r w:rsidRPr="0031264C">
        <w:rPr>
          <w:rFonts w:ascii="Times New Roman" w:hAnsi="Times New Roman" w:cs="Times New Roman"/>
          <w:i/>
          <w:iCs/>
          <w:color w:val="000000" w:themeColor="text1"/>
          <w:sz w:val="24"/>
          <w:szCs w:val="24"/>
          <w:shd w:val="clear" w:color="auto" w:fill="FFFFFF"/>
          <w:lang w:val="en-GB"/>
        </w:rPr>
        <w:t>13</w:t>
      </w:r>
      <w:r w:rsidRPr="0031264C">
        <w:rPr>
          <w:rFonts w:ascii="Times New Roman" w:hAnsi="Times New Roman" w:cs="Times New Roman"/>
          <w:color w:val="000000" w:themeColor="text1"/>
          <w:sz w:val="24"/>
          <w:szCs w:val="24"/>
          <w:shd w:val="clear" w:color="auto" w:fill="FFFFFF"/>
          <w:lang w:val="en-GB"/>
        </w:rPr>
        <w:t>(3), pp.89-110.</w:t>
      </w:r>
    </w:p>
    <w:p w:rsidR="00316463" w:rsidRPr="0031264C" w:rsidRDefault="00316463" w:rsidP="00316463">
      <w:pPr>
        <w:spacing w:before="240" w:line="360" w:lineRule="auto"/>
        <w:jc w:val="both"/>
        <w:rPr>
          <w:rFonts w:ascii="Times New Roman" w:hAnsi="Times New Roman" w:cs="Times New Roman"/>
          <w:color w:val="000000" w:themeColor="text1"/>
          <w:sz w:val="24"/>
          <w:szCs w:val="24"/>
          <w:shd w:val="clear" w:color="auto" w:fill="FFFFFF"/>
          <w:lang w:val="en-GB"/>
        </w:rPr>
      </w:pPr>
      <w:r w:rsidRPr="0031264C">
        <w:rPr>
          <w:rFonts w:ascii="Times New Roman" w:hAnsi="Times New Roman" w:cs="Times New Roman"/>
          <w:color w:val="000000" w:themeColor="text1"/>
          <w:sz w:val="24"/>
          <w:szCs w:val="24"/>
          <w:shd w:val="clear" w:color="auto" w:fill="FFFFFF"/>
          <w:lang w:val="en-GB"/>
        </w:rPr>
        <w:t>Jiménez, R.G. and Grima, A.Z., (2020). Corporate social responsibility and cost of equity: literature review and suggestions for future research. </w:t>
      </w:r>
      <w:r w:rsidRPr="0031264C">
        <w:rPr>
          <w:rFonts w:ascii="Times New Roman" w:hAnsi="Times New Roman" w:cs="Times New Roman"/>
          <w:i/>
          <w:iCs/>
          <w:color w:val="000000" w:themeColor="text1"/>
          <w:sz w:val="24"/>
          <w:szCs w:val="24"/>
          <w:shd w:val="clear" w:color="auto" w:fill="FFFFFF"/>
          <w:lang w:val="en-GB"/>
        </w:rPr>
        <w:t>Journal of Business, Accounting and Finance Perspectives</w:t>
      </w:r>
      <w:r w:rsidRPr="0031264C">
        <w:rPr>
          <w:rFonts w:ascii="Times New Roman" w:hAnsi="Times New Roman" w:cs="Times New Roman"/>
          <w:color w:val="000000" w:themeColor="text1"/>
          <w:sz w:val="24"/>
          <w:szCs w:val="24"/>
          <w:shd w:val="clear" w:color="auto" w:fill="FFFFFF"/>
          <w:lang w:val="en-GB"/>
        </w:rPr>
        <w:t>, </w:t>
      </w:r>
      <w:r w:rsidRPr="0031264C">
        <w:rPr>
          <w:rFonts w:ascii="Times New Roman" w:hAnsi="Times New Roman" w:cs="Times New Roman"/>
          <w:i/>
          <w:iCs/>
          <w:color w:val="000000" w:themeColor="text1"/>
          <w:sz w:val="24"/>
          <w:szCs w:val="24"/>
          <w:shd w:val="clear" w:color="auto" w:fill="FFFFFF"/>
          <w:lang w:val="en-GB"/>
        </w:rPr>
        <w:t>2</w:t>
      </w:r>
      <w:r w:rsidRPr="0031264C">
        <w:rPr>
          <w:rFonts w:ascii="Times New Roman" w:hAnsi="Times New Roman" w:cs="Times New Roman"/>
          <w:color w:val="000000" w:themeColor="text1"/>
          <w:sz w:val="24"/>
          <w:szCs w:val="24"/>
          <w:shd w:val="clear" w:color="auto" w:fill="FFFFFF"/>
          <w:lang w:val="en-GB"/>
        </w:rPr>
        <w:t>(3), pp.15-20.</w:t>
      </w:r>
    </w:p>
    <w:p w:rsidR="00316463" w:rsidRPr="0031264C" w:rsidRDefault="00316463" w:rsidP="00316463">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31264C">
        <w:rPr>
          <w:rFonts w:ascii="Times New Roman" w:hAnsi="Times New Roman" w:cs="Times New Roman"/>
          <w:color w:val="000000" w:themeColor="text1"/>
          <w:sz w:val="24"/>
          <w:szCs w:val="24"/>
          <w:shd w:val="clear" w:color="auto" w:fill="FFFFFF"/>
          <w:lang w:val="en-GB"/>
        </w:rPr>
        <w:t>Kadim, A., Sunardi, N. and Husain, T., (2020). The modeling firm's value based on financial ratios, intellectual capital and dividend policy. </w:t>
      </w:r>
      <w:r w:rsidRPr="0031264C">
        <w:rPr>
          <w:rFonts w:ascii="Times New Roman" w:hAnsi="Times New Roman" w:cs="Times New Roman"/>
          <w:i/>
          <w:iCs/>
          <w:color w:val="000000" w:themeColor="text1"/>
          <w:sz w:val="24"/>
          <w:szCs w:val="24"/>
          <w:shd w:val="clear" w:color="auto" w:fill="FFFFFF"/>
          <w:lang w:val="en-GB"/>
        </w:rPr>
        <w:t>Accounting</w:t>
      </w:r>
      <w:r w:rsidRPr="0031264C">
        <w:rPr>
          <w:rFonts w:ascii="Times New Roman" w:hAnsi="Times New Roman" w:cs="Times New Roman"/>
          <w:color w:val="000000" w:themeColor="text1"/>
          <w:sz w:val="24"/>
          <w:szCs w:val="24"/>
          <w:shd w:val="clear" w:color="auto" w:fill="FFFFFF"/>
          <w:lang w:val="en-GB"/>
        </w:rPr>
        <w:t>, </w:t>
      </w:r>
      <w:r w:rsidRPr="0031264C">
        <w:rPr>
          <w:rFonts w:ascii="Times New Roman" w:hAnsi="Times New Roman" w:cs="Times New Roman"/>
          <w:i/>
          <w:iCs/>
          <w:color w:val="000000" w:themeColor="text1"/>
          <w:sz w:val="24"/>
          <w:szCs w:val="24"/>
          <w:shd w:val="clear" w:color="auto" w:fill="FFFFFF"/>
          <w:lang w:val="en-GB"/>
        </w:rPr>
        <w:t>6</w:t>
      </w:r>
      <w:r w:rsidRPr="0031264C">
        <w:rPr>
          <w:rFonts w:ascii="Times New Roman" w:hAnsi="Times New Roman" w:cs="Times New Roman"/>
          <w:color w:val="000000" w:themeColor="text1"/>
          <w:sz w:val="24"/>
          <w:szCs w:val="24"/>
          <w:shd w:val="clear" w:color="auto" w:fill="FFFFFF"/>
          <w:lang w:val="en-GB"/>
        </w:rPr>
        <w:t>(5), pp.859-870.</w:t>
      </w:r>
    </w:p>
    <w:p w:rsidR="00316463" w:rsidRPr="0031264C" w:rsidRDefault="00316463" w:rsidP="00316463">
      <w:pPr>
        <w:spacing w:line="360" w:lineRule="auto"/>
        <w:jc w:val="both"/>
        <w:rPr>
          <w:rFonts w:ascii="Times New Roman" w:hAnsi="Times New Roman" w:cs="Times New Roman"/>
          <w:color w:val="000000" w:themeColor="text1"/>
          <w:sz w:val="24"/>
          <w:szCs w:val="24"/>
          <w:lang w:val="en-GB"/>
        </w:rPr>
      </w:pPr>
      <w:r w:rsidRPr="0031264C">
        <w:rPr>
          <w:rFonts w:ascii="Times New Roman" w:hAnsi="Times New Roman" w:cs="Times New Roman"/>
          <w:color w:val="000000" w:themeColor="text1"/>
          <w:sz w:val="24"/>
          <w:szCs w:val="24"/>
          <w:lang w:val="en-GB"/>
        </w:rPr>
        <w:t xml:space="preserve">Mari, C. and Marra, M., (2019). Valuing firm’s financial flexibility under default risk and bankruptcy costs: a WACC based approach. International Journal of Managerial Finance, </w:t>
      </w:r>
      <w:r w:rsidRPr="0031264C">
        <w:rPr>
          <w:rFonts w:ascii="Times New Roman" w:hAnsi="Times New Roman" w:cs="Times New Roman"/>
          <w:i/>
          <w:color w:val="000000" w:themeColor="text1"/>
          <w:sz w:val="24"/>
          <w:szCs w:val="24"/>
          <w:lang w:val="en-GB"/>
        </w:rPr>
        <w:t>2</w:t>
      </w:r>
      <w:r w:rsidRPr="0031264C">
        <w:rPr>
          <w:rFonts w:ascii="Times New Roman" w:hAnsi="Times New Roman" w:cs="Times New Roman"/>
          <w:color w:val="000000" w:themeColor="text1"/>
          <w:sz w:val="24"/>
          <w:szCs w:val="24"/>
          <w:lang w:val="en-GB"/>
        </w:rPr>
        <w:t>(1), pp.8-11.</w:t>
      </w:r>
    </w:p>
    <w:p w:rsidR="00316463" w:rsidRPr="0031264C" w:rsidRDefault="00316463" w:rsidP="00316463">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31264C">
        <w:rPr>
          <w:rFonts w:ascii="Times New Roman" w:hAnsi="Times New Roman" w:cs="Times New Roman"/>
          <w:color w:val="000000" w:themeColor="text1"/>
          <w:sz w:val="24"/>
          <w:szCs w:val="24"/>
          <w:shd w:val="clear" w:color="auto" w:fill="FFFFFF"/>
          <w:lang w:val="en-GB"/>
        </w:rPr>
        <w:lastRenderedPageBreak/>
        <w:t>Nariswari, T.N. and Nugraha, N.M., (2020). Profit Growth: Impact of Net Profit Margin, Gross Profit Margin and Total Assests Turnover. </w:t>
      </w:r>
      <w:r w:rsidRPr="0031264C">
        <w:rPr>
          <w:rFonts w:ascii="Times New Roman" w:hAnsi="Times New Roman" w:cs="Times New Roman"/>
          <w:i/>
          <w:iCs/>
          <w:color w:val="000000" w:themeColor="text1"/>
          <w:sz w:val="24"/>
          <w:szCs w:val="24"/>
          <w:shd w:val="clear" w:color="auto" w:fill="FFFFFF"/>
          <w:lang w:val="en-GB"/>
        </w:rPr>
        <w:t>International Journal of Finance &amp; Banking Studies</w:t>
      </w:r>
      <w:r w:rsidRPr="0031264C">
        <w:rPr>
          <w:rFonts w:ascii="Times New Roman" w:hAnsi="Times New Roman" w:cs="Times New Roman"/>
          <w:color w:val="000000" w:themeColor="text1"/>
          <w:sz w:val="24"/>
          <w:szCs w:val="24"/>
          <w:shd w:val="clear" w:color="auto" w:fill="FFFFFF"/>
          <w:lang w:val="en-GB"/>
        </w:rPr>
        <w:t>, </w:t>
      </w:r>
      <w:r w:rsidRPr="0031264C">
        <w:rPr>
          <w:rFonts w:ascii="Times New Roman" w:hAnsi="Times New Roman" w:cs="Times New Roman"/>
          <w:i/>
          <w:iCs/>
          <w:color w:val="000000" w:themeColor="text1"/>
          <w:sz w:val="24"/>
          <w:szCs w:val="24"/>
          <w:shd w:val="clear" w:color="auto" w:fill="FFFFFF"/>
          <w:lang w:val="en-GB"/>
        </w:rPr>
        <w:t>9</w:t>
      </w:r>
      <w:r w:rsidRPr="0031264C">
        <w:rPr>
          <w:rFonts w:ascii="Times New Roman" w:hAnsi="Times New Roman" w:cs="Times New Roman"/>
          <w:color w:val="000000" w:themeColor="text1"/>
          <w:sz w:val="24"/>
          <w:szCs w:val="24"/>
          <w:shd w:val="clear" w:color="auto" w:fill="FFFFFF"/>
          <w:lang w:val="en-GB"/>
        </w:rPr>
        <w:t>(4), pp.87-96.</w:t>
      </w:r>
    </w:p>
    <w:p w:rsidR="00316463" w:rsidRPr="0031264C" w:rsidRDefault="00316463" w:rsidP="00316463">
      <w:pPr>
        <w:spacing w:after="240" w:line="360" w:lineRule="auto"/>
        <w:jc w:val="both"/>
        <w:rPr>
          <w:rFonts w:ascii="Times New Roman" w:hAnsi="Times New Roman" w:cs="Times New Roman"/>
          <w:color w:val="000000" w:themeColor="text1"/>
          <w:sz w:val="24"/>
          <w:szCs w:val="24"/>
          <w:lang w:val="en-GB"/>
        </w:rPr>
      </w:pPr>
      <w:bookmarkStart w:id="19" w:name="_Hlk118227688"/>
      <w:r w:rsidRPr="0031264C">
        <w:rPr>
          <w:rFonts w:ascii="Times New Roman" w:hAnsi="Times New Roman" w:cs="Times New Roman"/>
          <w:color w:val="000000" w:themeColor="text1"/>
          <w:sz w:val="24"/>
          <w:szCs w:val="24"/>
          <w:lang w:val="en-GB"/>
        </w:rPr>
        <w:t>Seal</w:t>
      </w:r>
      <w:bookmarkEnd w:id="19"/>
      <w:r w:rsidRPr="0031264C">
        <w:rPr>
          <w:rFonts w:ascii="Times New Roman" w:hAnsi="Times New Roman" w:cs="Times New Roman"/>
          <w:color w:val="000000" w:themeColor="text1"/>
          <w:sz w:val="24"/>
          <w:szCs w:val="24"/>
          <w:lang w:val="en-GB"/>
        </w:rPr>
        <w:t xml:space="preserve">, W. Carsten R., Ray H. G., Eric N., (2018). </w:t>
      </w:r>
      <w:r w:rsidRPr="0031264C">
        <w:rPr>
          <w:rFonts w:ascii="Times New Roman" w:hAnsi="Times New Roman" w:cs="Times New Roman"/>
          <w:i/>
          <w:iCs/>
          <w:color w:val="000000" w:themeColor="text1"/>
          <w:sz w:val="24"/>
          <w:szCs w:val="24"/>
          <w:lang w:val="en-GB"/>
        </w:rPr>
        <w:t xml:space="preserve">Management Accounting. </w:t>
      </w:r>
      <w:r w:rsidRPr="0031264C">
        <w:rPr>
          <w:rFonts w:ascii="Times New Roman" w:hAnsi="Times New Roman" w:cs="Times New Roman"/>
          <w:color w:val="000000" w:themeColor="text1"/>
          <w:sz w:val="24"/>
          <w:szCs w:val="24"/>
          <w:lang w:val="en-GB"/>
        </w:rPr>
        <w:t>6th Ed. Maidenhead: McGraw-Hill: UK.</w:t>
      </w:r>
    </w:p>
    <w:p w:rsidR="00316463" w:rsidRPr="0031264C" w:rsidRDefault="00316463" w:rsidP="00316463">
      <w:pPr>
        <w:spacing w:before="240" w:after="240" w:line="360" w:lineRule="auto"/>
        <w:jc w:val="both"/>
        <w:rPr>
          <w:rFonts w:ascii="Times New Roman" w:hAnsi="Times New Roman" w:cs="Times New Roman"/>
          <w:color w:val="000000" w:themeColor="text1"/>
          <w:sz w:val="24"/>
          <w:szCs w:val="24"/>
          <w:lang w:val="en-GB"/>
        </w:rPr>
      </w:pPr>
      <w:r w:rsidRPr="0031264C">
        <w:rPr>
          <w:rFonts w:ascii="Times New Roman" w:hAnsi="Times New Roman" w:cs="Times New Roman"/>
          <w:color w:val="000000" w:themeColor="text1"/>
          <w:sz w:val="24"/>
          <w:szCs w:val="24"/>
          <w:shd w:val="clear" w:color="auto" w:fill="FFFFFF"/>
          <w:lang w:val="en-GB"/>
        </w:rPr>
        <w:t>Weetman, P., (2019). </w:t>
      </w:r>
      <w:r w:rsidRPr="0031264C">
        <w:rPr>
          <w:rFonts w:ascii="Times New Roman" w:hAnsi="Times New Roman" w:cs="Times New Roman"/>
          <w:i/>
          <w:iCs/>
          <w:color w:val="000000" w:themeColor="text1"/>
          <w:sz w:val="24"/>
          <w:szCs w:val="24"/>
          <w:shd w:val="clear" w:color="auto" w:fill="FFFFFF"/>
          <w:lang w:val="en-GB"/>
        </w:rPr>
        <w:t>Financial and management accounting.</w:t>
      </w:r>
      <w:r w:rsidRPr="0031264C">
        <w:rPr>
          <w:rFonts w:ascii="Times New Roman" w:hAnsi="Times New Roman" w:cs="Times New Roman"/>
          <w:color w:val="000000" w:themeColor="text1"/>
          <w:sz w:val="24"/>
          <w:szCs w:val="24"/>
          <w:lang w:val="en-GB"/>
        </w:rPr>
        <w:t xml:space="preserve"> 8</w:t>
      </w:r>
      <w:r w:rsidRPr="0031264C">
        <w:rPr>
          <w:rFonts w:ascii="Times New Roman" w:hAnsi="Times New Roman" w:cs="Times New Roman"/>
          <w:color w:val="000000" w:themeColor="text1"/>
          <w:sz w:val="24"/>
          <w:szCs w:val="24"/>
          <w:vertAlign w:val="superscript"/>
          <w:lang w:val="en-GB"/>
        </w:rPr>
        <w:t>th</w:t>
      </w:r>
      <w:r w:rsidRPr="0031264C">
        <w:rPr>
          <w:rFonts w:ascii="Times New Roman" w:hAnsi="Times New Roman" w:cs="Times New Roman"/>
          <w:color w:val="000000" w:themeColor="text1"/>
          <w:sz w:val="24"/>
          <w:szCs w:val="24"/>
          <w:lang w:val="en-GB"/>
        </w:rPr>
        <w:t xml:space="preserve"> Edition</w:t>
      </w:r>
      <w:r w:rsidRPr="0031264C">
        <w:rPr>
          <w:rFonts w:ascii="Times New Roman" w:hAnsi="Times New Roman" w:cs="Times New Roman"/>
          <w:color w:val="000000" w:themeColor="text1"/>
          <w:sz w:val="24"/>
          <w:szCs w:val="24"/>
          <w:shd w:val="clear" w:color="auto" w:fill="FFFFFF"/>
          <w:lang w:val="en-GB"/>
        </w:rPr>
        <w:t>. Pearson UK.</w:t>
      </w:r>
    </w:p>
    <w:p w:rsidR="0082537F" w:rsidRPr="0031264C" w:rsidRDefault="0082537F" w:rsidP="0082537F">
      <w:pPr>
        <w:rPr>
          <w:color w:val="000000" w:themeColor="text1"/>
          <w:lang w:val="en-GB"/>
        </w:rPr>
      </w:pPr>
    </w:p>
    <w:p w:rsidR="0082537F" w:rsidRPr="0031264C" w:rsidRDefault="0082537F" w:rsidP="0082537F">
      <w:pPr>
        <w:pStyle w:val="normal"/>
        <w:rPr>
          <w:color w:val="000000" w:themeColor="text1"/>
          <w:lang w:val="en-GB"/>
        </w:rPr>
      </w:pPr>
    </w:p>
    <w:p w:rsidR="008E5605" w:rsidRPr="0031264C" w:rsidRDefault="008E5605">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p w:rsidR="008E5605" w:rsidRPr="0031264C" w:rsidRDefault="008E5605">
      <w:pPr>
        <w:pStyle w:val="normal"/>
        <w:spacing w:before="200" w:after="200" w:line="360" w:lineRule="auto"/>
        <w:jc w:val="both"/>
        <w:rPr>
          <w:rFonts w:ascii="Times New Roman" w:eastAsia="Times New Roman" w:hAnsi="Times New Roman" w:cs="Times New Roman"/>
          <w:b/>
          <w:color w:val="000000" w:themeColor="text1"/>
          <w:sz w:val="24"/>
          <w:szCs w:val="24"/>
          <w:lang w:val="en-GB"/>
        </w:rPr>
      </w:pPr>
    </w:p>
    <w:sectPr w:rsidR="008E5605" w:rsidRPr="0031264C" w:rsidSect="00000134">
      <w:headerReference w:type="even" r:id="rId17"/>
      <w:headerReference w:type="default" r:id="rId18"/>
      <w:footerReference w:type="even" r:id="rId19"/>
      <w:footerReference w:type="default" r:id="rId20"/>
      <w:headerReference w:type="first" r:id="rId21"/>
      <w:footerReference w:type="firs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E3465" w:rsidRDefault="002E3465" w:rsidP="008E5605">
      <w:pPr>
        <w:spacing w:line="240" w:lineRule="auto"/>
      </w:pPr>
      <w:r>
        <w:separator/>
      </w:r>
    </w:p>
  </w:endnote>
  <w:endnote w:type="continuationSeparator" w:id="1">
    <w:p w:rsidR="002E3465" w:rsidRDefault="002E3465" w:rsidP="008E560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3C39" w:rsidRDefault="00C63C39">
    <w:pPr>
      <w:pStyle w:val="a9"/>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3C39" w:rsidRDefault="00C63C39">
    <w:pPr>
      <w:pStyle w:val="normal"/>
      <w:jc w:val="right"/>
    </w:pPr>
    <w:fldSimple w:instr="PAGE">
      <w:r>
        <w:rPr>
          <w:noProof/>
        </w:rPr>
        <w:t>1</w:t>
      </w:r>
    </w:fldSimple>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3C39" w:rsidRDefault="00C63C39">
    <w:pPr>
      <w:pStyle w:val="normal"/>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E3465" w:rsidRDefault="002E3465" w:rsidP="008E5605">
      <w:pPr>
        <w:spacing w:line="240" w:lineRule="auto"/>
      </w:pPr>
      <w:r>
        <w:separator/>
      </w:r>
    </w:p>
  </w:footnote>
  <w:footnote w:type="continuationSeparator" w:id="1">
    <w:p w:rsidR="002E3465" w:rsidRDefault="002E3465" w:rsidP="008E5605">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3C39" w:rsidRDefault="00C63C39">
    <w:pPr>
      <w:pStyle w:val="a7"/>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3C39" w:rsidRDefault="00C63C39">
    <w:pPr>
      <w:pStyle w:val="a7"/>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3C39" w:rsidRDefault="00C63C39">
    <w:pPr>
      <w:pStyle w:val="a7"/>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hyphenationZone w:val="425"/>
  <w:characterSpacingControl w:val="doNotCompress"/>
  <w:hdrShapeDefaults>
    <o:shapedefaults v:ext="edit" spidmax="6146"/>
  </w:hdrShapeDefaults>
  <w:footnotePr>
    <w:footnote w:id="0"/>
    <w:footnote w:id="1"/>
  </w:footnotePr>
  <w:endnotePr>
    <w:endnote w:id="0"/>
    <w:endnote w:id="1"/>
  </w:endnotePr>
  <w:compat/>
  <w:rsids>
    <w:rsidRoot w:val="008E5605"/>
    <w:rsid w:val="00000134"/>
    <w:rsid w:val="002E3465"/>
    <w:rsid w:val="0031264C"/>
    <w:rsid w:val="00316463"/>
    <w:rsid w:val="003E360B"/>
    <w:rsid w:val="003F453C"/>
    <w:rsid w:val="00416273"/>
    <w:rsid w:val="0056341B"/>
    <w:rsid w:val="006F7E7A"/>
    <w:rsid w:val="0082537F"/>
    <w:rsid w:val="008E5605"/>
    <w:rsid w:val="00A4651D"/>
    <w:rsid w:val="00A63D6D"/>
    <w:rsid w:val="00AF2E8A"/>
    <w:rsid w:val="00C63C39"/>
    <w:rsid w:val="00C7440D"/>
    <w:rsid w:val="00F620A2"/>
    <w:rsid w:val="00F73DA6"/>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E360B"/>
  </w:style>
  <w:style w:type="paragraph" w:styleId="1">
    <w:name w:val="heading 1"/>
    <w:basedOn w:val="normal"/>
    <w:next w:val="normal"/>
    <w:rsid w:val="008E5605"/>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2">
    <w:name w:val="heading 2"/>
    <w:basedOn w:val="normal"/>
    <w:next w:val="normal"/>
    <w:rsid w:val="008E5605"/>
    <w:pPr>
      <w:keepNext/>
      <w:keepLines/>
      <w:spacing w:before="360" w:after="120"/>
      <w:outlineLvl w:val="1"/>
    </w:pPr>
    <w:rPr>
      <w:sz w:val="32"/>
      <w:szCs w:val="32"/>
    </w:rPr>
  </w:style>
  <w:style w:type="paragraph" w:styleId="3">
    <w:name w:val="heading 3"/>
    <w:basedOn w:val="normal"/>
    <w:next w:val="normal"/>
    <w:rsid w:val="008E5605"/>
    <w:pPr>
      <w:keepNext/>
      <w:keepLines/>
      <w:spacing w:before="320" w:after="80"/>
      <w:outlineLvl w:val="2"/>
    </w:pPr>
    <w:rPr>
      <w:color w:val="434343"/>
      <w:sz w:val="28"/>
      <w:szCs w:val="28"/>
    </w:rPr>
  </w:style>
  <w:style w:type="paragraph" w:styleId="4">
    <w:name w:val="heading 4"/>
    <w:basedOn w:val="normal"/>
    <w:next w:val="normal"/>
    <w:rsid w:val="008E5605"/>
    <w:pPr>
      <w:keepNext/>
      <w:keepLines/>
      <w:spacing w:before="280" w:after="80"/>
      <w:outlineLvl w:val="3"/>
    </w:pPr>
    <w:rPr>
      <w:color w:val="666666"/>
      <w:sz w:val="24"/>
      <w:szCs w:val="24"/>
    </w:rPr>
  </w:style>
  <w:style w:type="paragraph" w:styleId="5">
    <w:name w:val="heading 5"/>
    <w:basedOn w:val="normal"/>
    <w:next w:val="normal"/>
    <w:rsid w:val="008E5605"/>
    <w:pPr>
      <w:keepNext/>
      <w:keepLines/>
      <w:spacing w:before="240" w:after="80"/>
      <w:outlineLvl w:val="4"/>
    </w:pPr>
    <w:rPr>
      <w:color w:val="666666"/>
    </w:rPr>
  </w:style>
  <w:style w:type="paragraph" w:styleId="6">
    <w:name w:val="heading 6"/>
    <w:basedOn w:val="normal"/>
    <w:next w:val="normal"/>
    <w:rsid w:val="008E5605"/>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
    <w:name w:val="normal"/>
    <w:rsid w:val="008E5605"/>
  </w:style>
  <w:style w:type="paragraph" w:styleId="a3">
    <w:name w:val="Title"/>
    <w:basedOn w:val="normal"/>
    <w:next w:val="normal"/>
    <w:rsid w:val="008E5605"/>
    <w:pPr>
      <w:keepNext/>
      <w:keepLines/>
      <w:spacing w:after="60"/>
    </w:pPr>
    <w:rPr>
      <w:sz w:val="52"/>
      <w:szCs w:val="52"/>
    </w:rPr>
  </w:style>
  <w:style w:type="paragraph" w:styleId="a4">
    <w:name w:val="Subtitle"/>
    <w:basedOn w:val="normal"/>
    <w:next w:val="normal"/>
    <w:rsid w:val="008E5605"/>
    <w:pPr>
      <w:keepNext/>
      <w:keepLines/>
      <w:spacing w:after="320"/>
    </w:pPr>
    <w:rPr>
      <w:color w:val="666666"/>
      <w:sz w:val="30"/>
      <w:szCs w:val="30"/>
    </w:rPr>
  </w:style>
  <w:style w:type="paragraph" w:styleId="a5">
    <w:name w:val="Balloon Text"/>
    <w:basedOn w:val="a"/>
    <w:link w:val="a6"/>
    <w:uiPriority w:val="99"/>
    <w:semiHidden/>
    <w:unhideWhenUsed/>
    <w:rsid w:val="00AF2E8A"/>
    <w:pPr>
      <w:spacing w:line="240" w:lineRule="auto"/>
    </w:pPr>
    <w:rPr>
      <w:rFonts w:ascii="Tahoma" w:hAnsi="Tahoma" w:cs="Tahoma"/>
      <w:sz w:val="16"/>
      <w:szCs w:val="16"/>
    </w:rPr>
  </w:style>
  <w:style w:type="character" w:customStyle="1" w:styleId="a6">
    <w:name w:val="Изнесен текст Знак"/>
    <w:basedOn w:val="a0"/>
    <w:link w:val="a5"/>
    <w:uiPriority w:val="99"/>
    <w:semiHidden/>
    <w:rsid w:val="00AF2E8A"/>
    <w:rPr>
      <w:rFonts w:ascii="Tahoma" w:hAnsi="Tahoma" w:cs="Tahoma"/>
      <w:sz w:val="16"/>
      <w:szCs w:val="16"/>
    </w:rPr>
  </w:style>
  <w:style w:type="paragraph" w:styleId="a7">
    <w:name w:val="header"/>
    <w:basedOn w:val="a"/>
    <w:link w:val="a8"/>
    <w:uiPriority w:val="99"/>
    <w:semiHidden/>
    <w:unhideWhenUsed/>
    <w:rsid w:val="003F453C"/>
    <w:pPr>
      <w:tabs>
        <w:tab w:val="center" w:pos="4680"/>
        <w:tab w:val="right" w:pos="9360"/>
      </w:tabs>
      <w:spacing w:line="240" w:lineRule="auto"/>
    </w:pPr>
  </w:style>
  <w:style w:type="character" w:customStyle="1" w:styleId="a8">
    <w:name w:val="Горен колонтитул Знак"/>
    <w:basedOn w:val="a0"/>
    <w:link w:val="a7"/>
    <w:uiPriority w:val="99"/>
    <w:semiHidden/>
    <w:rsid w:val="003F453C"/>
  </w:style>
  <w:style w:type="paragraph" w:styleId="a9">
    <w:name w:val="footer"/>
    <w:basedOn w:val="a"/>
    <w:link w:val="aa"/>
    <w:uiPriority w:val="99"/>
    <w:semiHidden/>
    <w:unhideWhenUsed/>
    <w:rsid w:val="003F453C"/>
    <w:pPr>
      <w:tabs>
        <w:tab w:val="center" w:pos="4680"/>
        <w:tab w:val="right" w:pos="9360"/>
      </w:tabs>
      <w:spacing w:line="240" w:lineRule="auto"/>
    </w:pPr>
  </w:style>
  <w:style w:type="character" w:customStyle="1" w:styleId="aa">
    <w:name w:val="Долен колонтитул Знак"/>
    <w:basedOn w:val="a0"/>
    <w:link w:val="a9"/>
    <w:uiPriority w:val="99"/>
    <w:semiHidden/>
    <w:rsid w:val="003F453C"/>
  </w:style>
  <w:style w:type="paragraph" w:styleId="10">
    <w:name w:val="toc 1"/>
    <w:basedOn w:val="a"/>
    <w:next w:val="a"/>
    <w:autoRedefine/>
    <w:uiPriority w:val="39"/>
    <w:unhideWhenUsed/>
    <w:rsid w:val="00000134"/>
    <w:pPr>
      <w:spacing w:after="100"/>
    </w:pPr>
  </w:style>
  <w:style w:type="character" w:styleId="ab">
    <w:name w:val="Hyperlink"/>
    <w:basedOn w:val="a0"/>
    <w:uiPriority w:val="99"/>
    <w:unhideWhenUsed/>
    <w:rsid w:val="00000134"/>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fontTable" Target="fontTable.xml"/><Relationship Id="rId10" Type="http://schemas.openxmlformats.org/officeDocument/2006/relationships/chart" Target="charts/chart4.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User\Desktop\K\2022\Dec\28.12.2022\NAlab221249\NAlab221249.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bg-BG"/>
  <c:style val="4"/>
  <c:chart>
    <c:title>
      <c:txPr>
        <a:bodyPr/>
        <a:lstStyle/>
        <a:p>
          <a:pPr>
            <a:defRPr lang="en-US"/>
          </a:pPr>
          <a:endParaRPr lang="bg-BG"/>
        </a:p>
      </c:txPr>
    </c:title>
    <c:plotArea>
      <c:layout/>
      <c:barChart>
        <c:barDir val="col"/>
        <c:grouping val="clustered"/>
        <c:ser>
          <c:idx val="0"/>
          <c:order val="0"/>
          <c:tx>
            <c:strRef>
              <c:f>'Q2'!$B$9</c:f>
              <c:strCache>
                <c:ptCount val="1"/>
                <c:pt idx="0">
                  <c:v>“ROCE”</c:v>
                </c:pt>
              </c:strCache>
            </c:strRef>
          </c:tx>
          <c:dLbls>
            <c:txPr>
              <a:bodyPr/>
              <a:lstStyle/>
              <a:p>
                <a:pPr>
                  <a:defRPr lang="en-US"/>
                </a:pPr>
                <a:endParaRPr lang="bg-BG"/>
              </a:p>
            </c:txPr>
            <c:showVal val="1"/>
          </c:dLbls>
          <c:cat>
            <c:numRef>
              <c:f>'Q2'!$C$4:$D$4</c:f>
              <c:numCache>
                <c:formatCode>General</c:formatCode>
                <c:ptCount val="2"/>
                <c:pt idx="0">
                  <c:v>2020</c:v>
                </c:pt>
                <c:pt idx="1">
                  <c:v>2021</c:v>
                </c:pt>
              </c:numCache>
            </c:numRef>
          </c:cat>
          <c:val>
            <c:numRef>
              <c:f>'Q2'!$C$9:$D$9</c:f>
              <c:numCache>
                <c:formatCode>0%</c:formatCode>
                <c:ptCount val="2"/>
                <c:pt idx="0">
                  <c:v>9.9275671069450441E-2</c:v>
                </c:pt>
                <c:pt idx="1">
                  <c:v>0.1114186851211072</c:v>
                </c:pt>
              </c:numCache>
            </c:numRef>
          </c:val>
        </c:ser>
        <c:dLbls>
          <c:showVal val="1"/>
        </c:dLbls>
        <c:overlap val="-25"/>
        <c:axId val="61321984"/>
        <c:axId val="61323520"/>
      </c:barChart>
      <c:catAx>
        <c:axId val="61321984"/>
        <c:scaling>
          <c:orientation val="minMax"/>
        </c:scaling>
        <c:axPos val="b"/>
        <c:numFmt formatCode="General" sourceLinked="1"/>
        <c:majorTickMark val="none"/>
        <c:tickLblPos val="nextTo"/>
        <c:txPr>
          <a:bodyPr/>
          <a:lstStyle/>
          <a:p>
            <a:pPr>
              <a:defRPr lang="en-US"/>
            </a:pPr>
            <a:endParaRPr lang="bg-BG"/>
          </a:p>
        </c:txPr>
        <c:crossAx val="61323520"/>
        <c:crosses val="autoZero"/>
        <c:auto val="1"/>
        <c:lblAlgn val="ctr"/>
        <c:lblOffset val="100"/>
      </c:catAx>
      <c:valAx>
        <c:axId val="61323520"/>
        <c:scaling>
          <c:orientation val="minMax"/>
        </c:scaling>
        <c:delete val="1"/>
        <c:axPos val="l"/>
        <c:numFmt formatCode="0%" sourceLinked="1"/>
        <c:tickLblPos val="nextTo"/>
        <c:crossAx val="61321984"/>
        <c:crosses val="autoZero"/>
        <c:crossBetween val="between"/>
      </c:valAx>
    </c:plotArea>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bg-BG"/>
  <c:style val="1"/>
  <c:chart>
    <c:title>
      <c:txPr>
        <a:bodyPr/>
        <a:lstStyle/>
        <a:p>
          <a:pPr>
            <a:defRPr lang="en-US"/>
          </a:pPr>
          <a:endParaRPr lang="bg-BG"/>
        </a:p>
      </c:txPr>
    </c:title>
    <c:view3D>
      <c:rAngAx val="1"/>
    </c:view3D>
    <c:plotArea>
      <c:layout/>
      <c:bar3DChart>
        <c:barDir val="col"/>
        <c:grouping val="clustered"/>
        <c:ser>
          <c:idx val="0"/>
          <c:order val="0"/>
          <c:tx>
            <c:strRef>
              <c:f>'Q2'!$F$7</c:f>
              <c:strCache>
                <c:ptCount val="1"/>
                <c:pt idx="0">
                  <c:v>“ROE”</c:v>
                </c:pt>
              </c:strCache>
            </c:strRef>
          </c:tx>
          <c:dLbls>
            <c:txPr>
              <a:bodyPr/>
              <a:lstStyle/>
              <a:p>
                <a:pPr>
                  <a:defRPr lang="en-US"/>
                </a:pPr>
                <a:endParaRPr lang="bg-BG"/>
              </a:p>
            </c:txPr>
            <c:showVal val="1"/>
          </c:dLbls>
          <c:cat>
            <c:numRef>
              <c:f>'Q2'!$G$4:$H$4</c:f>
              <c:numCache>
                <c:formatCode>General</c:formatCode>
                <c:ptCount val="2"/>
                <c:pt idx="0">
                  <c:v>2020</c:v>
                </c:pt>
                <c:pt idx="1">
                  <c:v>2021</c:v>
                </c:pt>
              </c:numCache>
            </c:numRef>
          </c:cat>
          <c:val>
            <c:numRef>
              <c:f>'Q2'!$G$7:$H$7</c:f>
              <c:numCache>
                <c:formatCode>0%</c:formatCode>
                <c:ptCount val="2"/>
                <c:pt idx="0">
                  <c:v>0.12568681318681318</c:v>
                </c:pt>
                <c:pt idx="1">
                  <c:v>0.13957253886010371</c:v>
                </c:pt>
              </c:numCache>
            </c:numRef>
          </c:val>
        </c:ser>
        <c:dLbls>
          <c:showVal val="1"/>
        </c:dLbls>
        <c:shape val="box"/>
        <c:axId val="70924160"/>
        <c:axId val="70925696"/>
        <c:axId val="0"/>
      </c:bar3DChart>
      <c:catAx>
        <c:axId val="70924160"/>
        <c:scaling>
          <c:orientation val="minMax"/>
        </c:scaling>
        <c:axPos val="b"/>
        <c:numFmt formatCode="General" sourceLinked="1"/>
        <c:majorTickMark val="none"/>
        <c:tickLblPos val="nextTo"/>
        <c:txPr>
          <a:bodyPr/>
          <a:lstStyle/>
          <a:p>
            <a:pPr>
              <a:defRPr lang="en-US"/>
            </a:pPr>
            <a:endParaRPr lang="bg-BG"/>
          </a:p>
        </c:txPr>
        <c:crossAx val="70925696"/>
        <c:crosses val="autoZero"/>
        <c:auto val="1"/>
        <c:lblAlgn val="ctr"/>
        <c:lblOffset val="100"/>
      </c:catAx>
      <c:valAx>
        <c:axId val="70925696"/>
        <c:scaling>
          <c:orientation val="minMax"/>
        </c:scaling>
        <c:delete val="1"/>
        <c:axPos val="l"/>
        <c:numFmt formatCode="0%" sourceLinked="1"/>
        <c:tickLblPos val="nextTo"/>
        <c:crossAx val="70924160"/>
        <c:crosses val="autoZero"/>
        <c:crossBetween val="between"/>
      </c:valAx>
    </c:plotArea>
    <c:legend>
      <c:legendPos val="t"/>
      <c:txPr>
        <a:bodyPr/>
        <a:lstStyle/>
        <a:p>
          <a:pPr>
            <a:defRPr lang="en-US"/>
          </a:pPr>
          <a:endParaRPr lang="bg-BG"/>
        </a:p>
      </c:txP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bg-BG"/>
  <c:style val="7"/>
  <c:chart>
    <c:title>
      <c:txPr>
        <a:bodyPr/>
        <a:lstStyle/>
        <a:p>
          <a:pPr>
            <a:defRPr lang="en-US"/>
          </a:pPr>
          <a:endParaRPr lang="bg-BG"/>
        </a:p>
      </c:txPr>
    </c:title>
    <c:view3D>
      <c:rAngAx val="1"/>
    </c:view3D>
    <c:plotArea>
      <c:layout/>
      <c:bar3DChart>
        <c:barDir val="bar"/>
        <c:grouping val="stacked"/>
        <c:ser>
          <c:idx val="0"/>
          <c:order val="0"/>
          <c:tx>
            <c:strRef>
              <c:f>'Q2'!$J$8</c:f>
              <c:strCache>
                <c:ptCount val="1"/>
                <c:pt idx="0">
                  <c:v>“Earnings per share”</c:v>
                </c:pt>
              </c:strCache>
            </c:strRef>
          </c:tx>
          <c:dLbls>
            <c:txPr>
              <a:bodyPr/>
              <a:lstStyle/>
              <a:p>
                <a:pPr>
                  <a:defRPr lang="en-US"/>
                </a:pPr>
                <a:endParaRPr lang="bg-BG"/>
              </a:p>
            </c:txPr>
            <c:showVal val="1"/>
          </c:dLbls>
          <c:cat>
            <c:numRef>
              <c:f>'Q2'!$K$4:$L$4</c:f>
              <c:numCache>
                <c:formatCode>General</c:formatCode>
                <c:ptCount val="2"/>
                <c:pt idx="0">
                  <c:v>2020</c:v>
                </c:pt>
                <c:pt idx="1">
                  <c:v>2021</c:v>
                </c:pt>
              </c:numCache>
            </c:numRef>
          </c:cat>
          <c:val>
            <c:numRef>
              <c:f>'Q2'!$K$8:$L$8</c:f>
              <c:numCache>
                <c:formatCode>0.00</c:formatCode>
                <c:ptCount val="2"/>
                <c:pt idx="0">
                  <c:v>0.20666666666666669</c:v>
                </c:pt>
                <c:pt idx="1">
                  <c:v>0.29333333333333333</c:v>
                </c:pt>
              </c:numCache>
            </c:numRef>
          </c:val>
        </c:ser>
        <c:dLbls>
          <c:showVal val="1"/>
        </c:dLbls>
        <c:gapWidth val="95"/>
        <c:gapDepth val="95"/>
        <c:shape val="cylinder"/>
        <c:axId val="44066304"/>
        <c:axId val="44067840"/>
        <c:axId val="0"/>
      </c:bar3DChart>
      <c:catAx>
        <c:axId val="44066304"/>
        <c:scaling>
          <c:orientation val="minMax"/>
        </c:scaling>
        <c:axPos val="l"/>
        <c:numFmt formatCode="General" sourceLinked="1"/>
        <c:majorTickMark val="none"/>
        <c:tickLblPos val="nextTo"/>
        <c:txPr>
          <a:bodyPr/>
          <a:lstStyle/>
          <a:p>
            <a:pPr>
              <a:defRPr lang="en-US"/>
            </a:pPr>
            <a:endParaRPr lang="bg-BG"/>
          </a:p>
        </c:txPr>
        <c:crossAx val="44067840"/>
        <c:crosses val="autoZero"/>
        <c:auto val="1"/>
        <c:lblAlgn val="ctr"/>
        <c:lblOffset val="100"/>
      </c:catAx>
      <c:valAx>
        <c:axId val="44067840"/>
        <c:scaling>
          <c:orientation val="minMax"/>
        </c:scaling>
        <c:delete val="1"/>
        <c:axPos val="b"/>
        <c:numFmt formatCode="0.00" sourceLinked="1"/>
        <c:tickLblPos val="nextTo"/>
        <c:crossAx val="44066304"/>
        <c:crosses val="autoZero"/>
        <c:crossBetween val="between"/>
      </c:valAx>
    </c:plotArea>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bg-BG"/>
  <c:style val="5"/>
  <c:chart>
    <c:title>
      <c:txPr>
        <a:bodyPr/>
        <a:lstStyle/>
        <a:p>
          <a:pPr>
            <a:defRPr lang="en-US"/>
          </a:pPr>
          <a:endParaRPr lang="bg-BG"/>
        </a:p>
      </c:txPr>
    </c:title>
    <c:view3D>
      <c:rAngAx val="1"/>
    </c:view3D>
    <c:plotArea>
      <c:layout/>
      <c:bar3DChart>
        <c:barDir val="col"/>
        <c:grouping val="clustered"/>
        <c:ser>
          <c:idx val="0"/>
          <c:order val="0"/>
          <c:tx>
            <c:strRef>
              <c:f>'Q2'!$B$16</c:f>
              <c:strCache>
                <c:ptCount val="1"/>
                <c:pt idx="0">
                  <c:v>“Net profit margin”</c:v>
                </c:pt>
              </c:strCache>
            </c:strRef>
          </c:tx>
          <c:cat>
            <c:numRef>
              <c:f>'Q2'!$C$13:$D$13</c:f>
              <c:numCache>
                <c:formatCode>General</c:formatCode>
                <c:ptCount val="2"/>
                <c:pt idx="0">
                  <c:v>2020</c:v>
                </c:pt>
                <c:pt idx="1">
                  <c:v>2021</c:v>
                </c:pt>
              </c:numCache>
            </c:numRef>
          </c:cat>
          <c:val>
            <c:numRef>
              <c:f>'Q2'!$C$16:$D$16</c:f>
              <c:numCache>
                <c:formatCode>0%</c:formatCode>
                <c:ptCount val="2"/>
                <c:pt idx="0">
                  <c:v>5.6823474615742914E-2</c:v>
                </c:pt>
                <c:pt idx="1">
                  <c:v>6.3965568417928165E-2</c:v>
                </c:pt>
              </c:numCache>
            </c:numRef>
          </c:val>
        </c:ser>
        <c:gapWidth val="75"/>
        <c:shape val="box"/>
        <c:axId val="45148800"/>
        <c:axId val="45207936"/>
        <c:axId val="0"/>
      </c:bar3DChart>
      <c:catAx>
        <c:axId val="45148800"/>
        <c:scaling>
          <c:orientation val="minMax"/>
        </c:scaling>
        <c:axPos val="b"/>
        <c:numFmt formatCode="General" sourceLinked="1"/>
        <c:majorTickMark val="none"/>
        <c:tickLblPos val="nextTo"/>
        <c:txPr>
          <a:bodyPr/>
          <a:lstStyle/>
          <a:p>
            <a:pPr>
              <a:defRPr lang="en-US"/>
            </a:pPr>
            <a:endParaRPr lang="bg-BG"/>
          </a:p>
        </c:txPr>
        <c:crossAx val="45207936"/>
        <c:crosses val="autoZero"/>
        <c:auto val="1"/>
        <c:lblAlgn val="ctr"/>
        <c:lblOffset val="100"/>
      </c:catAx>
      <c:valAx>
        <c:axId val="45207936"/>
        <c:scaling>
          <c:orientation val="minMax"/>
        </c:scaling>
        <c:axPos val="l"/>
        <c:majorGridlines/>
        <c:numFmt formatCode="0%" sourceLinked="1"/>
        <c:majorTickMark val="none"/>
        <c:tickLblPos val="nextTo"/>
        <c:txPr>
          <a:bodyPr/>
          <a:lstStyle/>
          <a:p>
            <a:pPr>
              <a:defRPr lang="en-US"/>
            </a:pPr>
            <a:endParaRPr lang="bg-BG"/>
          </a:p>
        </c:txPr>
        <c:crossAx val="45148800"/>
        <c:crosses val="autoZero"/>
        <c:crossBetween val="between"/>
      </c:valAx>
    </c:plotArea>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bg-BG"/>
  <c:style val="7"/>
  <c:chart>
    <c:title>
      <c:txPr>
        <a:bodyPr/>
        <a:lstStyle/>
        <a:p>
          <a:pPr>
            <a:defRPr lang="en-US"/>
          </a:pPr>
          <a:endParaRPr lang="bg-BG"/>
        </a:p>
      </c:txPr>
    </c:title>
    <c:view3D>
      <c:rAngAx val="1"/>
    </c:view3D>
    <c:plotArea>
      <c:layout/>
      <c:bar3DChart>
        <c:barDir val="col"/>
        <c:grouping val="clustered"/>
        <c:ser>
          <c:idx val="0"/>
          <c:order val="0"/>
          <c:tx>
            <c:strRef>
              <c:f>'Q2'!$F$16</c:f>
              <c:strCache>
                <c:ptCount val="1"/>
                <c:pt idx="0">
                  <c:v>“Asset turnover”</c:v>
                </c:pt>
              </c:strCache>
            </c:strRef>
          </c:tx>
          <c:cat>
            <c:numRef>
              <c:f>'Q2'!$G$4:$H$4</c:f>
              <c:numCache>
                <c:formatCode>General</c:formatCode>
                <c:ptCount val="2"/>
                <c:pt idx="0">
                  <c:v>2020</c:v>
                </c:pt>
                <c:pt idx="1">
                  <c:v>2021</c:v>
                </c:pt>
              </c:numCache>
            </c:numRef>
          </c:cat>
          <c:val>
            <c:numRef>
              <c:f>'Q2'!$G$16:$H$16</c:f>
              <c:numCache>
                <c:formatCode>0%</c:formatCode>
                <c:ptCount val="2"/>
                <c:pt idx="0">
                  <c:v>0.63854466144542532</c:v>
                </c:pt>
                <c:pt idx="1">
                  <c:v>0.69207066557107699</c:v>
                </c:pt>
              </c:numCache>
            </c:numRef>
          </c:val>
        </c:ser>
        <c:shape val="cylinder"/>
        <c:axId val="47996928"/>
        <c:axId val="47998464"/>
        <c:axId val="0"/>
      </c:bar3DChart>
      <c:catAx>
        <c:axId val="47996928"/>
        <c:scaling>
          <c:orientation val="minMax"/>
        </c:scaling>
        <c:axPos val="b"/>
        <c:numFmt formatCode="General" sourceLinked="1"/>
        <c:tickLblPos val="nextTo"/>
        <c:txPr>
          <a:bodyPr/>
          <a:lstStyle/>
          <a:p>
            <a:pPr>
              <a:defRPr lang="en-US"/>
            </a:pPr>
            <a:endParaRPr lang="bg-BG"/>
          </a:p>
        </c:txPr>
        <c:crossAx val="47998464"/>
        <c:crosses val="autoZero"/>
        <c:auto val="1"/>
        <c:lblAlgn val="ctr"/>
        <c:lblOffset val="100"/>
      </c:catAx>
      <c:valAx>
        <c:axId val="47998464"/>
        <c:scaling>
          <c:orientation val="minMax"/>
        </c:scaling>
        <c:axPos val="l"/>
        <c:majorGridlines/>
        <c:numFmt formatCode="0%" sourceLinked="1"/>
        <c:tickLblPos val="nextTo"/>
        <c:txPr>
          <a:bodyPr/>
          <a:lstStyle/>
          <a:p>
            <a:pPr>
              <a:defRPr lang="en-US"/>
            </a:pPr>
            <a:endParaRPr lang="bg-BG"/>
          </a:p>
        </c:txPr>
        <c:crossAx val="47996928"/>
        <c:crosses val="autoZero"/>
        <c:crossBetween val="between"/>
      </c:valAx>
    </c:plotArea>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bg-BG"/>
  <c:style val="6"/>
  <c:chart>
    <c:title>
      <c:txPr>
        <a:bodyPr/>
        <a:lstStyle/>
        <a:p>
          <a:pPr>
            <a:defRPr lang="en-US"/>
          </a:pPr>
          <a:endParaRPr lang="bg-BG"/>
        </a:p>
      </c:txPr>
    </c:title>
    <c:view3D>
      <c:rAngAx val="1"/>
    </c:view3D>
    <c:plotArea>
      <c:layout/>
      <c:bar3DChart>
        <c:barDir val="col"/>
        <c:grouping val="clustered"/>
        <c:ser>
          <c:idx val="0"/>
          <c:order val="0"/>
          <c:tx>
            <c:strRef>
              <c:f>'Q2'!$J$17</c:f>
              <c:strCache>
                <c:ptCount val="1"/>
                <c:pt idx="0">
                  <c:v>“Stock holding days”</c:v>
                </c:pt>
              </c:strCache>
            </c:strRef>
          </c:tx>
          <c:dLbls>
            <c:txPr>
              <a:bodyPr/>
              <a:lstStyle/>
              <a:p>
                <a:pPr>
                  <a:defRPr lang="en-US"/>
                </a:pPr>
                <a:endParaRPr lang="bg-BG"/>
              </a:p>
            </c:txPr>
            <c:showVal val="1"/>
          </c:dLbls>
          <c:cat>
            <c:numRef>
              <c:f>'Q2'!$K$4:$L$4</c:f>
              <c:numCache>
                <c:formatCode>General</c:formatCode>
                <c:ptCount val="2"/>
                <c:pt idx="0">
                  <c:v>2020</c:v>
                </c:pt>
                <c:pt idx="1">
                  <c:v>2021</c:v>
                </c:pt>
              </c:numCache>
            </c:numRef>
          </c:cat>
          <c:val>
            <c:numRef>
              <c:f>'Q2'!$K$17:$L$17</c:f>
              <c:numCache>
                <c:formatCode>0</c:formatCode>
                <c:ptCount val="2"/>
                <c:pt idx="0">
                  <c:v>77.692183462532299</c:v>
                </c:pt>
                <c:pt idx="1">
                  <c:v>79.882534775888658</c:v>
                </c:pt>
              </c:numCache>
            </c:numRef>
          </c:val>
        </c:ser>
        <c:dLbls>
          <c:showVal val="1"/>
        </c:dLbls>
        <c:shape val="cylinder"/>
        <c:axId val="70415872"/>
        <c:axId val="70417408"/>
        <c:axId val="0"/>
      </c:bar3DChart>
      <c:catAx>
        <c:axId val="70415872"/>
        <c:scaling>
          <c:orientation val="minMax"/>
        </c:scaling>
        <c:axPos val="b"/>
        <c:numFmt formatCode="General" sourceLinked="1"/>
        <c:majorTickMark val="none"/>
        <c:tickLblPos val="nextTo"/>
        <c:txPr>
          <a:bodyPr/>
          <a:lstStyle/>
          <a:p>
            <a:pPr>
              <a:defRPr lang="en-US"/>
            </a:pPr>
            <a:endParaRPr lang="bg-BG"/>
          </a:p>
        </c:txPr>
        <c:crossAx val="70417408"/>
        <c:crosses val="autoZero"/>
        <c:auto val="1"/>
        <c:lblAlgn val="ctr"/>
        <c:lblOffset val="100"/>
      </c:catAx>
      <c:valAx>
        <c:axId val="70417408"/>
        <c:scaling>
          <c:orientation val="minMax"/>
        </c:scaling>
        <c:delete val="1"/>
        <c:axPos val="l"/>
        <c:numFmt formatCode="0" sourceLinked="1"/>
        <c:tickLblPos val="nextTo"/>
        <c:crossAx val="70415872"/>
        <c:crosses val="autoZero"/>
        <c:crossBetween val="between"/>
      </c:valAx>
    </c:plotArea>
    <c:plotVisOnly val="1"/>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bg-BG"/>
  <c:chart>
    <c:title>
      <c:txPr>
        <a:bodyPr/>
        <a:lstStyle/>
        <a:p>
          <a:pPr>
            <a:defRPr lang="en-US"/>
          </a:pPr>
          <a:endParaRPr lang="bg-BG"/>
        </a:p>
      </c:txPr>
    </c:title>
    <c:plotArea>
      <c:layout/>
      <c:pieChart>
        <c:varyColors val="1"/>
        <c:ser>
          <c:idx val="0"/>
          <c:order val="0"/>
          <c:tx>
            <c:strRef>
              <c:f>'Q2'!$B$25</c:f>
              <c:strCache>
                <c:ptCount val="1"/>
                <c:pt idx="0">
                  <c:v>“Debtors collection period”</c:v>
                </c:pt>
              </c:strCache>
            </c:strRef>
          </c:tx>
          <c:dLbls>
            <c:txPr>
              <a:bodyPr/>
              <a:lstStyle/>
              <a:p>
                <a:pPr>
                  <a:defRPr lang="en-US"/>
                </a:pPr>
                <a:endParaRPr lang="bg-BG"/>
              </a:p>
            </c:txPr>
            <c:showPercent val="1"/>
          </c:dLbls>
          <c:cat>
            <c:numRef>
              <c:f>'Q2'!$C$21:$D$21</c:f>
              <c:numCache>
                <c:formatCode>General</c:formatCode>
                <c:ptCount val="2"/>
                <c:pt idx="0">
                  <c:v>2020</c:v>
                </c:pt>
                <c:pt idx="1">
                  <c:v>2021</c:v>
                </c:pt>
              </c:numCache>
            </c:numRef>
          </c:cat>
          <c:val>
            <c:numRef>
              <c:f>'Q2'!$C$25:$D$25</c:f>
              <c:numCache>
                <c:formatCode>0</c:formatCode>
                <c:ptCount val="2"/>
                <c:pt idx="0">
                  <c:v>72.931998136935249</c:v>
                </c:pt>
                <c:pt idx="1">
                  <c:v>67.658800831107158</c:v>
                </c:pt>
              </c:numCache>
            </c:numRef>
          </c:val>
        </c:ser>
        <c:dLbls>
          <c:showPercent val="1"/>
        </c:dLbls>
        <c:firstSliceAng val="0"/>
      </c:pieChart>
    </c:plotArea>
    <c:legend>
      <c:legendPos val="t"/>
      <c:txPr>
        <a:bodyPr/>
        <a:lstStyle/>
        <a:p>
          <a:pPr rtl="0">
            <a:defRPr lang="en-US"/>
          </a:pPr>
          <a:endParaRPr lang="bg-BG"/>
        </a:p>
      </c:txPr>
    </c:legend>
    <c:plotVisOnly val="1"/>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bg-BG"/>
  <c:style val="6"/>
  <c:chart>
    <c:title>
      <c:txPr>
        <a:bodyPr/>
        <a:lstStyle/>
        <a:p>
          <a:pPr>
            <a:defRPr lang="en-US"/>
          </a:pPr>
          <a:endParaRPr lang="bg-BG"/>
        </a:p>
      </c:txPr>
    </c:title>
    <c:view3D>
      <c:rAngAx val="1"/>
    </c:view3D>
    <c:plotArea>
      <c:layout/>
      <c:bar3DChart>
        <c:barDir val="bar"/>
        <c:grouping val="clustered"/>
        <c:ser>
          <c:idx val="0"/>
          <c:order val="0"/>
          <c:tx>
            <c:strRef>
              <c:f>'Q2'!$B$32</c:f>
              <c:strCache>
                <c:ptCount val="1"/>
                <c:pt idx="0">
                  <c:v>“Interest cover”</c:v>
                </c:pt>
              </c:strCache>
            </c:strRef>
          </c:tx>
          <c:cat>
            <c:numRef>
              <c:f>'Q2'!$C$29:$D$29</c:f>
              <c:numCache>
                <c:formatCode>General</c:formatCode>
                <c:ptCount val="2"/>
                <c:pt idx="0">
                  <c:v>2020</c:v>
                </c:pt>
                <c:pt idx="1">
                  <c:v>2021</c:v>
                </c:pt>
              </c:numCache>
            </c:numRef>
          </c:cat>
          <c:val>
            <c:numRef>
              <c:f>'Q2'!$C$32:$D$32</c:f>
              <c:numCache>
                <c:formatCode>0.00</c:formatCode>
                <c:ptCount val="2"/>
                <c:pt idx="0">
                  <c:v>3.8618784530386701</c:v>
                </c:pt>
                <c:pt idx="1">
                  <c:v>3.5619469026548667</c:v>
                </c:pt>
              </c:numCache>
            </c:numRef>
          </c:val>
        </c:ser>
        <c:gapWidth val="75"/>
        <c:shape val="box"/>
        <c:axId val="70914816"/>
        <c:axId val="70916352"/>
        <c:axId val="0"/>
      </c:bar3DChart>
      <c:catAx>
        <c:axId val="70914816"/>
        <c:scaling>
          <c:orientation val="minMax"/>
        </c:scaling>
        <c:axPos val="l"/>
        <c:numFmt formatCode="General" sourceLinked="1"/>
        <c:majorTickMark val="none"/>
        <c:tickLblPos val="nextTo"/>
        <c:txPr>
          <a:bodyPr/>
          <a:lstStyle/>
          <a:p>
            <a:pPr>
              <a:defRPr lang="en-US"/>
            </a:pPr>
            <a:endParaRPr lang="bg-BG"/>
          </a:p>
        </c:txPr>
        <c:crossAx val="70916352"/>
        <c:crosses val="autoZero"/>
        <c:auto val="1"/>
        <c:lblAlgn val="ctr"/>
        <c:lblOffset val="100"/>
      </c:catAx>
      <c:valAx>
        <c:axId val="70916352"/>
        <c:scaling>
          <c:orientation val="minMax"/>
        </c:scaling>
        <c:axPos val="b"/>
        <c:majorGridlines/>
        <c:numFmt formatCode="0.00" sourceLinked="1"/>
        <c:majorTickMark val="none"/>
        <c:tickLblPos val="nextTo"/>
        <c:txPr>
          <a:bodyPr/>
          <a:lstStyle/>
          <a:p>
            <a:pPr>
              <a:defRPr lang="en-US"/>
            </a:pPr>
            <a:endParaRPr lang="bg-BG"/>
          </a:p>
        </c:txPr>
        <c:crossAx val="70914816"/>
        <c:crosses val="autoZero"/>
        <c:crossBetween val="between"/>
      </c:valAx>
    </c:plotArea>
    <c:plotVisOnly val="1"/>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bg-BG"/>
  <c:style val="4"/>
  <c:chart>
    <c:title>
      <c:txPr>
        <a:bodyPr/>
        <a:lstStyle/>
        <a:p>
          <a:pPr>
            <a:defRPr lang="en-US"/>
          </a:pPr>
          <a:endParaRPr lang="bg-BG"/>
        </a:p>
      </c:txPr>
    </c:title>
    <c:view3D>
      <c:rAngAx val="1"/>
    </c:view3D>
    <c:plotArea>
      <c:layout/>
      <c:bar3DChart>
        <c:barDir val="bar"/>
        <c:grouping val="stacked"/>
        <c:ser>
          <c:idx val="0"/>
          <c:order val="0"/>
          <c:tx>
            <c:strRef>
              <c:f>'Q2'!$J$24</c:f>
              <c:strCache>
                <c:ptCount val="1"/>
                <c:pt idx="0">
                  <c:v>“Gearing ratio”</c:v>
                </c:pt>
              </c:strCache>
            </c:strRef>
          </c:tx>
          <c:cat>
            <c:numRef>
              <c:f>'Q2'!$K$13:$L$13</c:f>
              <c:numCache>
                <c:formatCode>General</c:formatCode>
                <c:ptCount val="2"/>
                <c:pt idx="0">
                  <c:v>2020</c:v>
                </c:pt>
                <c:pt idx="1">
                  <c:v>2021</c:v>
                </c:pt>
              </c:numCache>
            </c:numRef>
          </c:cat>
          <c:val>
            <c:numRef>
              <c:f>'Q2'!$K$24:$L$24</c:f>
              <c:numCache>
                <c:formatCode>0.00</c:formatCode>
                <c:ptCount val="2"/>
                <c:pt idx="0">
                  <c:v>2.4639423076923097</c:v>
                </c:pt>
                <c:pt idx="1">
                  <c:v>2.1528497409326426</c:v>
                </c:pt>
              </c:numCache>
            </c:numRef>
          </c:val>
        </c:ser>
        <c:shape val="box"/>
        <c:axId val="70965120"/>
        <c:axId val="70966656"/>
        <c:axId val="0"/>
      </c:bar3DChart>
      <c:catAx>
        <c:axId val="70965120"/>
        <c:scaling>
          <c:orientation val="minMax"/>
        </c:scaling>
        <c:axPos val="l"/>
        <c:numFmt formatCode="General" sourceLinked="1"/>
        <c:tickLblPos val="nextTo"/>
        <c:txPr>
          <a:bodyPr/>
          <a:lstStyle/>
          <a:p>
            <a:pPr>
              <a:defRPr lang="en-US"/>
            </a:pPr>
            <a:endParaRPr lang="bg-BG"/>
          </a:p>
        </c:txPr>
        <c:crossAx val="70966656"/>
        <c:crosses val="autoZero"/>
        <c:auto val="1"/>
        <c:lblAlgn val="ctr"/>
        <c:lblOffset val="100"/>
      </c:catAx>
      <c:valAx>
        <c:axId val="70966656"/>
        <c:scaling>
          <c:orientation val="minMax"/>
        </c:scaling>
        <c:axPos val="b"/>
        <c:majorGridlines/>
        <c:numFmt formatCode="0.00" sourceLinked="1"/>
        <c:tickLblPos val="nextTo"/>
        <c:txPr>
          <a:bodyPr/>
          <a:lstStyle/>
          <a:p>
            <a:pPr>
              <a:defRPr lang="en-US"/>
            </a:pPr>
            <a:endParaRPr lang="bg-BG"/>
          </a:p>
        </c:txPr>
        <c:crossAx val="70965120"/>
        <c:crosses val="autoZero"/>
        <c:crossBetween val="between"/>
      </c:valAx>
    </c:plotArea>
    <c:plotVisOnly val="1"/>
  </c:chart>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bg-BG"/>
  <c:style val="8"/>
  <c:chart>
    <c:title>
      <c:txPr>
        <a:bodyPr/>
        <a:lstStyle/>
        <a:p>
          <a:pPr>
            <a:defRPr lang="en-US"/>
          </a:pPr>
          <a:endParaRPr lang="bg-BG"/>
        </a:p>
      </c:txPr>
    </c:title>
    <c:view3D>
      <c:rAngAx val="1"/>
    </c:view3D>
    <c:plotArea>
      <c:layout/>
      <c:bar3DChart>
        <c:barDir val="col"/>
        <c:grouping val="percentStacked"/>
        <c:ser>
          <c:idx val="0"/>
          <c:order val="0"/>
          <c:tx>
            <c:strRef>
              <c:f>'Q2'!$F$24</c:f>
              <c:strCache>
                <c:ptCount val="1"/>
                <c:pt idx="0">
                  <c:v>“Current ratio”</c:v>
                </c:pt>
              </c:strCache>
            </c:strRef>
          </c:tx>
          <c:cat>
            <c:numRef>
              <c:f>'Q2'!$G$13:$H$13</c:f>
              <c:numCache>
                <c:formatCode>General</c:formatCode>
                <c:ptCount val="2"/>
                <c:pt idx="0">
                  <c:v>2020</c:v>
                </c:pt>
                <c:pt idx="1">
                  <c:v>2021</c:v>
                </c:pt>
              </c:numCache>
            </c:numRef>
          </c:cat>
          <c:val>
            <c:numRef>
              <c:f>'Q2'!$G$24:$H$24</c:f>
              <c:numCache>
                <c:formatCode>0.00</c:formatCode>
                <c:ptCount val="2"/>
                <c:pt idx="0">
                  <c:v>0.77314510833880612</c:v>
                </c:pt>
                <c:pt idx="1">
                  <c:v>0.91716447630426123</c:v>
                </c:pt>
              </c:numCache>
            </c:numRef>
          </c:val>
        </c:ser>
        <c:gapWidth val="75"/>
        <c:shape val="box"/>
        <c:axId val="70994944"/>
        <c:axId val="70996736"/>
        <c:axId val="0"/>
      </c:bar3DChart>
      <c:catAx>
        <c:axId val="70994944"/>
        <c:scaling>
          <c:orientation val="minMax"/>
        </c:scaling>
        <c:axPos val="b"/>
        <c:numFmt formatCode="General" sourceLinked="1"/>
        <c:majorTickMark val="none"/>
        <c:tickLblPos val="nextTo"/>
        <c:txPr>
          <a:bodyPr/>
          <a:lstStyle/>
          <a:p>
            <a:pPr>
              <a:defRPr lang="en-US"/>
            </a:pPr>
            <a:endParaRPr lang="bg-BG"/>
          </a:p>
        </c:txPr>
        <c:crossAx val="70996736"/>
        <c:crosses val="autoZero"/>
        <c:auto val="1"/>
        <c:lblAlgn val="ctr"/>
        <c:lblOffset val="100"/>
      </c:catAx>
      <c:valAx>
        <c:axId val="70996736"/>
        <c:scaling>
          <c:orientation val="minMax"/>
        </c:scaling>
        <c:axPos val="l"/>
        <c:majorGridlines/>
        <c:numFmt formatCode="0%" sourceLinked="1"/>
        <c:majorTickMark val="none"/>
        <c:tickLblPos val="nextTo"/>
        <c:txPr>
          <a:bodyPr/>
          <a:lstStyle/>
          <a:p>
            <a:pPr>
              <a:defRPr lang="en-US"/>
            </a:pPr>
            <a:endParaRPr lang="bg-BG"/>
          </a:p>
        </c:txPr>
        <c:crossAx val="70994944"/>
        <c:crosses val="autoZero"/>
        <c:crossBetween val="between"/>
      </c:valAx>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8F34FF-1532-4C7A-9A64-3E388A98F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2607</Words>
  <Characters>14862</Characters>
  <Application>Microsoft Office Word</Application>
  <DocSecurity>0</DocSecurity>
  <Lines>123</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17435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2022-12-28T10:52:00Z</dcterms:created>
  <dcterms:modified xsi:type="dcterms:W3CDTF">2023-01-12T21:27:00Z</dcterms:modified>
</cp:coreProperties>
</file>