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6BD1A"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0" w:name="_Toc596303054"/>
      <w:r w:rsidRPr="00F7201A">
        <w:rPr>
          <w:rFonts w:ascii="Arial" w:eastAsia="Times New Roman" w:hAnsi="Arial" w:cs="Arial"/>
          <w:b/>
          <w:bCs/>
          <w:color w:val="auto"/>
          <w:sz w:val="32"/>
          <w:szCs w:val="32"/>
        </w:rPr>
        <w:t>Chapter 1: Introduction</w:t>
      </w:r>
      <w:bookmarkEnd w:id="0"/>
    </w:p>
    <w:p w14:paraId="1F316178" w14:textId="77777777" w:rsidR="00E2708D" w:rsidRPr="00B15E29"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The dynamics of stock markets have long captivated academics, experts, and policymakers alike. Share prices vary due to a wide range of factors, from macroeconomic conditions to industry trends and firm-specific fundamentals. Among the firm-level indicators, financial ratios occupy a central position in both theoretical finance and applied investment analysis. Ratios such as the Price-to-Earnings (P/E), Earnings per Share (EPS), Return on Assets (ROA), Bonus Yield, and Current Ratio are widely used by experts to interpret corporate performance and guide investment decisions. These indicators provide understandings into a company’s success, efficiency, liquidity, wealth, and growth prospects, making them critical to both equity valuation and investor decision-making processes.</w:t>
      </w:r>
    </w:p>
    <w:p w14:paraId="4474F5F6" w14:textId="619E4229" w:rsidR="00E2708D" w:rsidRPr="00B15E29"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 xml:space="preserve">The link between financial ratios and share prices has been discovered widely within the field of corporate finance. However, the findings remain mixed and </w:t>
      </w:r>
      <w:r w:rsidR="00B07153" w:rsidRPr="00B15E29">
        <w:rPr>
          <w:rFonts w:ascii="Arial" w:eastAsia="Times New Roman" w:hAnsi="Arial" w:cs="Arial"/>
          <w:color w:val="000000" w:themeColor="text1"/>
          <w:sz w:val="22"/>
          <w:szCs w:val="22"/>
        </w:rPr>
        <w:t>background specific</w:t>
      </w:r>
      <w:r w:rsidRPr="00B15E29">
        <w:rPr>
          <w:rFonts w:ascii="Arial" w:eastAsia="Times New Roman" w:hAnsi="Arial" w:cs="Arial"/>
          <w:color w:val="000000" w:themeColor="text1"/>
          <w:sz w:val="22"/>
          <w:szCs w:val="22"/>
        </w:rPr>
        <w:t>. For example, while Basu (1977) found that low P/E stocks generate higher returns, more recent studies (e.g., Chen and Zhao, 2009) suggest that EPS and ROE are stronger analysts of future stock returns. These irregularities highlight the need for transformed investigation, especially in the post-COVID-19 economic climate where traditional valuation models may face new challenges.</w:t>
      </w:r>
    </w:p>
    <w:p w14:paraId="560CAF24" w14:textId="77777777" w:rsidR="00E2708D" w:rsidRPr="00B15E29"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The UK stock market, represented by FTSE 100, offers fertile ground for such research. As one of the most developed and varied financial markets, it provides rich data across multiple sectors, including finance, energy, healthcare, and consumer goods. However, despite the maturity of this market, recent research focusing specifically on the relationship between financial ratios and share prices in the UK has been limited. This gap creates an opportunity to revisit the topic using updated data from 2019–2023, encompassing the pre-pandemic, pandemic, and post-pandemic periods.</w:t>
      </w:r>
    </w:p>
    <w:p w14:paraId="3FA7CA93" w14:textId="77777777" w:rsidR="00E2708D" w:rsidRPr="00F7201A" w:rsidRDefault="00E2708D" w:rsidP="00E2708D">
      <w:pPr>
        <w:spacing w:after="0" w:line="360" w:lineRule="auto"/>
        <w:jc w:val="both"/>
        <w:rPr>
          <w:rFonts w:ascii="Arial" w:eastAsia="Times New Roman" w:hAnsi="Arial" w:cs="Arial"/>
          <w:color w:val="000000" w:themeColor="text1"/>
        </w:rPr>
      </w:pPr>
    </w:p>
    <w:p w14:paraId="231342B8"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1" w:name="_Toc1673236243"/>
      <w:r w:rsidRPr="00F7201A">
        <w:rPr>
          <w:rFonts w:ascii="Arial" w:eastAsia="Times New Roman" w:hAnsi="Arial" w:cs="Arial"/>
          <w:b/>
          <w:bCs/>
          <w:color w:val="auto"/>
          <w:sz w:val="32"/>
          <w:szCs w:val="32"/>
        </w:rPr>
        <w:t>1.1 Background of the Study</w:t>
      </w:r>
      <w:bookmarkEnd w:id="1"/>
    </w:p>
    <w:p w14:paraId="34F3541A" w14:textId="77777777" w:rsidR="00E2708D" w:rsidRPr="00B15E29"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 xml:space="preserve">Financial ratios serve as measurable tools that convert raw accounting data into explainable measures of company health and performance. They are classified into categories such as profitability ratios (e.g., ROA, Net Profit Margin), liquidity ratios (e.g., Current Ratio, Return on Liquidity), and estimate ratios (e.g., P/E, PEG, Dividend Yield). These ratios not </w:t>
      </w:r>
      <w:r w:rsidRPr="00B15E29">
        <w:rPr>
          <w:rFonts w:ascii="Arial" w:eastAsia="Times New Roman" w:hAnsi="Arial" w:cs="Arial"/>
          <w:color w:val="000000" w:themeColor="text1"/>
          <w:sz w:val="22"/>
          <w:szCs w:val="22"/>
        </w:rPr>
        <w:lastRenderedPageBreak/>
        <w:t>only enable cross-company and cross-sectoral comparisons but also help investors form expectations about the basic value of firms.</w:t>
      </w:r>
    </w:p>
    <w:p w14:paraId="75EE3951" w14:textId="77777777" w:rsidR="00E2708D" w:rsidRPr="00B15E29" w:rsidRDefault="00E2708D" w:rsidP="00E2708D">
      <w:pPr>
        <w:spacing w:beforeAutospacing="1" w:after="0" w:afterAutospacing="1" w:line="360" w:lineRule="auto"/>
        <w:ind w:firstLine="720"/>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Theoretically, financial ratios can influence share prices in two principal ways. First, under the Efficient Market Hypothesis (Fama, 1970), all openly available information, including financial ratios, should already be reflected in share prices. If this holds true, ratios will have little analytical power. On the other hand, fundamental analysis (Graham and Dodd, 1934) reasons that financial statements reveal mispriced securities, and careful use of ratios allows investors to exploit market incompetence. The tension between these two views supports the ongoing debate in finance: do financial ratios truly explain share price movements, or are they simply expressive tools with limited projecting capacity? This study contributes to the debate by analytically testing the statistical relationship between selected financial ratios and share prices of FTSE 100 companies.</w:t>
      </w:r>
    </w:p>
    <w:p w14:paraId="4F19CA64" w14:textId="77777777" w:rsidR="00E2708D" w:rsidRPr="00F7201A" w:rsidRDefault="00E2708D" w:rsidP="00E2708D">
      <w:pPr>
        <w:pStyle w:val="Heading1"/>
        <w:jc w:val="center"/>
        <w:rPr>
          <w:rFonts w:ascii="Arial" w:eastAsia="Times New Roman" w:hAnsi="Arial" w:cs="Arial"/>
          <w:b/>
          <w:bCs/>
          <w:color w:val="auto"/>
          <w:sz w:val="32"/>
          <w:szCs w:val="32"/>
        </w:rPr>
      </w:pPr>
      <w:bookmarkStart w:id="2" w:name="_Toc1176316583"/>
      <w:r w:rsidRPr="00F7201A">
        <w:rPr>
          <w:rFonts w:ascii="Arial" w:eastAsia="Times New Roman" w:hAnsi="Arial" w:cs="Arial"/>
          <w:b/>
          <w:bCs/>
          <w:color w:val="auto"/>
          <w:sz w:val="32"/>
          <w:szCs w:val="32"/>
        </w:rPr>
        <w:t>1.2 Statement of the Problem</w:t>
      </w:r>
      <w:bookmarkEnd w:id="2"/>
    </w:p>
    <w:p w14:paraId="2B7642CF" w14:textId="77777777" w:rsidR="00E2708D" w:rsidRPr="00B15E29" w:rsidRDefault="00E2708D" w:rsidP="00E2708D">
      <w:pPr>
        <w:spacing w:beforeAutospacing="1" w:after="0" w:afterAutospacing="1" w:line="360" w:lineRule="auto"/>
        <w:ind w:firstLine="720"/>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 xml:space="preserve">Although financial ratios are widely used by investors, analysts, and corporate managers, their projecting power regarding share price movements remains undefined. Existing studies offer disagreeing evidence, often influenced by geographical context, time limit, or industry sector. Moreover, there is a lack of recent, UK-specific studies that include the structural shocks introduced by COVID-19, Brexit worries, and inflationary pressures. Thus, the central problem addressed by this thesis is the doubt surrounding the impact of financial ratios on share prices in the UK stock market. Resolving this issue holds practical relevance for investors seeking effective valuation models, businesses aiming to understand investor </w:t>
      </w:r>
      <w:proofErr w:type="spellStart"/>
      <w:r w:rsidRPr="00B15E29">
        <w:rPr>
          <w:rFonts w:ascii="Arial" w:eastAsia="Times New Roman" w:hAnsi="Arial" w:cs="Arial"/>
          <w:color w:val="000000" w:themeColor="text1"/>
          <w:sz w:val="22"/>
          <w:szCs w:val="22"/>
        </w:rPr>
        <w:t>behaviour</w:t>
      </w:r>
      <w:proofErr w:type="spellEnd"/>
      <w:r w:rsidRPr="00B15E29">
        <w:rPr>
          <w:rFonts w:ascii="Arial" w:eastAsia="Times New Roman" w:hAnsi="Arial" w:cs="Arial"/>
          <w:color w:val="000000" w:themeColor="text1"/>
          <w:sz w:val="22"/>
          <w:szCs w:val="22"/>
        </w:rPr>
        <w:t>, and policymakers concerned with market efficiency.</w:t>
      </w:r>
    </w:p>
    <w:p w14:paraId="72EDC8ED"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3" w:name="_Toc645417584"/>
      <w:r w:rsidRPr="00F7201A">
        <w:rPr>
          <w:rFonts w:ascii="Arial" w:eastAsia="Times New Roman" w:hAnsi="Arial" w:cs="Arial"/>
          <w:b/>
          <w:bCs/>
          <w:color w:val="auto"/>
          <w:sz w:val="32"/>
          <w:szCs w:val="32"/>
        </w:rPr>
        <w:t>1.3 Research Aim, Objectives and Questions</w:t>
      </w:r>
      <w:bookmarkEnd w:id="3"/>
    </w:p>
    <w:p w14:paraId="2742221D" w14:textId="77777777" w:rsidR="00E2708D" w:rsidRPr="00F7201A" w:rsidRDefault="00E2708D" w:rsidP="00E2708D">
      <w:pPr>
        <w:spacing w:beforeAutospacing="1" w:afterAutospacing="1" w:line="360" w:lineRule="auto"/>
        <w:jc w:val="both"/>
        <w:rPr>
          <w:rFonts w:ascii="Arial" w:eastAsia="Times New Roman" w:hAnsi="Arial" w:cs="Arial"/>
          <w:color w:val="000000" w:themeColor="text1"/>
          <w:sz w:val="27"/>
          <w:szCs w:val="27"/>
        </w:rPr>
      </w:pPr>
      <w:r w:rsidRPr="00F7201A">
        <w:rPr>
          <w:rFonts w:ascii="Arial" w:eastAsia="Times New Roman" w:hAnsi="Arial" w:cs="Arial"/>
          <w:b/>
          <w:bCs/>
          <w:color w:val="000000" w:themeColor="text1"/>
          <w:sz w:val="27"/>
          <w:szCs w:val="27"/>
        </w:rPr>
        <w:t>Research Aim</w:t>
      </w:r>
    </w:p>
    <w:p w14:paraId="2F23694F" w14:textId="77777777" w:rsidR="00E2708D" w:rsidRPr="00F7201A" w:rsidRDefault="00E2708D" w:rsidP="00E2708D">
      <w:pPr>
        <w:spacing w:beforeAutospacing="1" w:afterAutospacing="1" w:line="360" w:lineRule="auto"/>
        <w:jc w:val="both"/>
        <w:rPr>
          <w:rFonts w:ascii="Arial" w:eastAsia="Times New Roman" w:hAnsi="Arial" w:cs="Arial"/>
          <w:color w:val="000000" w:themeColor="text1"/>
        </w:rPr>
      </w:pPr>
      <w:r w:rsidRPr="00B15E29">
        <w:rPr>
          <w:rFonts w:ascii="Arial" w:eastAsia="Times New Roman" w:hAnsi="Arial" w:cs="Arial"/>
          <w:color w:val="000000" w:themeColor="text1"/>
          <w:sz w:val="22"/>
          <w:szCs w:val="22"/>
        </w:rPr>
        <w:t>To examine the statistical impact of selected financial ratios on the share prices of UK-listed firms</w:t>
      </w:r>
      <w:r w:rsidRPr="00F7201A">
        <w:rPr>
          <w:rFonts w:ascii="Arial" w:eastAsia="Times New Roman" w:hAnsi="Arial" w:cs="Arial"/>
          <w:color w:val="000000" w:themeColor="text1"/>
        </w:rPr>
        <w:t>.</w:t>
      </w:r>
    </w:p>
    <w:p w14:paraId="7C8BCD11" w14:textId="77777777" w:rsidR="00E2708D" w:rsidRPr="00F7201A" w:rsidRDefault="00E2708D" w:rsidP="00E2708D">
      <w:pPr>
        <w:spacing w:beforeAutospacing="1" w:afterAutospacing="1" w:line="360" w:lineRule="auto"/>
        <w:jc w:val="both"/>
        <w:rPr>
          <w:rFonts w:ascii="Arial" w:eastAsia="Times New Roman" w:hAnsi="Arial" w:cs="Arial"/>
          <w:color w:val="000000" w:themeColor="text1"/>
          <w:sz w:val="27"/>
          <w:szCs w:val="27"/>
        </w:rPr>
      </w:pPr>
      <w:r w:rsidRPr="00F7201A">
        <w:rPr>
          <w:rFonts w:ascii="Arial" w:eastAsia="Times New Roman" w:hAnsi="Arial" w:cs="Arial"/>
          <w:b/>
          <w:bCs/>
          <w:color w:val="000000" w:themeColor="text1"/>
          <w:sz w:val="27"/>
          <w:szCs w:val="27"/>
        </w:rPr>
        <w:t>Research Objectives</w:t>
      </w:r>
    </w:p>
    <w:p w14:paraId="1A470F6C" w14:textId="77777777" w:rsidR="00E2708D" w:rsidRPr="001068B6" w:rsidRDefault="00E2708D" w:rsidP="001068B6">
      <w:pPr>
        <w:spacing w:beforeAutospacing="1" w:afterAutospacing="1" w:line="360" w:lineRule="auto"/>
        <w:jc w:val="both"/>
        <w:rPr>
          <w:rFonts w:ascii="Arial" w:eastAsia="Times New Roman" w:hAnsi="Arial" w:cs="Arial"/>
          <w:color w:val="000000" w:themeColor="text1"/>
          <w:sz w:val="22"/>
          <w:szCs w:val="22"/>
        </w:rPr>
      </w:pPr>
      <w:r w:rsidRPr="001068B6">
        <w:rPr>
          <w:rFonts w:ascii="Arial" w:eastAsia="Times New Roman" w:hAnsi="Arial" w:cs="Arial"/>
          <w:color w:val="000000" w:themeColor="text1"/>
          <w:sz w:val="22"/>
          <w:szCs w:val="22"/>
        </w:rPr>
        <w:t>To evaluate the impact of success, liquidity, and valuation ratios on share prices.</w:t>
      </w:r>
    </w:p>
    <w:p w14:paraId="07CDB042" w14:textId="77777777" w:rsidR="00E2708D" w:rsidRPr="001068B6" w:rsidRDefault="00E2708D" w:rsidP="001068B6">
      <w:pPr>
        <w:spacing w:beforeAutospacing="1" w:afterAutospacing="1" w:line="360" w:lineRule="auto"/>
        <w:jc w:val="both"/>
        <w:rPr>
          <w:rFonts w:ascii="Arial" w:eastAsia="Times New Roman" w:hAnsi="Arial" w:cs="Arial"/>
          <w:color w:val="000000" w:themeColor="text1"/>
          <w:sz w:val="22"/>
          <w:szCs w:val="22"/>
        </w:rPr>
      </w:pPr>
      <w:r w:rsidRPr="001068B6">
        <w:rPr>
          <w:rFonts w:ascii="Arial" w:eastAsia="Times New Roman" w:hAnsi="Arial" w:cs="Arial"/>
          <w:color w:val="000000" w:themeColor="text1"/>
          <w:sz w:val="22"/>
          <w:szCs w:val="22"/>
        </w:rPr>
        <w:lastRenderedPageBreak/>
        <w:t>To apply statistical analysis methods (connection and worsening) to determine the strength of the relationship between ratios and share prices.</w:t>
      </w:r>
    </w:p>
    <w:p w14:paraId="78EF838E" w14:textId="77777777" w:rsidR="00E2708D" w:rsidRPr="001068B6" w:rsidRDefault="00E2708D" w:rsidP="001068B6">
      <w:pPr>
        <w:spacing w:beforeAutospacing="1" w:afterAutospacing="1" w:line="360" w:lineRule="auto"/>
        <w:jc w:val="both"/>
        <w:rPr>
          <w:rFonts w:ascii="Arial" w:eastAsia="Times New Roman" w:hAnsi="Arial" w:cs="Arial"/>
          <w:color w:val="000000" w:themeColor="text1"/>
          <w:sz w:val="22"/>
          <w:szCs w:val="22"/>
        </w:rPr>
      </w:pPr>
      <w:r w:rsidRPr="001068B6">
        <w:rPr>
          <w:rFonts w:ascii="Arial" w:eastAsia="Times New Roman" w:hAnsi="Arial" w:cs="Arial"/>
          <w:color w:val="000000" w:themeColor="text1"/>
          <w:sz w:val="22"/>
          <w:szCs w:val="22"/>
        </w:rPr>
        <w:t>To provide understandings that can support investor decision-making and enhance the literature on financial valuation in the UK.</w:t>
      </w:r>
    </w:p>
    <w:p w14:paraId="1796C58A" w14:textId="77777777" w:rsidR="00E2708D" w:rsidRPr="00F7201A" w:rsidRDefault="00E2708D" w:rsidP="00E2708D">
      <w:pPr>
        <w:spacing w:beforeAutospacing="1" w:afterAutospacing="1" w:line="360" w:lineRule="auto"/>
        <w:jc w:val="both"/>
        <w:rPr>
          <w:rFonts w:ascii="Arial" w:eastAsia="Times New Roman" w:hAnsi="Arial" w:cs="Arial"/>
          <w:color w:val="000000" w:themeColor="text1"/>
          <w:sz w:val="27"/>
          <w:szCs w:val="27"/>
        </w:rPr>
      </w:pPr>
      <w:r w:rsidRPr="00F7201A">
        <w:rPr>
          <w:rFonts w:ascii="Arial" w:eastAsia="Times New Roman" w:hAnsi="Arial" w:cs="Arial"/>
          <w:b/>
          <w:bCs/>
          <w:color w:val="000000" w:themeColor="text1"/>
          <w:sz w:val="27"/>
          <w:szCs w:val="27"/>
        </w:rPr>
        <w:t>Research Questions</w:t>
      </w:r>
    </w:p>
    <w:p w14:paraId="0E2508CA" w14:textId="77777777" w:rsidR="00E2708D" w:rsidRPr="000E5E5C" w:rsidRDefault="00E2708D" w:rsidP="000E5E5C">
      <w:pPr>
        <w:spacing w:beforeAutospacing="1" w:afterAutospacing="1" w:line="360" w:lineRule="auto"/>
        <w:jc w:val="both"/>
        <w:rPr>
          <w:rFonts w:ascii="Arial" w:eastAsia="Times New Roman" w:hAnsi="Arial" w:cs="Arial"/>
          <w:color w:val="000000" w:themeColor="text1"/>
          <w:sz w:val="22"/>
          <w:szCs w:val="22"/>
        </w:rPr>
      </w:pPr>
      <w:r w:rsidRPr="000E5E5C">
        <w:rPr>
          <w:rFonts w:ascii="Arial" w:eastAsia="Times New Roman" w:hAnsi="Arial" w:cs="Arial"/>
          <w:color w:val="000000" w:themeColor="text1"/>
          <w:sz w:val="22"/>
          <w:szCs w:val="22"/>
        </w:rPr>
        <w:t>How do key financial ratios affect the share prices of UK-listed companies?</w:t>
      </w:r>
    </w:p>
    <w:p w14:paraId="3DCEF610" w14:textId="77777777" w:rsidR="00E2708D" w:rsidRPr="000E5E5C" w:rsidRDefault="00E2708D" w:rsidP="000E5E5C">
      <w:pPr>
        <w:spacing w:beforeAutospacing="1" w:afterAutospacing="1" w:line="360" w:lineRule="auto"/>
        <w:jc w:val="both"/>
        <w:rPr>
          <w:rFonts w:ascii="Arial" w:eastAsia="Times New Roman" w:hAnsi="Arial" w:cs="Arial"/>
          <w:color w:val="000000" w:themeColor="text1"/>
          <w:sz w:val="22"/>
          <w:szCs w:val="22"/>
        </w:rPr>
      </w:pPr>
      <w:r w:rsidRPr="000E5E5C">
        <w:rPr>
          <w:rFonts w:ascii="Arial" w:eastAsia="Times New Roman" w:hAnsi="Arial" w:cs="Arial"/>
          <w:color w:val="000000" w:themeColor="text1"/>
          <w:sz w:val="22"/>
          <w:szCs w:val="22"/>
        </w:rPr>
        <w:t>Are some financial ratios better predictors of share prices than others?</w:t>
      </w:r>
    </w:p>
    <w:p w14:paraId="47C2A4FF" w14:textId="77777777" w:rsidR="00E2708D" w:rsidRPr="000E5E5C" w:rsidRDefault="00E2708D" w:rsidP="000E5E5C">
      <w:pPr>
        <w:spacing w:beforeAutospacing="1" w:afterAutospacing="1" w:line="360" w:lineRule="auto"/>
        <w:jc w:val="both"/>
        <w:rPr>
          <w:rFonts w:ascii="Arial" w:eastAsia="Times New Roman" w:hAnsi="Arial" w:cs="Arial"/>
          <w:color w:val="000000" w:themeColor="text1"/>
          <w:sz w:val="22"/>
          <w:szCs w:val="22"/>
        </w:rPr>
      </w:pPr>
      <w:r w:rsidRPr="000E5E5C">
        <w:rPr>
          <w:rFonts w:ascii="Arial" w:eastAsia="Times New Roman" w:hAnsi="Arial" w:cs="Arial"/>
          <w:color w:val="000000" w:themeColor="text1"/>
          <w:sz w:val="22"/>
          <w:szCs w:val="22"/>
        </w:rPr>
        <w:t>How has the relationship between financial ratios and share prices evolved during the pre- and post-COVID-19 periods?</w:t>
      </w:r>
    </w:p>
    <w:p w14:paraId="114094AB" w14:textId="77777777" w:rsidR="00E2708D" w:rsidRPr="00F7201A" w:rsidRDefault="00E2708D" w:rsidP="00E2708D">
      <w:pPr>
        <w:spacing w:after="0" w:line="360" w:lineRule="auto"/>
        <w:jc w:val="both"/>
        <w:rPr>
          <w:rFonts w:ascii="Arial" w:eastAsia="Times New Roman" w:hAnsi="Arial" w:cs="Arial"/>
          <w:color w:val="000000" w:themeColor="text1"/>
        </w:rPr>
      </w:pPr>
    </w:p>
    <w:p w14:paraId="75942947" w14:textId="77777777" w:rsidR="00E2708D" w:rsidRPr="00F7201A" w:rsidRDefault="00E2708D" w:rsidP="00E2708D">
      <w:pPr>
        <w:pStyle w:val="Heading1"/>
        <w:jc w:val="center"/>
        <w:rPr>
          <w:rFonts w:ascii="Arial" w:eastAsia="Times New Roman" w:hAnsi="Arial" w:cs="Arial"/>
          <w:b/>
          <w:bCs/>
          <w:color w:val="auto"/>
          <w:sz w:val="32"/>
          <w:szCs w:val="32"/>
        </w:rPr>
      </w:pPr>
      <w:bookmarkStart w:id="4" w:name="_Toc787508812"/>
      <w:r w:rsidRPr="00F7201A">
        <w:rPr>
          <w:rFonts w:ascii="Arial" w:eastAsia="Times New Roman" w:hAnsi="Arial" w:cs="Arial"/>
          <w:b/>
          <w:bCs/>
          <w:color w:val="auto"/>
          <w:sz w:val="32"/>
          <w:szCs w:val="32"/>
        </w:rPr>
        <w:t>1.4 Structure of the Dissertation</w:t>
      </w:r>
      <w:bookmarkEnd w:id="4"/>
    </w:p>
    <w:p w14:paraId="50007BBB" w14:textId="77777777" w:rsidR="00E2708D" w:rsidRPr="00B15E29" w:rsidRDefault="00E2708D" w:rsidP="00E2708D">
      <w:pPr>
        <w:spacing w:beforeAutospacing="1" w:afterAutospacing="1" w:line="360" w:lineRule="auto"/>
        <w:jc w:val="both"/>
        <w:rPr>
          <w:rFonts w:ascii="Arial" w:eastAsia="Times New Roman" w:hAnsi="Arial" w:cs="Arial"/>
          <w:color w:val="000000" w:themeColor="text1"/>
          <w:sz w:val="22"/>
          <w:szCs w:val="22"/>
        </w:rPr>
      </w:pPr>
      <w:r w:rsidRPr="00B15E29">
        <w:rPr>
          <w:rFonts w:ascii="Arial" w:eastAsia="Times New Roman" w:hAnsi="Arial" w:cs="Arial"/>
          <w:color w:val="000000" w:themeColor="text1"/>
          <w:sz w:val="22"/>
          <w:szCs w:val="22"/>
        </w:rPr>
        <w:t>This dissertation is structured into five chapters:</w:t>
      </w:r>
    </w:p>
    <w:p w14:paraId="10A02720" w14:textId="77777777" w:rsidR="0012338D" w:rsidRDefault="00E2708D" w:rsidP="0012338D">
      <w:pPr>
        <w:spacing w:beforeAutospacing="1" w:afterAutospacing="1" w:line="360" w:lineRule="auto"/>
        <w:jc w:val="both"/>
        <w:rPr>
          <w:rFonts w:ascii="Arial" w:eastAsia="Times New Roman" w:hAnsi="Arial" w:cs="Arial"/>
          <w:color w:val="000000" w:themeColor="text1"/>
          <w:sz w:val="22"/>
          <w:szCs w:val="22"/>
        </w:rPr>
      </w:pPr>
      <w:r w:rsidRPr="007867B0">
        <w:rPr>
          <w:rFonts w:ascii="Arial" w:eastAsia="Times New Roman" w:hAnsi="Arial" w:cs="Arial"/>
          <w:b/>
          <w:bCs/>
          <w:color w:val="000000" w:themeColor="text1"/>
          <w:sz w:val="22"/>
          <w:szCs w:val="22"/>
        </w:rPr>
        <w:t>Chapter 1 (Introduction):</w:t>
      </w:r>
      <w:r w:rsidRPr="007867B0">
        <w:rPr>
          <w:rFonts w:ascii="Arial" w:eastAsia="Times New Roman" w:hAnsi="Arial" w:cs="Arial"/>
          <w:color w:val="000000" w:themeColor="text1"/>
          <w:sz w:val="22"/>
          <w:szCs w:val="22"/>
        </w:rPr>
        <w:t xml:space="preserve"> Provides background, research problems, aims, objectives, and questions.</w:t>
      </w:r>
    </w:p>
    <w:p w14:paraId="7DFBE92E" w14:textId="0499856C" w:rsidR="00E2708D" w:rsidRPr="007867B0" w:rsidRDefault="00E2708D" w:rsidP="0012338D">
      <w:pPr>
        <w:spacing w:beforeAutospacing="1" w:afterAutospacing="1" w:line="360" w:lineRule="auto"/>
        <w:jc w:val="both"/>
        <w:rPr>
          <w:rFonts w:ascii="Arial" w:eastAsia="Times New Roman" w:hAnsi="Arial" w:cs="Arial"/>
          <w:color w:val="000000" w:themeColor="text1"/>
          <w:sz w:val="22"/>
          <w:szCs w:val="22"/>
        </w:rPr>
      </w:pPr>
      <w:r w:rsidRPr="007867B0">
        <w:rPr>
          <w:rFonts w:ascii="Arial" w:eastAsia="Times New Roman" w:hAnsi="Arial" w:cs="Arial"/>
          <w:b/>
          <w:bCs/>
          <w:color w:val="000000" w:themeColor="text1"/>
          <w:sz w:val="22"/>
          <w:szCs w:val="22"/>
        </w:rPr>
        <w:t>Chapter 2 (Literature Review):</w:t>
      </w:r>
      <w:r w:rsidRPr="007867B0">
        <w:rPr>
          <w:rFonts w:ascii="Arial" w:eastAsia="Times New Roman" w:hAnsi="Arial" w:cs="Arial"/>
          <w:color w:val="000000" w:themeColor="text1"/>
          <w:sz w:val="22"/>
          <w:szCs w:val="22"/>
        </w:rPr>
        <w:t xml:space="preserve"> Critically reviews theoretical frameworks, major financial ratios, empirical findings, and gaps in the literature.</w:t>
      </w:r>
    </w:p>
    <w:p w14:paraId="442D8079" w14:textId="77777777" w:rsidR="00E2708D" w:rsidRPr="007867B0" w:rsidRDefault="00E2708D" w:rsidP="0012338D">
      <w:pPr>
        <w:spacing w:beforeAutospacing="1" w:afterAutospacing="1" w:line="360" w:lineRule="auto"/>
        <w:jc w:val="both"/>
        <w:rPr>
          <w:rFonts w:ascii="Arial" w:eastAsia="Times New Roman" w:hAnsi="Arial" w:cs="Arial"/>
          <w:color w:val="000000" w:themeColor="text1"/>
          <w:sz w:val="22"/>
          <w:szCs w:val="22"/>
        </w:rPr>
      </w:pPr>
      <w:r w:rsidRPr="007867B0">
        <w:rPr>
          <w:rFonts w:ascii="Arial" w:eastAsia="Times New Roman" w:hAnsi="Arial" w:cs="Arial"/>
          <w:b/>
          <w:bCs/>
          <w:color w:val="000000" w:themeColor="text1"/>
          <w:sz w:val="22"/>
          <w:szCs w:val="22"/>
        </w:rPr>
        <w:t>Chapter 3 (Research Methodology):</w:t>
      </w:r>
      <w:r w:rsidRPr="007867B0">
        <w:rPr>
          <w:rFonts w:ascii="Arial" w:eastAsia="Times New Roman" w:hAnsi="Arial" w:cs="Arial"/>
          <w:color w:val="000000" w:themeColor="text1"/>
          <w:sz w:val="22"/>
          <w:szCs w:val="22"/>
        </w:rPr>
        <w:t xml:space="preserve"> Outlines the philosophical stance, research design, sampling, data collection, and analytical techniques.</w:t>
      </w:r>
    </w:p>
    <w:p w14:paraId="20A6780D" w14:textId="77777777" w:rsidR="00E2708D" w:rsidRPr="007867B0" w:rsidRDefault="00E2708D" w:rsidP="0012338D">
      <w:pPr>
        <w:spacing w:beforeAutospacing="1" w:afterAutospacing="1" w:line="360" w:lineRule="auto"/>
        <w:jc w:val="both"/>
        <w:rPr>
          <w:rFonts w:ascii="Arial" w:eastAsia="Times New Roman" w:hAnsi="Arial" w:cs="Arial"/>
          <w:color w:val="000000" w:themeColor="text1"/>
          <w:sz w:val="22"/>
          <w:szCs w:val="22"/>
        </w:rPr>
      </w:pPr>
      <w:r w:rsidRPr="007867B0">
        <w:rPr>
          <w:rFonts w:ascii="Arial" w:eastAsia="Times New Roman" w:hAnsi="Arial" w:cs="Arial"/>
          <w:b/>
          <w:bCs/>
          <w:color w:val="000000" w:themeColor="text1"/>
          <w:sz w:val="22"/>
          <w:szCs w:val="22"/>
        </w:rPr>
        <w:t>Chapter 4 (Results and Analysis):</w:t>
      </w:r>
      <w:r w:rsidRPr="007867B0">
        <w:rPr>
          <w:rFonts w:ascii="Arial" w:eastAsia="Times New Roman" w:hAnsi="Arial" w:cs="Arial"/>
          <w:color w:val="000000" w:themeColor="text1"/>
          <w:sz w:val="22"/>
          <w:szCs w:val="22"/>
        </w:rPr>
        <w:t xml:space="preserve"> Presents the statistical findings of the study, including regression results, and interprets their significance.</w:t>
      </w:r>
    </w:p>
    <w:p w14:paraId="2D585940" w14:textId="77777777" w:rsidR="00E2708D" w:rsidRPr="007867B0" w:rsidRDefault="00E2708D" w:rsidP="0012338D">
      <w:pPr>
        <w:spacing w:beforeAutospacing="1" w:afterAutospacing="1" w:line="360" w:lineRule="auto"/>
        <w:jc w:val="both"/>
        <w:rPr>
          <w:rFonts w:ascii="Arial" w:eastAsia="Times New Roman" w:hAnsi="Arial" w:cs="Arial"/>
          <w:color w:val="000000" w:themeColor="text1"/>
          <w:sz w:val="22"/>
          <w:szCs w:val="22"/>
        </w:rPr>
      </w:pPr>
      <w:r w:rsidRPr="007867B0">
        <w:rPr>
          <w:rFonts w:ascii="Arial" w:eastAsia="Times New Roman" w:hAnsi="Arial" w:cs="Arial"/>
          <w:b/>
          <w:bCs/>
          <w:color w:val="000000" w:themeColor="text1"/>
          <w:sz w:val="22"/>
          <w:szCs w:val="22"/>
        </w:rPr>
        <w:t>Chapter 5 (Discussion and Conclusion):</w:t>
      </w:r>
      <w:r w:rsidRPr="007867B0">
        <w:rPr>
          <w:rFonts w:ascii="Arial" w:eastAsia="Times New Roman" w:hAnsi="Arial" w:cs="Arial"/>
          <w:color w:val="000000" w:themeColor="text1"/>
          <w:sz w:val="22"/>
          <w:szCs w:val="22"/>
        </w:rPr>
        <w:t xml:space="preserve"> Summarizes key insights, discusses implications for investors and theory, highlights limitations, and suggests areas for further research.</w:t>
      </w:r>
    </w:p>
    <w:p w14:paraId="3164AD84" w14:textId="77777777" w:rsidR="00E2708D" w:rsidRPr="00F7201A" w:rsidRDefault="00E2708D" w:rsidP="00E2708D">
      <w:pPr>
        <w:spacing w:line="360" w:lineRule="auto"/>
        <w:jc w:val="both"/>
        <w:rPr>
          <w:rFonts w:ascii="Arial" w:eastAsia="Times New Roman" w:hAnsi="Arial" w:cs="Arial"/>
        </w:rPr>
      </w:pPr>
    </w:p>
    <w:p w14:paraId="7E615C71" w14:textId="77777777" w:rsidR="00E2708D" w:rsidRPr="00F7201A" w:rsidRDefault="00E2708D" w:rsidP="00E2708D">
      <w:pPr>
        <w:pStyle w:val="Heading1"/>
        <w:spacing w:line="360" w:lineRule="auto"/>
        <w:jc w:val="center"/>
        <w:rPr>
          <w:rFonts w:ascii="Arial" w:eastAsia="Times New Roman" w:hAnsi="Arial" w:cs="Arial"/>
          <w:b/>
          <w:bCs/>
          <w:color w:val="auto"/>
          <w:sz w:val="36"/>
          <w:szCs w:val="36"/>
        </w:rPr>
      </w:pPr>
      <w:bookmarkStart w:id="5" w:name="_Toc380391365"/>
      <w:r w:rsidRPr="00F7201A">
        <w:rPr>
          <w:rFonts w:ascii="Arial" w:eastAsia="Times New Roman" w:hAnsi="Arial" w:cs="Arial"/>
          <w:b/>
          <w:bCs/>
          <w:color w:val="auto"/>
          <w:sz w:val="36"/>
          <w:szCs w:val="36"/>
        </w:rPr>
        <w:lastRenderedPageBreak/>
        <w:t>Chapter 2: Literature Review</w:t>
      </w:r>
      <w:bookmarkEnd w:id="5"/>
    </w:p>
    <w:p w14:paraId="782463CB"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6" w:name="_Toc1523288389"/>
      <w:r w:rsidRPr="00F7201A">
        <w:rPr>
          <w:rFonts w:ascii="Arial" w:eastAsia="Times New Roman" w:hAnsi="Arial" w:cs="Arial"/>
          <w:b/>
          <w:bCs/>
          <w:color w:val="auto"/>
          <w:sz w:val="32"/>
          <w:szCs w:val="32"/>
        </w:rPr>
        <w:t>2.1 Introduction</w:t>
      </w:r>
      <w:bookmarkEnd w:id="6"/>
    </w:p>
    <w:p w14:paraId="27154F9E" w14:textId="77777777" w:rsidR="00E2708D" w:rsidRPr="00B15E29"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B15E29">
        <w:rPr>
          <w:rFonts w:ascii="Arial" w:eastAsia="Times New Roman" w:hAnsi="Arial" w:cs="Arial"/>
          <w:kern w:val="0"/>
          <w:sz w:val="22"/>
          <w:szCs w:val="22"/>
          <w14:ligatures w14:val="none"/>
        </w:rPr>
        <w:t>Financial ratios are fundamental tools used in financial analysis to evaluate a company's performance, financial health, and investment potential. They provide a measurable vision into profitability, liquidity, efficiency, and wealth, enabling investors and analysts to make informed decisions. The relationship between financial ratios and share prices has been widely studied in finance, but practical findings often differ across markets, sectors, and time periods. This chapter critically examines the literature on financial ratios and their impact on share prices, drawing on theoretical frameworks, practical evidence, and previous research. The discussion begins with relevant financial theories, followed by a detailed exploration of key financial ratios, their calculation, and hypothesized influence on stock prices. The chapter then summarizes practical findings, outlines the abstract framework for the study, and recognizes gaps in the literature.</w:t>
      </w:r>
    </w:p>
    <w:p w14:paraId="779C3763"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7" w:name="_Toc2072210253"/>
      <w:r w:rsidRPr="00F7201A">
        <w:rPr>
          <w:rFonts w:ascii="Arial" w:eastAsia="Times New Roman" w:hAnsi="Arial" w:cs="Arial"/>
          <w:b/>
          <w:bCs/>
          <w:color w:val="auto"/>
          <w:sz w:val="32"/>
          <w:szCs w:val="32"/>
        </w:rPr>
        <w:t>2.2 Theoretical Framework</w:t>
      </w:r>
      <w:bookmarkEnd w:id="7"/>
    </w:p>
    <w:p w14:paraId="3F05CCBF"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8" w:name="_Toc31332255"/>
      <w:r w:rsidRPr="00F7201A">
        <w:rPr>
          <w:rFonts w:ascii="Arial" w:eastAsia="Times New Roman" w:hAnsi="Arial" w:cs="Arial"/>
          <w:b/>
          <w:bCs/>
          <w:color w:val="auto"/>
          <w:sz w:val="28"/>
          <w:szCs w:val="28"/>
        </w:rPr>
        <w:t>2.2.1 Efficient Market Hypothesis (EMH)</w:t>
      </w:r>
      <w:bookmarkEnd w:id="8"/>
    </w:p>
    <w:p w14:paraId="5C8C97EC" w14:textId="77777777" w:rsidR="00E2708D" w:rsidRPr="00B15E29"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B15E29">
        <w:rPr>
          <w:rFonts w:ascii="Arial" w:eastAsia="Times New Roman" w:hAnsi="Arial" w:cs="Arial"/>
          <w:kern w:val="0"/>
          <w:sz w:val="22"/>
          <w:szCs w:val="22"/>
          <w14:ligatures w14:val="none"/>
        </w:rPr>
        <w:t>The EMH, advanced by Fama (1970), posits that financial markets incorporate all available information into stock prices, leaving no room for abnormal returns through ratio-based predictions. Studies grounded in EMH, such as Malkiel (2003), often employ econometric modelling and event studies to test how rapidly markets absorb new information. For instance, Chan et al. (2008) used daily stock data and found that price adjustments in the US market were almost immediate, limiting predictive power of accounting ratios. However, other research contradicts this strict interpretation. Basu (1977), through regression analysis of P/E ratios and stock returns, demonstrated persistent excess returns, undermining EMH’s strong form. This divergence highlights that while EMH provides a theoretical benchmark, empirical evidence supports the relevance of ratio analysis, particularly in contexts of market inefficiency.</w:t>
      </w:r>
    </w:p>
    <w:p w14:paraId="18AD1F17" w14:textId="77777777" w:rsidR="00E2708D" w:rsidRPr="00B15E29"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B15E29">
        <w:rPr>
          <w:rFonts w:ascii="Arial" w:eastAsia="Times New Roman" w:hAnsi="Arial" w:cs="Arial"/>
          <w:kern w:val="0"/>
          <w:sz w:val="22"/>
          <w:szCs w:val="22"/>
          <w14:ligatures w14:val="none"/>
        </w:rPr>
        <w:t xml:space="preserve">This study aligns with the </w:t>
      </w:r>
      <w:r w:rsidRPr="00B15E29">
        <w:rPr>
          <w:rFonts w:ascii="Arial" w:eastAsia="Times New Roman" w:hAnsi="Arial" w:cs="Arial"/>
          <w:i/>
          <w:iCs/>
          <w:kern w:val="0"/>
          <w:sz w:val="22"/>
          <w:szCs w:val="22"/>
          <w14:ligatures w14:val="none"/>
        </w:rPr>
        <w:t>semi-strong form</w:t>
      </w:r>
      <w:r w:rsidRPr="00B15E29">
        <w:rPr>
          <w:rFonts w:ascii="Arial" w:eastAsia="Times New Roman" w:hAnsi="Arial" w:cs="Arial"/>
          <w:kern w:val="0"/>
          <w:sz w:val="22"/>
          <w:szCs w:val="22"/>
          <w14:ligatures w14:val="none"/>
        </w:rPr>
        <w:t xml:space="preserve"> of EMH—acknowledging that public information (e.g., ratios) is quickly absorbed, yet inefficiencies persist, especially during periods of volatility like COVID-19.</w:t>
      </w:r>
    </w:p>
    <w:p w14:paraId="448E6D7A"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9" w:name="_Toc1057725965"/>
      <w:r w:rsidRPr="00F7201A">
        <w:rPr>
          <w:rFonts w:ascii="Arial" w:eastAsia="Times New Roman" w:hAnsi="Arial" w:cs="Arial"/>
          <w:b/>
          <w:bCs/>
          <w:color w:val="auto"/>
          <w:sz w:val="28"/>
          <w:szCs w:val="28"/>
        </w:rPr>
        <w:lastRenderedPageBreak/>
        <w:t>2.2.2 Fundamental Analysis</w:t>
      </w:r>
      <w:bookmarkEnd w:id="9"/>
    </w:p>
    <w:p w14:paraId="270ABD09" w14:textId="77777777" w:rsidR="00E2708D" w:rsidRPr="00B15E29"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B15E29">
        <w:rPr>
          <w:rFonts w:ascii="Arial" w:eastAsia="Times New Roman" w:hAnsi="Arial" w:cs="Arial"/>
          <w:sz w:val="22"/>
          <w:szCs w:val="22"/>
        </w:rPr>
        <w:t>In contrast to EMH, fundamental analysis, as introduced by Graham and Dodd (1934), argues that intrinsic stock value can be estimated by evaluating a company’s financial statements. Analysts using fundamental methods assess profitability, growth, liquidity, and risk to determine whether a stock is over- or undervalued. Penman (2013) emphasized that ratios like P/E, ROE, and EPS are crucial for predicting intrinsic values. This theory underpins much of the empirical literature that finds a statistically significant link between financial ratios and stock prices, particularly in periods of market volatility.</w:t>
      </w:r>
      <w:r w:rsidRPr="00B15E29">
        <w:rPr>
          <w:rFonts w:ascii="Arial" w:eastAsia="Times New Roman" w:hAnsi="Arial" w:cs="Arial"/>
          <w:kern w:val="0"/>
          <w:sz w:val="22"/>
          <w:szCs w:val="22"/>
          <w14:ligatures w14:val="none"/>
        </w:rPr>
        <w:t xml:space="preserve"> Ou and Penman (1989) constructed predictive scores using ratios, finding significant explanatory power for future returns. Similarly, Lev and Thiagarajan (1993) used cross-sectional regression to establish that earnings quality and liquidity ratios consistently explain stock performance.</w:t>
      </w:r>
    </w:p>
    <w:p w14:paraId="6202C255" w14:textId="77777777" w:rsidR="00E2708D" w:rsidRPr="00B15E29" w:rsidRDefault="00E2708D" w:rsidP="00E2708D">
      <w:pPr>
        <w:pStyle w:val="NormalWeb"/>
        <w:spacing w:line="360" w:lineRule="auto"/>
        <w:ind w:firstLine="720"/>
        <w:jc w:val="both"/>
        <w:rPr>
          <w:rFonts w:ascii="Arial" w:hAnsi="Arial" w:cs="Arial"/>
          <w:sz w:val="22"/>
          <w:szCs w:val="22"/>
        </w:rPr>
      </w:pPr>
      <w:r w:rsidRPr="00B15E29">
        <w:rPr>
          <w:rFonts w:ascii="Arial" w:hAnsi="Arial" w:cs="Arial"/>
          <w:sz w:val="22"/>
          <w:szCs w:val="22"/>
        </w:rPr>
        <w:t>During the Covid-19 crisis, Fundamental Analysis became especially important as stock prices often diverged from historical valuations due to market panic or uncertainty. Firms with strong financial ratios—high liquidity, ROA, or dividend stability—were better able to maintain share prices, supporting the hypothesis that fundamental indicators can predict stock value even when markets are temporarily inefficient.</w:t>
      </w:r>
    </w:p>
    <w:p w14:paraId="1EE61C56" w14:textId="77777777" w:rsidR="00E2708D" w:rsidRPr="00F7201A" w:rsidRDefault="00E2708D" w:rsidP="00E2708D">
      <w:pPr>
        <w:pStyle w:val="NormalWeb"/>
        <w:spacing w:line="360" w:lineRule="auto"/>
        <w:ind w:firstLine="720"/>
        <w:jc w:val="both"/>
        <w:rPr>
          <w:rFonts w:ascii="Arial" w:hAnsi="Arial" w:cs="Arial"/>
        </w:rPr>
      </w:pPr>
      <w:r w:rsidRPr="00F7201A">
        <w:rPr>
          <w:rStyle w:val="Strong"/>
          <w:rFonts w:ascii="Arial" w:hAnsi="Arial" w:cs="Arial"/>
        </w:rPr>
        <w:t>Integration with This Study:</w:t>
      </w:r>
      <w:r w:rsidRPr="00F7201A">
        <w:rPr>
          <w:rFonts w:ascii="Arial" w:hAnsi="Arial" w:cs="Arial"/>
        </w:rPr>
        <w:t xml:space="preserve"> </w:t>
      </w:r>
      <w:r w:rsidRPr="00B15E29">
        <w:rPr>
          <w:rFonts w:ascii="Arial" w:hAnsi="Arial" w:cs="Arial"/>
          <w:sz w:val="22"/>
          <w:szCs w:val="22"/>
        </w:rPr>
        <w:t>This research applies fundamental analysis theory to examine the effect of key ratios on FTSE 100 share prices from 2019–2023. Focusing on post-Covid periods, it tests whether fundamental indicators remain predictive under volatile market conditions, aligning theory with empirical observation.</w:t>
      </w:r>
    </w:p>
    <w:p w14:paraId="7CD9C077"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10" w:name="_Toc1224992073"/>
      <w:r w:rsidRPr="00F7201A">
        <w:rPr>
          <w:rFonts w:ascii="Arial" w:eastAsia="Times New Roman" w:hAnsi="Arial" w:cs="Arial"/>
          <w:b/>
          <w:bCs/>
          <w:color w:val="auto"/>
          <w:sz w:val="32"/>
          <w:szCs w:val="32"/>
        </w:rPr>
        <w:t>2.3 Major Financial Ratios and Their Usage</w:t>
      </w:r>
      <w:bookmarkEnd w:id="10"/>
    </w:p>
    <w:p w14:paraId="48B9A265" w14:textId="77777777" w:rsidR="00E2708D" w:rsidRPr="00B15E29"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B15E29">
        <w:rPr>
          <w:rFonts w:ascii="Arial" w:eastAsia="Times New Roman" w:hAnsi="Arial" w:cs="Arial"/>
          <w:kern w:val="0"/>
          <w:sz w:val="22"/>
          <w:szCs w:val="22"/>
          <w14:ligatures w14:val="none"/>
        </w:rPr>
        <w:t>Financial ratios provide multi-dimensional understandings into a company’s performance and are critical for investment analysis. This study focuses on success, valuation, liquidity, and power ratios, which serve as independent variables in exploring their effect on share prices.</w:t>
      </w:r>
    </w:p>
    <w:p w14:paraId="1497DEA0"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11" w:name="_Toc730577426"/>
      <w:r w:rsidRPr="00F7201A">
        <w:rPr>
          <w:rFonts w:ascii="Arial" w:eastAsia="Times New Roman" w:hAnsi="Arial" w:cs="Arial"/>
          <w:b/>
          <w:bCs/>
          <w:color w:val="auto"/>
          <w:sz w:val="28"/>
          <w:szCs w:val="28"/>
        </w:rPr>
        <w:t>2.3.1 Return on Assets (ROA)</w:t>
      </w:r>
      <w:bookmarkEnd w:id="11"/>
    </w:p>
    <w:p w14:paraId="2144631D" w14:textId="77777777" w:rsidR="00E2708D" w:rsidRPr="00B15E29"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Definition &amp; Calculation:</w:t>
      </w:r>
      <w:r w:rsidRPr="00F7201A">
        <w:rPr>
          <w:rFonts w:ascii="Arial" w:eastAsia="Times New Roman" w:hAnsi="Arial" w:cs="Arial"/>
        </w:rPr>
        <w:t xml:space="preserve"> </w:t>
      </w:r>
      <w:r w:rsidRPr="00B15E29">
        <w:rPr>
          <w:rFonts w:ascii="Arial" w:eastAsia="Times New Roman" w:hAnsi="Arial" w:cs="Arial"/>
          <w:kern w:val="0"/>
          <w:sz w:val="22"/>
          <w:szCs w:val="22"/>
          <w14:ligatures w14:val="none"/>
        </w:rPr>
        <w:t>Return on Assets (ROA) is a success ratio that measures how efficiently a firm uses its total assets to generate net income. It is calculated as:</w:t>
      </w:r>
    </w:p>
    <w:p w14:paraId="579B11D8" w14:textId="77777777" w:rsidR="00E2708D" w:rsidRPr="00F7201A" w:rsidRDefault="00E2708D" w:rsidP="00E2708D">
      <w:pPr>
        <w:spacing w:after="0" w:line="360" w:lineRule="auto"/>
        <w:jc w:val="both"/>
        <w:rPr>
          <w:rFonts w:ascii="Arial" w:eastAsia="Times New Roman" w:hAnsi="Arial" w:cs="Arial"/>
          <w:kern w:val="0"/>
          <w14:ligatures w14:val="none"/>
        </w:rPr>
      </w:pPr>
      <m:oMathPara>
        <m:oMath>
          <m:r>
            <w:rPr>
              <w:rFonts w:ascii="Cambria Math" w:eastAsia="Times New Roman" w:hAnsi="Cambria Math" w:cs="Arial"/>
              <w:kern w:val="0"/>
              <w14:ligatures w14:val="none"/>
            </w:rPr>
            <w:lastRenderedPageBreak/>
            <m:t>ROA=</m:t>
          </m:r>
          <m:f>
            <m:fPr>
              <m:ctrlPr>
                <w:rPr>
                  <w:rFonts w:ascii="Cambria Math" w:eastAsia="Times New Roman" w:hAnsi="Cambria Math" w:cs="Arial"/>
                  <w:kern w:val="0"/>
                  <w14:ligatures w14:val="none"/>
                </w:rPr>
              </m:ctrlPr>
            </m:fPr>
            <m:num>
              <m:r>
                <w:rPr>
                  <w:rFonts w:ascii="Cambria Math" w:eastAsia="Times New Roman" w:hAnsi="Cambria Math" w:cs="Arial"/>
                  <w:kern w:val="0"/>
                  <w14:ligatures w14:val="none"/>
                </w:rPr>
                <m:t>Net</m:t>
              </m:r>
              <m:r>
                <m:rPr>
                  <m:nor/>
                </m:rPr>
                <w:rPr>
                  <w:rFonts w:ascii="Arial" w:eastAsia="Times New Roman" w:hAnsi="Arial" w:cs="Arial"/>
                  <w:kern w:val="0"/>
                  <w14:ligatures w14:val="none"/>
                </w:rPr>
                <m:t xml:space="preserve"> </m:t>
              </m:r>
              <m:r>
                <w:rPr>
                  <w:rFonts w:ascii="Cambria Math" w:eastAsia="Times New Roman" w:hAnsi="Cambria Math" w:cs="Arial"/>
                  <w:kern w:val="0"/>
                  <w14:ligatures w14:val="none"/>
                </w:rPr>
                <m:t>Income</m:t>
              </m:r>
            </m:num>
            <m:den>
              <m:r>
                <w:rPr>
                  <w:rFonts w:ascii="Cambria Math" w:eastAsia="Times New Roman" w:hAnsi="Cambria Math" w:cs="Arial"/>
                  <w:kern w:val="0"/>
                  <w14:ligatures w14:val="none"/>
                </w:rPr>
                <m:t>Total</m:t>
              </m:r>
              <m:r>
                <m:rPr>
                  <m:nor/>
                </m:rPr>
                <w:rPr>
                  <w:rFonts w:ascii="Arial" w:eastAsia="Times New Roman" w:hAnsi="Arial" w:cs="Arial"/>
                  <w:kern w:val="0"/>
                  <w14:ligatures w14:val="none"/>
                </w:rPr>
                <m:t xml:space="preserve"> </m:t>
              </m:r>
              <m:r>
                <w:rPr>
                  <w:rFonts w:ascii="Cambria Math" w:eastAsia="Times New Roman" w:hAnsi="Cambria Math" w:cs="Arial"/>
                  <w:kern w:val="0"/>
                  <w14:ligatures w14:val="none"/>
                </w:rPr>
                <m:t>Assets</m:t>
              </m:r>
            </m:den>
          </m:f>
          <m:r>
            <w:rPr>
              <w:rFonts w:ascii="Cambria Math" w:eastAsia="Times New Roman" w:hAnsi="Cambria Math" w:cs="Arial"/>
              <w:kern w:val="0"/>
              <w14:ligatures w14:val="none"/>
            </w:rPr>
            <m:t>×100</m:t>
          </m:r>
          <m:r>
            <m:rPr>
              <m:sty m:val="p"/>
            </m:rPr>
            <w:rPr>
              <w:rFonts w:ascii="Cambria Math" w:eastAsia="Times New Roman" w:hAnsi="Cambria Math" w:cs="Arial"/>
              <w:kern w:val="0"/>
              <w14:ligatures w14:val="none"/>
            </w:rPr>
            <w:br/>
          </m:r>
        </m:oMath>
      </m:oMathPara>
    </w:p>
    <w:p w14:paraId="73088227" w14:textId="77777777" w:rsidR="00E2708D" w:rsidRPr="00F7201A" w:rsidRDefault="00E2708D" w:rsidP="00E2708D">
      <w:pPr>
        <w:spacing w:before="100" w:beforeAutospacing="1" w:after="100" w:afterAutospacing="1" w:line="360" w:lineRule="auto"/>
        <w:ind w:firstLine="720"/>
        <w:jc w:val="both"/>
        <w:rPr>
          <w:rFonts w:ascii="Arial" w:eastAsia="Times New Roman" w:hAnsi="Arial" w:cs="Arial"/>
          <w:kern w:val="0"/>
          <w14:ligatures w14:val="none"/>
        </w:rPr>
      </w:pPr>
      <w:r w:rsidRPr="00F7201A">
        <w:rPr>
          <w:rFonts w:ascii="Arial" w:eastAsia="Times New Roman" w:hAnsi="Arial" w:cs="Arial"/>
          <w:b/>
          <w:bCs/>
          <w:kern w:val="0"/>
          <w14:ligatures w14:val="none"/>
        </w:rPr>
        <w:t>Relevance</w:t>
      </w:r>
      <w:r w:rsidRPr="00F7201A">
        <w:rPr>
          <w:rFonts w:ascii="Arial" w:eastAsia="Times New Roman" w:hAnsi="Arial" w:cs="Arial"/>
          <w:kern w:val="0"/>
          <w14:ligatures w14:val="none"/>
        </w:rPr>
        <w:t xml:space="preserve">: </w:t>
      </w:r>
      <w:r w:rsidRPr="00B15E29">
        <w:rPr>
          <w:rFonts w:ascii="Arial" w:eastAsia="Times New Roman" w:hAnsi="Arial" w:cs="Arial"/>
          <w:kern w:val="0"/>
          <w:sz w:val="22"/>
          <w:szCs w:val="22"/>
          <w14:ligatures w14:val="none"/>
        </w:rPr>
        <w:t>ROA evaluates working efficiency; a higher ROA indicates that the company generates more profit per unit of assets, demonstrating effective utilization of resources. For investors, a steadily high ROA signals competent management and a firm capable of producing strong returns without excessive investment.</w:t>
      </w:r>
    </w:p>
    <w:p w14:paraId="28760795" w14:textId="77777777" w:rsidR="00E2708D" w:rsidRPr="00F7201A" w:rsidRDefault="00E2708D" w:rsidP="00E2708D">
      <w:pPr>
        <w:spacing w:before="100" w:beforeAutospacing="1" w:after="100" w:afterAutospacing="1" w:line="360" w:lineRule="auto"/>
        <w:ind w:firstLine="720"/>
        <w:jc w:val="both"/>
        <w:rPr>
          <w:rFonts w:ascii="Arial" w:eastAsia="Times New Roman" w:hAnsi="Arial" w:cs="Arial"/>
          <w:kern w:val="0"/>
          <w14:ligatures w14:val="none"/>
        </w:rPr>
      </w:pPr>
      <w:r w:rsidRPr="00F7201A">
        <w:rPr>
          <w:rFonts w:ascii="Arial" w:eastAsia="Times New Roman" w:hAnsi="Arial" w:cs="Arial"/>
          <w:b/>
          <w:bCs/>
        </w:rPr>
        <w:t>Empirical Evidence</w:t>
      </w:r>
      <w:r w:rsidRPr="00F7201A">
        <w:rPr>
          <w:rFonts w:ascii="Arial" w:eastAsia="Times New Roman" w:hAnsi="Arial" w:cs="Arial"/>
        </w:rPr>
        <w:t xml:space="preserve">: </w:t>
      </w:r>
      <w:r w:rsidRPr="00B15E29">
        <w:rPr>
          <w:rFonts w:ascii="Arial" w:eastAsia="Times New Roman" w:hAnsi="Arial" w:cs="Arial"/>
          <w:kern w:val="0"/>
          <w:sz w:val="22"/>
          <w:szCs w:val="22"/>
          <w14:ligatures w14:val="none"/>
        </w:rPr>
        <w:t>Empirical research highlights ROA’s importance in stock valuation. Damodaran (2012) finds that firms with high ROA often experience positive market awareness, leading to increased share prices. For example, in capital-intensive industries like manufacturing or values, investors closely monitor ROA to assess whether companies convert large asset bases into sustainable profits.</w:t>
      </w:r>
    </w:p>
    <w:p w14:paraId="530DAAE1" w14:textId="77777777" w:rsidR="00E2708D" w:rsidRPr="00B15E29"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B15E29">
        <w:rPr>
          <w:rFonts w:ascii="Arial" w:eastAsia="Times New Roman" w:hAnsi="Arial" w:cs="Arial"/>
          <w:kern w:val="0"/>
          <w:sz w:val="22"/>
          <w:szCs w:val="22"/>
          <w14:ligatures w14:val="none"/>
        </w:rPr>
        <w:t>Limitations include understanding accounting policies and asset valuations. For instance, firms that use historical cost accounting may show lower ROA compared to those using fair value modifications. Nonetheless, ROA remains a critical measure linking operational efficiency to investor confidence and market valuation.</w:t>
      </w:r>
    </w:p>
    <w:p w14:paraId="4E616C14" w14:textId="77777777" w:rsidR="00E2708D" w:rsidRPr="00F7201A" w:rsidRDefault="00E2708D" w:rsidP="00E2708D">
      <w:pPr>
        <w:spacing w:after="0" w:line="360" w:lineRule="auto"/>
        <w:jc w:val="both"/>
        <w:rPr>
          <w:rFonts w:ascii="Arial" w:eastAsia="Times New Roman" w:hAnsi="Arial" w:cs="Arial"/>
          <w:kern w:val="0"/>
          <w14:ligatures w14:val="none"/>
        </w:rPr>
      </w:pPr>
    </w:p>
    <w:p w14:paraId="0A7C1C27"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12" w:name="_Toc88390052"/>
      <w:r w:rsidRPr="00F7201A">
        <w:rPr>
          <w:rFonts w:ascii="Arial" w:eastAsia="Times New Roman" w:hAnsi="Arial" w:cs="Arial"/>
          <w:b/>
          <w:bCs/>
          <w:color w:val="auto"/>
          <w:sz w:val="28"/>
          <w:szCs w:val="28"/>
        </w:rPr>
        <w:t>2.3.2 Return on Liquidity</w:t>
      </w:r>
      <w:bookmarkEnd w:id="12"/>
    </w:p>
    <w:p w14:paraId="5650B253" w14:textId="77777777" w:rsidR="00E2708D" w:rsidRPr="00B15E29"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Definition &amp; Calculation</w:t>
      </w:r>
      <w:r w:rsidRPr="00F7201A">
        <w:rPr>
          <w:rFonts w:ascii="Arial" w:eastAsia="Times New Roman" w:hAnsi="Arial" w:cs="Arial"/>
        </w:rPr>
        <w:t xml:space="preserve">: </w:t>
      </w:r>
      <w:r w:rsidRPr="00B15E29">
        <w:rPr>
          <w:rFonts w:ascii="Arial" w:eastAsia="Times New Roman" w:hAnsi="Arial" w:cs="Arial"/>
          <w:sz w:val="22"/>
          <w:szCs w:val="22"/>
        </w:rPr>
        <w:t xml:space="preserve">Return on Liquidity assesses the success generated from a company’s liquid assets, such as cash, cash equals, and short-term investments. It is calculated by taking the net return earned from liquid assets and dividing it by the total value of those liquid properties, then expressing it as a percentage. </w:t>
      </w:r>
      <w:r w:rsidRPr="00B15E29">
        <w:rPr>
          <w:rFonts w:ascii="Arial" w:eastAsia="Times New Roman" w:hAnsi="Arial" w:cs="Arial"/>
          <w:kern w:val="0"/>
          <w:sz w:val="22"/>
          <w:szCs w:val="22"/>
          <w14:ligatures w14:val="none"/>
        </w:rPr>
        <w:t>This ratio reflects how effectively a firm manages its liquid resources to produce returns without foregoing financial stability. High liquidity ensures a company can meet short-term responsibilities while also grabbing investment opportunities, which can be especially valuable during market instability.</w:t>
      </w:r>
    </w:p>
    <w:p w14:paraId="70D5EFCB" w14:textId="77777777" w:rsidR="00E2708D" w:rsidRPr="00F7201A" w:rsidRDefault="00E2708D" w:rsidP="00E2708D">
      <w:pPr>
        <w:spacing w:before="100" w:beforeAutospacing="1" w:after="100" w:afterAutospacing="1" w:line="360" w:lineRule="auto"/>
        <w:ind w:firstLine="720"/>
        <w:jc w:val="both"/>
        <w:rPr>
          <w:rFonts w:ascii="Arial" w:eastAsia="Times New Roman" w:hAnsi="Arial" w:cs="Arial"/>
          <w:kern w:val="0"/>
          <w14:ligatures w14:val="none"/>
        </w:rPr>
      </w:pPr>
      <w:r w:rsidRPr="00F7201A">
        <w:rPr>
          <w:rFonts w:ascii="Arial" w:eastAsia="Times New Roman" w:hAnsi="Arial" w:cs="Arial"/>
          <w:b/>
          <w:bCs/>
          <w:kern w:val="0"/>
          <w14:ligatures w14:val="none"/>
        </w:rPr>
        <w:t>Empirical Evidence</w:t>
      </w:r>
      <w:r w:rsidRPr="00F7201A">
        <w:rPr>
          <w:rFonts w:ascii="Arial" w:eastAsia="Times New Roman" w:hAnsi="Arial" w:cs="Arial"/>
          <w:kern w:val="0"/>
          <w14:ligatures w14:val="none"/>
        </w:rPr>
        <w:t xml:space="preserve">: </w:t>
      </w:r>
      <w:r w:rsidRPr="00B15E29">
        <w:rPr>
          <w:rFonts w:ascii="Arial" w:eastAsia="Times New Roman" w:hAnsi="Arial" w:cs="Arial"/>
          <w:kern w:val="0"/>
          <w:sz w:val="22"/>
          <w:szCs w:val="22"/>
          <w14:ligatures w14:val="none"/>
        </w:rPr>
        <w:t>Gitman et al. (2015) note that efficient fluidity management reduces financial risk, thereby stabilizing stock prices. For instance, during economic downturns, firms with strong liquidity returns are perceived as less risky by investors, potentially leading to higher share valuations. However, holding excessive liquidity may also signal underutilization of resources, which could limit growth and negatively affect long-term share price appreciation.</w:t>
      </w:r>
    </w:p>
    <w:p w14:paraId="5A5D3030" w14:textId="77777777" w:rsidR="00E2708D" w:rsidRPr="00F7201A" w:rsidRDefault="00E2708D" w:rsidP="00E2708D">
      <w:pPr>
        <w:spacing w:before="100" w:beforeAutospacing="1" w:after="100" w:afterAutospacing="1" w:line="360" w:lineRule="auto"/>
        <w:ind w:firstLine="720"/>
        <w:jc w:val="both"/>
        <w:rPr>
          <w:rFonts w:ascii="Arial" w:eastAsia="Times New Roman" w:hAnsi="Arial" w:cs="Arial"/>
          <w:kern w:val="0"/>
          <w14:ligatures w14:val="none"/>
        </w:rPr>
      </w:pPr>
      <w:r w:rsidRPr="00F7201A">
        <w:rPr>
          <w:rStyle w:val="Strong"/>
          <w:rFonts w:ascii="Arial" w:eastAsia="Times New Roman" w:hAnsi="Arial" w:cs="Arial"/>
        </w:rPr>
        <w:lastRenderedPageBreak/>
        <w:t>Relevance to Current Study:</w:t>
      </w:r>
      <w:r w:rsidRPr="00F7201A">
        <w:rPr>
          <w:rFonts w:ascii="Arial" w:eastAsia="Times New Roman" w:hAnsi="Arial" w:cs="Arial"/>
        </w:rPr>
        <w:t xml:space="preserve"> </w:t>
      </w:r>
      <w:r w:rsidRPr="00B15E29">
        <w:rPr>
          <w:rFonts w:ascii="Arial" w:eastAsia="Times New Roman" w:hAnsi="Arial" w:cs="Arial"/>
          <w:sz w:val="22"/>
          <w:szCs w:val="22"/>
        </w:rPr>
        <w:t>Return on Liquidity is especially relevant in post-pandemic periods where cash reserves determined survival and investor perception, aligning with Fundamental Analysis principles.</w:t>
      </w:r>
    </w:p>
    <w:p w14:paraId="440E7B94" w14:textId="77777777" w:rsidR="00E2708D" w:rsidRPr="00F7201A" w:rsidRDefault="00E2708D" w:rsidP="00E2708D">
      <w:pPr>
        <w:spacing w:after="0" w:line="360" w:lineRule="auto"/>
        <w:jc w:val="both"/>
        <w:rPr>
          <w:rFonts w:ascii="Arial" w:eastAsia="Times New Roman" w:hAnsi="Arial" w:cs="Arial"/>
          <w:kern w:val="0"/>
          <w14:ligatures w14:val="none"/>
        </w:rPr>
      </w:pPr>
    </w:p>
    <w:p w14:paraId="7AA7A3F2"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13" w:name="_Toc405663594"/>
      <w:r w:rsidRPr="00F7201A">
        <w:rPr>
          <w:rFonts w:ascii="Arial" w:eastAsia="Times New Roman" w:hAnsi="Arial" w:cs="Arial"/>
          <w:b/>
          <w:bCs/>
          <w:color w:val="auto"/>
          <w:sz w:val="28"/>
          <w:szCs w:val="28"/>
        </w:rPr>
        <w:t>2.3.3 Net Profit Margin</w:t>
      </w:r>
      <w:bookmarkEnd w:id="13"/>
    </w:p>
    <w:p w14:paraId="0C496A30" w14:textId="77777777" w:rsidR="00E2708D" w:rsidRPr="00B15E29"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Definition &amp; Calculation</w:t>
      </w:r>
      <w:r w:rsidRPr="00F7201A">
        <w:rPr>
          <w:rFonts w:ascii="Arial" w:eastAsia="Times New Roman" w:hAnsi="Arial" w:cs="Arial"/>
        </w:rPr>
        <w:t>:</w:t>
      </w:r>
      <w:r w:rsidRPr="00F7201A">
        <w:rPr>
          <w:rFonts w:ascii="Arial" w:eastAsia="Times New Roman" w:hAnsi="Arial" w:cs="Arial"/>
          <w:kern w:val="0"/>
          <w14:ligatures w14:val="none"/>
        </w:rPr>
        <w:t xml:space="preserve"> </w:t>
      </w:r>
      <w:r w:rsidRPr="00B15E29">
        <w:rPr>
          <w:rFonts w:ascii="Arial" w:eastAsia="Times New Roman" w:hAnsi="Arial" w:cs="Arial"/>
          <w:kern w:val="0"/>
          <w:sz w:val="22"/>
          <w:szCs w:val="22"/>
          <w14:ligatures w14:val="none"/>
        </w:rPr>
        <w:t>Net Profit Margin (NPM) measures the proportion of revenue retained as net income after all expenses, including operating costs, taxes, and interest. It is calculated as:</w:t>
      </w:r>
    </w:p>
    <w:p w14:paraId="777B5CDF" w14:textId="77777777" w:rsidR="00E2708D" w:rsidRPr="00F7201A" w:rsidRDefault="00E2708D" w:rsidP="00E2708D">
      <w:pPr>
        <w:spacing w:after="0" w:line="360" w:lineRule="auto"/>
        <w:jc w:val="both"/>
        <w:rPr>
          <w:rFonts w:ascii="Arial" w:eastAsia="Times New Roman" w:hAnsi="Arial" w:cs="Arial"/>
          <w:kern w:val="0"/>
          <w14:ligatures w14:val="none"/>
        </w:rPr>
      </w:pPr>
      <m:oMathPara>
        <m:oMath>
          <m:r>
            <w:rPr>
              <w:rFonts w:ascii="Cambria Math" w:eastAsia="Times New Roman" w:hAnsi="Cambria Math" w:cs="Arial"/>
              <w:kern w:val="0"/>
              <w14:ligatures w14:val="none"/>
            </w:rPr>
            <m:t>NPM=</m:t>
          </m:r>
          <m:f>
            <m:fPr>
              <m:ctrlPr>
                <w:rPr>
                  <w:rFonts w:ascii="Cambria Math" w:eastAsia="Times New Roman" w:hAnsi="Cambria Math" w:cs="Arial"/>
                  <w:kern w:val="0"/>
                  <w14:ligatures w14:val="none"/>
                </w:rPr>
              </m:ctrlPr>
            </m:fPr>
            <m:num>
              <m:r>
                <w:rPr>
                  <w:rFonts w:ascii="Cambria Math" w:eastAsia="Times New Roman" w:hAnsi="Cambria Math" w:cs="Arial"/>
                  <w:kern w:val="0"/>
                  <w14:ligatures w14:val="none"/>
                </w:rPr>
                <m:t>Net</m:t>
              </m:r>
              <m:r>
                <m:rPr>
                  <m:nor/>
                </m:rPr>
                <w:rPr>
                  <w:rFonts w:ascii="Arial" w:eastAsia="Times New Roman" w:hAnsi="Arial" w:cs="Arial"/>
                  <w:kern w:val="0"/>
                  <w14:ligatures w14:val="none"/>
                </w:rPr>
                <m:t xml:space="preserve"> </m:t>
              </m:r>
              <m:r>
                <w:rPr>
                  <w:rFonts w:ascii="Cambria Math" w:eastAsia="Times New Roman" w:hAnsi="Cambria Math" w:cs="Arial"/>
                  <w:kern w:val="0"/>
                  <w14:ligatures w14:val="none"/>
                </w:rPr>
                <m:t>Income</m:t>
              </m:r>
            </m:num>
            <m:den>
              <m:r>
                <w:rPr>
                  <w:rFonts w:ascii="Cambria Math" w:eastAsia="Times New Roman" w:hAnsi="Cambria Math" w:cs="Arial"/>
                  <w:kern w:val="0"/>
                  <w14:ligatures w14:val="none"/>
                </w:rPr>
                <m:t>Revenue</m:t>
              </m:r>
            </m:den>
          </m:f>
          <m:r>
            <w:rPr>
              <w:rFonts w:ascii="Cambria Math" w:eastAsia="Times New Roman" w:hAnsi="Cambria Math" w:cs="Arial"/>
              <w:kern w:val="0"/>
              <w14:ligatures w14:val="none"/>
            </w:rPr>
            <m:t>×100</m:t>
          </m:r>
          <m:r>
            <m:rPr>
              <m:sty m:val="p"/>
            </m:rPr>
            <w:rPr>
              <w:rFonts w:ascii="Cambria Math" w:eastAsia="Times New Roman" w:hAnsi="Cambria Math" w:cs="Arial"/>
              <w:kern w:val="0"/>
              <w14:ligatures w14:val="none"/>
            </w:rPr>
            <w:br/>
          </m:r>
        </m:oMath>
      </m:oMathPara>
    </w:p>
    <w:p w14:paraId="52A6C202" w14:textId="77777777" w:rsidR="00E2708D" w:rsidRPr="00F7201A" w:rsidRDefault="00E2708D" w:rsidP="00E2708D">
      <w:pPr>
        <w:spacing w:before="100" w:beforeAutospacing="1" w:after="100" w:afterAutospacing="1" w:line="360" w:lineRule="auto"/>
        <w:ind w:firstLine="720"/>
        <w:jc w:val="both"/>
        <w:rPr>
          <w:rFonts w:ascii="Arial" w:eastAsia="Times New Roman" w:hAnsi="Arial" w:cs="Arial"/>
          <w:kern w:val="0"/>
          <w14:ligatures w14:val="none"/>
        </w:rPr>
      </w:pPr>
      <w:r w:rsidRPr="00F7201A">
        <w:rPr>
          <w:rFonts w:ascii="Arial" w:eastAsia="Times New Roman" w:hAnsi="Arial" w:cs="Arial"/>
          <w:b/>
          <w:bCs/>
        </w:rPr>
        <w:t>Relevance:</w:t>
      </w:r>
      <w:r w:rsidRPr="00F7201A">
        <w:rPr>
          <w:rFonts w:ascii="Arial" w:eastAsia="Times New Roman" w:hAnsi="Arial" w:cs="Arial"/>
        </w:rPr>
        <w:t xml:space="preserve"> </w:t>
      </w:r>
      <w:r w:rsidRPr="00B15E29">
        <w:rPr>
          <w:rFonts w:ascii="Arial" w:eastAsia="Times New Roman" w:hAnsi="Arial" w:cs="Arial"/>
          <w:kern w:val="0"/>
          <w:sz w:val="22"/>
          <w:szCs w:val="22"/>
          <w14:ligatures w14:val="none"/>
        </w:rPr>
        <w:t>This ratio estimates overall efficiency in adapting sales into actual profits. A high NPM indicates strong pricing strategies, effective cost control, and operational efficiency. Investors view companies with high and consistent net margins as more likely to sustain success, which positively affects stock valuation.</w:t>
      </w:r>
    </w:p>
    <w:p w14:paraId="626DAF40" w14:textId="77777777" w:rsidR="00E2708D" w:rsidRPr="00B15E29"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kern w:val="0"/>
          <w14:ligatures w14:val="none"/>
        </w:rPr>
        <w:t>Empirical Evidence</w:t>
      </w:r>
      <w:r w:rsidRPr="00F7201A">
        <w:rPr>
          <w:rFonts w:ascii="Arial" w:eastAsia="Times New Roman" w:hAnsi="Arial" w:cs="Arial"/>
          <w:kern w:val="0"/>
          <w14:ligatures w14:val="none"/>
        </w:rPr>
        <w:t xml:space="preserve">: </w:t>
      </w:r>
      <w:r w:rsidRPr="00B15E29">
        <w:rPr>
          <w:rFonts w:ascii="Arial" w:eastAsia="Times New Roman" w:hAnsi="Arial" w:cs="Arial"/>
          <w:kern w:val="0"/>
          <w:sz w:val="22"/>
          <w:szCs w:val="22"/>
          <w14:ligatures w14:val="none"/>
        </w:rPr>
        <w:t>Higgins (2012) emphasizes that net margin trends can signal financial stability: a firm with increasing net margins demonstrates improving efficiency, which attracts investors. Equally, declining margins may indicate rising costs, competitive pressures, or poor management, which could reduce share prices.</w:t>
      </w:r>
    </w:p>
    <w:p w14:paraId="24E91300"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14" w:name="_Toc1530745993"/>
      <w:r w:rsidRPr="00F7201A">
        <w:rPr>
          <w:rFonts w:ascii="Arial" w:eastAsia="Times New Roman" w:hAnsi="Arial" w:cs="Arial"/>
          <w:b/>
          <w:bCs/>
          <w:color w:val="auto"/>
        </w:rPr>
        <w:t>2.3.4 Dividend Yield</w:t>
      </w:r>
      <w:bookmarkEnd w:id="14"/>
    </w:p>
    <w:p w14:paraId="1C8ABE4B" w14:textId="175113BC" w:rsidR="00E2708D" w:rsidRPr="002623C2" w:rsidRDefault="00E2708D" w:rsidP="00E2708D">
      <w:pPr>
        <w:spacing w:before="100" w:beforeAutospacing="1" w:after="100" w:afterAutospacing="1" w:line="360" w:lineRule="auto"/>
        <w:ind w:firstLine="720"/>
        <w:jc w:val="both"/>
        <w:rPr>
          <w:rFonts w:ascii="Arial" w:eastAsia="Times New Roman" w:hAnsi="Arial" w:cs="Arial"/>
          <w:sz w:val="22"/>
          <w:szCs w:val="22"/>
        </w:rPr>
      </w:pPr>
      <w:r w:rsidRPr="00F7201A">
        <w:rPr>
          <w:rFonts w:ascii="Arial" w:eastAsia="Times New Roman" w:hAnsi="Arial" w:cs="Arial"/>
          <w:b/>
          <w:bCs/>
        </w:rPr>
        <w:t>Definition &amp; Calculation</w:t>
      </w:r>
      <w:r w:rsidRPr="00F7201A">
        <w:rPr>
          <w:rFonts w:ascii="Arial" w:eastAsia="Times New Roman" w:hAnsi="Arial" w:cs="Arial"/>
        </w:rPr>
        <w:t xml:space="preserve">: </w:t>
      </w:r>
      <w:r w:rsidRPr="002623C2">
        <w:rPr>
          <w:rFonts w:ascii="Arial" w:eastAsia="Times New Roman" w:hAnsi="Arial" w:cs="Arial"/>
          <w:kern w:val="0"/>
          <w:sz w:val="22"/>
          <w:szCs w:val="22"/>
          <w14:ligatures w14:val="none"/>
        </w:rPr>
        <w:t xml:space="preserve">Yield measures the annual payments per share relative to the stock’s current market price. </w:t>
      </w:r>
      <w:r w:rsidRPr="002623C2">
        <w:rPr>
          <w:rFonts w:ascii="Arial" w:eastAsia="Times New Roman" w:hAnsi="Arial" w:cs="Arial"/>
          <w:sz w:val="22"/>
          <w:szCs w:val="22"/>
        </w:rPr>
        <w:t xml:space="preserve">Bonus Yield measures the annual payment paid per share relative to the current market price of </w:t>
      </w:r>
      <w:r w:rsidR="00B07153" w:rsidRPr="002623C2">
        <w:rPr>
          <w:rFonts w:ascii="Arial" w:eastAsia="Times New Roman" w:hAnsi="Arial" w:cs="Arial"/>
          <w:sz w:val="22"/>
          <w:szCs w:val="22"/>
        </w:rPr>
        <w:t>stock</w:t>
      </w:r>
      <w:r w:rsidRPr="002623C2">
        <w:rPr>
          <w:rFonts w:ascii="Arial" w:eastAsia="Times New Roman" w:hAnsi="Arial" w:cs="Arial"/>
          <w:sz w:val="22"/>
          <w:szCs w:val="22"/>
        </w:rPr>
        <w:t>. In words, it is calculated by dividing the annual dividend per share by the market price per share and multiplying by 100 to obtain a percentage.</w:t>
      </w:r>
    </w:p>
    <w:p w14:paraId="11B30E2D"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Relevance:</w:t>
      </w:r>
      <w:r w:rsidRPr="00F7201A">
        <w:rPr>
          <w:rFonts w:ascii="Arial" w:eastAsia="Times New Roman" w:hAnsi="Arial" w:cs="Arial"/>
          <w:i/>
          <w:iCs/>
          <w:kern w:val="0"/>
          <w14:ligatures w14:val="none"/>
        </w:rPr>
        <w:t xml:space="preserve"> </w:t>
      </w:r>
      <w:r w:rsidRPr="002623C2">
        <w:rPr>
          <w:rFonts w:ascii="Arial" w:eastAsia="Times New Roman" w:hAnsi="Arial" w:cs="Arial"/>
          <w:kern w:val="0"/>
          <w:sz w:val="22"/>
          <w:szCs w:val="22"/>
          <w14:ligatures w14:val="none"/>
        </w:rPr>
        <w:t>This ratio is critical for income-focused investors, as it indicates the return generated from shares relative to investment cost. A consistent payment yield is a signal of commercial stability and shareholder-friendly policies.</w:t>
      </w:r>
    </w:p>
    <w:p w14:paraId="1D33A067"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kern w:val="0"/>
          <w14:ligatures w14:val="none"/>
        </w:rPr>
        <w:lastRenderedPageBreak/>
        <w:t>Empirical Evidence</w:t>
      </w:r>
      <w:r w:rsidRPr="00F7201A">
        <w:rPr>
          <w:rFonts w:ascii="Arial" w:eastAsia="Times New Roman" w:hAnsi="Arial" w:cs="Arial"/>
          <w:kern w:val="0"/>
          <w14:ligatures w14:val="none"/>
        </w:rPr>
        <w:t xml:space="preserve">: </w:t>
      </w:r>
      <w:r w:rsidRPr="002623C2">
        <w:rPr>
          <w:rFonts w:ascii="Arial" w:eastAsia="Times New Roman" w:hAnsi="Arial" w:cs="Arial"/>
          <w:kern w:val="0"/>
          <w:sz w:val="22"/>
          <w:szCs w:val="22"/>
          <w14:ligatures w14:val="none"/>
        </w:rPr>
        <w:t>Brealey, Myers, and Allen (2014) argue that firms with sustainable extra yields often experience higher investor confidence, supporting share prices. However, an unusually high yield can indicate financial distress or unsustainable payouts, potentially signaling risk to investors. Bonus yield therefore balances return generation and risk assessment.</w:t>
      </w:r>
    </w:p>
    <w:p w14:paraId="609D50E7"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15" w:name="_Toc734366213"/>
      <w:r w:rsidRPr="00F7201A">
        <w:rPr>
          <w:rFonts w:ascii="Arial" w:eastAsia="Times New Roman" w:hAnsi="Arial" w:cs="Arial"/>
          <w:b/>
          <w:bCs/>
          <w:color w:val="auto"/>
          <w:sz w:val="28"/>
          <w:szCs w:val="28"/>
        </w:rPr>
        <w:t>2.3.5 Price-to-Earnings (P/E) Ratio</w:t>
      </w:r>
      <w:bookmarkEnd w:id="15"/>
    </w:p>
    <w:p w14:paraId="0E35A4AF" w14:textId="77777777" w:rsidR="00E2708D" w:rsidRPr="00F7201A" w:rsidRDefault="00E2708D" w:rsidP="00E2708D">
      <w:pPr>
        <w:spacing w:before="100" w:beforeAutospacing="1" w:after="100" w:afterAutospacing="1" w:line="360" w:lineRule="auto"/>
        <w:ind w:firstLine="720"/>
        <w:jc w:val="both"/>
        <w:rPr>
          <w:rFonts w:ascii="Arial" w:eastAsia="Times New Roman" w:hAnsi="Arial" w:cs="Arial"/>
          <w:kern w:val="0"/>
          <w14:ligatures w14:val="none"/>
        </w:rPr>
      </w:pPr>
      <w:r w:rsidRPr="00F7201A">
        <w:rPr>
          <w:rFonts w:ascii="Arial" w:eastAsia="Times New Roman" w:hAnsi="Arial" w:cs="Arial"/>
          <w:b/>
          <w:bCs/>
        </w:rPr>
        <w:t>Definition &amp; Calculation</w:t>
      </w:r>
      <w:r w:rsidRPr="00F7201A">
        <w:rPr>
          <w:rFonts w:ascii="Arial" w:eastAsia="Times New Roman" w:hAnsi="Arial" w:cs="Arial"/>
        </w:rPr>
        <w:t xml:space="preserve">: </w:t>
      </w:r>
      <w:r w:rsidRPr="002623C2">
        <w:rPr>
          <w:rFonts w:ascii="Arial" w:eastAsia="Times New Roman" w:hAnsi="Arial" w:cs="Arial"/>
          <w:kern w:val="0"/>
          <w:sz w:val="22"/>
          <w:szCs w:val="22"/>
          <w14:ligatures w14:val="none"/>
        </w:rPr>
        <w:t xml:space="preserve">The P/E ratio is a widely used valuation measured. </w:t>
      </w:r>
      <w:r w:rsidRPr="002623C2">
        <w:rPr>
          <w:rFonts w:ascii="Arial" w:eastAsia="Times New Roman" w:hAnsi="Arial" w:cs="Arial"/>
          <w:sz w:val="22"/>
          <w:szCs w:val="22"/>
        </w:rPr>
        <w:t>The Price-to-Earnings ratio measures the market’s valuation of a company’s earnings. In words, it is calculated by dividing the market price per share by earnings per share.</w:t>
      </w:r>
    </w:p>
    <w:p w14:paraId="3AFB7D3B"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Empirical Evidence</w:t>
      </w:r>
      <w:r w:rsidRPr="00F7201A">
        <w:rPr>
          <w:rFonts w:ascii="Arial" w:eastAsia="Times New Roman" w:hAnsi="Arial" w:cs="Arial"/>
        </w:rPr>
        <w:t xml:space="preserve">: </w:t>
      </w:r>
      <w:r w:rsidRPr="002623C2">
        <w:rPr>
          <w:rFonts w:ascii="Arial" w:eastAsia="Times New Roman" w:hAnsi="Arial" w:cs="Arial"/>
          <w:kern w:val="0"/>
          <w:sz w:val="22"/>
          <w:szCs w:val="22"/>
          <w14:ligatures w14:val="none"/>
        </w:rPr>
        <w:t>P/E reflects investor expectations regarding future earnings. A high P/E suggests confidence and anticipated growth, while a low P/E may indicate undervaluation or declining prospects. Penman (2013) highlights that P/E ratios are influenced by market sentiment and growth projections.</w:t>
      </w:r>
    </w:p>
    <w:p w14:paraId="5D0007FD" w14:textId="77777777" w:rsidR="00E2708D" w:rsidRPr="00F7201A" w:rsidRDefault="00E2708D" w:rsidP="00E2708D">
      <w:pPr>
        <w:spacing w:before="100" w:beforeAutospacing="1" w:after="100" w:afterAutospacing="1" w:line="360" w:lineRule="auto"/>
        <w:ind w:firstLine="720"/>
        <w:jc w:val="both"/>
        <w:rPr>
          <w:rFonts w:ascii="Arial" w:eastAsia="Times New Roman" w:hAnsi="Arial" w:cs="Arial"/>
          <w:kern w:val="0"/>
          <w14:ligatures w14:val="none"/>
        </w:rPr>
      </w:pPr>
      <w:r w:rsidRPr="00F7201A">
        <w:rPr>
          <w:rFonts w:ascii="Arial" w:eastAsia="Times New Roman" w:hAnsi="Arial" w:cs="Arial"/>
          <w:b/>
          <w:bCs/>
        </w:rPr>
        <w:t xml:space="preserve">Relevance: </w:t>
      </w:r>
      <w:r w:rsidRPr="002623C2">
        <w:rPr>
          <w:rFonts w:ascii="Arial" w:eastAsia="Times New Roman" w:hAnsi="Arial" w:cs="Arial"/>
          <w:kern w:val="0"/>
          <w:sz w:val="22"/>
          <w:szCs w:val="22"/>
          <w14:ligatures w14:val="none"/>
        </w:rPr>
        <w:t>Practical studies suggest P/E is useful for comparative analysis across firms or industries. However, P/E can be partial by accounting practices, cyclical earnings, or one-off gains. Investors often combine P/E with growth metrics (e.g., PEG ratio) to obtain a more nuanced view of valuation.</w:t>
      </w:r>
    </w:p>
    <w:p w14:paraId="653F60A8"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16" w:name="_Toc30072410"/>
      <w:r w:rsidRPr="00F7201A">
        <w:rPr>
          <w:rFonts w:ascii="Arial" w:eastAsia="Times New Roman" w:hAnsi="Arial" w:cs="Arial"/>
          <w:b/>
          <w:bCs/>
          <w:color w:val="auto"/>
          <w:sz w:val="28"/>
          <w:szCs w:val="28"/>
        </w:rPr>
        <w:t>2.3.6 Earnings Per Share (EPS)</w:t>
      </w:r>
      <w:bookmarkEnd w:id="16"/>
    </w:p>
    <w:p w14:paraId="4B6BEE83" w14:textId="77777777" w:rsidR="00E2708D" w:rsidRPr="002623C2" w:rsidRDefault="00E2708D" w:rsidP="00E2708D">
      <w:pPr>
        <w:spacing w:after="0"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Definition &amp; Calculation</w:t>
      </w:r>
      <w:r w:rsidRPr="00F7201A">
        <w:rPr>
          <w:rFonts w:ascii="Arial" w:eastAsia="Times New Roman" w:hAnsi="Arial" w:cs="Arial"/>
        </w:rPr>
        <w:t xml:space="preserve">: </w:t>
      </w:r>
      <w:r w:rsidRPr="002623C2">
        <w:rPr>
          <w:rFonts w:ascii="Arial" w:eastAsia="Times New Roman" w:hAnsi="Arial" w:cs="Arial"/>
          <w:sz w:val="22"/>
          <w:szCs w:val="22"/>
        </w:rPr>
        <w:t>EPS indicates the portion of net income earned per outstanding share of common stock. In words, it is calculated by subtracting any preferred extras from net income and then dividing the result by the total number of outstanding shares.</w:t>
      </w:r>
    </w:p>
    <w:p w14:paraId="06A9FD7F"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 xml:space="preserve">Relevance: </w:t>
      </w:r>
      <w:r w:rsidRPr="002623C2">
        <w:rPr>
          <w:rFonts w:ascii="Arial" w:eastAsia="Times New Roman" w:hAnsi="Arial" w:cs="Arial"/>
          <w:kern w:val="0"/>
          <w:sz w:val="22"/>
          <w:szCs w:val="22"/>
          <w14:ligatures w14:val="none"/>
        </w:rPr>
        <w:t>EPS is a primary indicator of a company’s success and a key driver of stock valuation. Higher EPS typically attracts investor interest, particularly if earnings growth is stable over time.</w:t>
      </w:r>
    </w:p>
    <w:p w14:paraId="426EA5D0"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F7201A">
        <w:rPr>
          <w:rFonts w:ascii="Arial" w:eastAsia="Times New Roman" w:hAnsi="Arial" w:cs="Arial"/>
          <w:b/>
          <w:bCs/>
        </w:rPr>
        <w:t>Empirical Evidence</w:t>
      </w:r>
      <w:r w:rsidRPr="00F7201A">
        <w:rPr>
          <w:rFonts w:ascii="Arial" w:eastAsia="Times New Roman" w:hAnsi="Arial" w:cs="Arial"/>
        </w:rPr>
        <w:t xml:space="preserve">: </w:t>
      </w:r>
      <w:r w:rsidRPr="002623C2">
        <w:rPr>
          <w:rFonts w:ascii="Arial" w:eastAsia="Times New Roman" w:hAnsi="Arial" w:cs="Arial"/>
          <w:kern w:val="0"/>
          <w:sz w:val="22"/>
          <w:szCs w:val="22"/>
          <w14:ligatures w14:val="none"/>
        </w:rPr>
        <w:t>Reilly and Brown (2012) note that EPS underpins other valuation systems of measurement, including P/E and PEG ratios. While EPS is highly informative, it is sensitive to accounting choices, share buybacks, and extraordinary items, which may twist comparison across firms. Despite limitations, EPS remains a central measure for measuring a company’s earning capacity and market valuation potential.</w:t>
      </w:r>
    </w:p>
    <w:p w14:paraId="29DBEAA4"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17" w:name="_Toc187226003"/>
      <w:r w:rsidRPr="00F7201A">
        <w:rPr>
          <w:rFonts w:ascii="Arial" w:eastAsia="Times New Roman" w:hAnsi="Arial" w:cs="Arial"/>
          <w:b/>
          <w:bCs/>
          <w:color w:val="auto"/>
          <w:sz w:val="28"/>
          <w:szCs w:val="28"/>
        </w:rPr>
        <w:lastRenderedPageBreak/>
        <w:t>2.3.7 PEG Ratio (Price/Earnings to Growth)</w:t>
      </w:r>
      <w:bookmarkEnd w:id="17"/>
    </w:p>
    <w:p w14:paraId="74C55364" w14:textId="77777777" w:rsidR="00E2708D" w:rsidRPr="002623C2" w:rsidRDefault="00E2708D" w:rsidP="00E2708D">
      <w:pPr>
        <w:pStyle w:val="NormalWeb"/>
        <w:spacing w:line="360" w:lineRule="auto"/>
        <w:ind w:firstLine="720"/>
        <w:jc w:val="both"/>
        <w:rPr>
          <w:rFonts w:ascii="Arial" w:hAnsi="Arial" w:cs="Arial"/>
          <w:sz w:val="22"/>
          <w:szCs w:val="22"/>
        </w:rPr>
      </w:pPr>
      <w:r w:rsidRPr="00F7201A">
        <w:rPr>
          <w:rFonts w:ascii="Arial" w:hAnsi="Arial" w:cs="Arial"/>
          <w:b/>
          <w:bCs/>
        </w:rPr>
        <w:t>Definition &amp; Calculation</w:t>
      </w:r>
      <w:r w:rsidRPr="00F7201A">
        <w:rPr>
          <w:rFonts w:ascii="Arial" w:hAnsi="Arial" w:cs="Arial"/>
        </w:rPr>
        <w:t xml:space="preserve">: </w:t>
      </w:r>
      <w:r w:rsidRPr="002623C2">
        <w:rPr>
          <w:rFonts w:ascii="Arial" w:hAnsi="Arial" w:cs="Arial"/>
          <w:sz w:val="22"/>
          <w:szCs w:val="22"/>
        </w:rPr>
        <w:t>The PEG ratio refines the P/E ratio by changing it for expected earnings growth. In words, it is calculated by dividing the P/E ratio by the company’s projected annual earnings per share growth rate.</w:t>
      </w:r>
    </w:p>
    <w:p w14:paraId="511D1DE9" w14:textId="77777777" w:rsidR="00E2708D" w:rsidRPr="002623C2" w:rsidRDefault="00E2708D" w:rsidP="00E2708D">
      <w:pPr>
        <w:pStyle w:val="NormalWeb"/>
        <w:spacing w:line="360" w:lineRule="auto"/>
        <w:ind w:firstLine="720"/>
        <w:jc w:val="both"/>
        <w:rPr>
          <w:rFonts w:ascii="Arial" w:hAnsi="Arial" w:cs="Arial"/>
          <w:sz w:val="22"/>
          <w:szCs w:val="22"/>
        </w:rPr>
      </w:pPr>
      <w:r w:rsidRPr="00F7201A">
        <w:rPr>
          <w:rFonts w:ascii="Arial" w:hAnsi="Arial" w:cs="Arial"/>
          <w:b/>
          <w:bCs/>
        </w:rPr>
        <w:t>Empirical Evidence</w:t>
      </w:r>
      <w:r w:rsidRPr="00F7201A">
        <w:rPr>
          <w:rFonts w:ascii="Arial" w:hAnsi="Arial" w:cs="Arial"/>
        </w:rPr>
        <w:t xml:space="preserve">: </w:t>
      </w:r>
      <w:r w:rsidRPr="002623C2">
        <w:rPr>
          <w:rFonts w:ascii="Arial" w:hAnsi="Arial" w:cs="Arial"/>
          <w:sz w:val="22"/>
          <w:szCs w:val="22"/>
        </w:rPr>
        <w:t>The PEG ratio provides a more balanced assessment of valuation by uniting growth expectations. A PEG below one generally indicates that a stock is unrecognized relative to its growth potential, while a PEG above one suggests overvaluation. This ratio is particularly useful for high-growth industries, where traditional P/E alone may not accurately arrest future potential (</w:t>
      </w:r>
      <w:bookmarkStart w:id="18" w:name="_Int_jmKw6g7a"/>
      <w:proofErr w:type="spellStart"/>
      <w:r w:rsidRPr="002623C2">
        <w:rPr>
          <w:rFonts w:ascii="Arial" w:hAnsi="Arial" w:cs="Arial"/>
          <w:sz w:val="22"/>
          <w:szCs w:val="22"/>
        </w:rPr>
        <w:t>Lakonishok</w:t>
      </w:r>
      <w:bookmarkEnd w:id="18"/>
      <w:proofErr w:type="spellEnd"/>
      <w:r w:rsidRPr="002623C2">
        <w:rPr>
          <w:rFonts w:ascii="Arial" w:hAnsi="Arial" w:cs="Arial"/>
          <w:sz w:val="22"/>
          <w:szCs w:val="22"/>
        </w:rPr>
        <w:t xml:space="preserve"> et al., 1994). </w:t>
      </w:r>
    </w:p>
    <w:p w14:paraId="651153C7" w14:textId="77777777" w:rsidR="00E2708D" w:rsidRPr="002623C2" w:rsidRDefault="00E2708D" w:rsidP="00E2708D">
      <w:pPr>
        <w:pStyle w:val="NormalWeb"/>
        <w:spacing w:line="360" w:lineRule="auto"/>
        <w:ind w:firstLine="720"/>
        <w:jc w:val="both"/>
        <w:rPr>
          <w:rFonts w:ascii="Arial" w:hAnsi="Arial" w:cs="Arial"/>
          <w:sz w:val="22"/>
          <w:szCs w:val="22"/>
        </w:rPr>
      </w:pPr>
      <w:r w:rsidRPr="00F7201A">
        <w:rPr>
          <w:rFonts w:ascii="Arial" w:hAnsi="Arial" w:cs="Arial"/>
          <w:b/>
          <w:bCs/>
        </w:rPr>
        <w:t xml:space="preserve">Relevance: </w:t>
      </w:r>
      <w:r w:rsidRPr="002623C2">
        <w:rPr>
          <w:rFonts w:ascii="Arial" w:hAnsi="Arial" w:cs="Arial"/>
          <w:sz w:val="22"/>
          <w:szCs w:val="22"/>
        </w:rPr>
        <w:t>PEG captures forward-looking investor expectations, particularly relevant during periods of economic disruption like Covid-19.</w:t>
      </w:r>
    </w:p>
    <w:p w14:paraId="64C7D4DA" w14:textId="68159ED0" w:rsidR="00E2708D" w:rsidRPr="002623C2" w:rsidRDefault="00E2708D" w:rsidP="00E2708D">
      <w:pPr>
        <w:pStyle w:val="NormalWeb"/>
        <w:spacing w:line="360" w:lineRule="auto"/>
        <w:ind w:firstLine="720"/>
        <w:jc w:val="both"/>
        <w:rPr>
          <w:rFonts w:ascii="Arial" w:hAnsi="Arial" w:cs="Arial"/>
          <w:sz w:val="22"/>
          <w:szCs w:val="22"/>
        </w:rPr>
      </w:pPr>
      <w:r w:rsidRPr="002623C2">
        <w:rPr>
          <w:rFonts w:ascii="Arial" w:hAnsi="Arial" w:cs="Arial"/>
          <w:sz w:val="22"/>
          <w:szCs w:val="22"/>
        </w:rPr>
        <w:t xml:space="preserve">The limitation of PEG lies in its support on accurate earnings growth estimates, which introduces estimation risk, but it remains a useful tool for evaluating fair value relative to growth. Investors can use PEG to compare growth-adjusted valuations across companies, making it a powerful tool in set allocation. However, PEG depends on accurate forecasting of earnings growth, which introduces uncertainty and </w:t>
      </w:r>
      <w:r w:rsidR="00B07153" w:rsidRPr="002623C2">
        <w:rPr>
          <w:rFonts w:ascii="Arial" w:hAnsi="Arial" w:cs="Arial"/>
          <w:sz w:val="22"/>
          <w:szCs w:val="22"/>
        </w:rPr>
        <w:t>potential</w:t>
      </w:r>
      <w:r w:rsidRPr="002623C2">
        <w:rPr>
          <w:rFonts w:ascii="Arial" w:hAnsi="Arial" w:cs="Arial"/>
          <w:sz w:val="22"/>
          <w:szCs w:val="22"/>
        </w:rPr>
        <w:t xml:space="preserve"> errors.</w:t>
      </w:r>
    </w:p>
    <w:p w14:paraId="613DAE0C"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19" w:name="_Toc943892392"/>
      <w:r w:rsidRPr="00F7201A">
        <w:rPr>
          <w:rFonts w:ascii="Arial" w:eastAsia="Times New Roman" w:hAnsi="Arial" w:cs="Arial"/>
          <w:b/>
          <w:bCs/>
          <w:color w:val="auto"/>
          <w:sz w:val="32"/>
          <w:szCs w:val="32"/>
        </w:rPr>
        <w:t>2.4 Empirical Findings</w:t>
      </w:r>
      <w:bookmarkEnd w:id="19"/>
    </w:p>
    <w:p w14:paraId="164AF00F"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A considerable body of empirical research has investigated the relationship between financial ratios and stock prices, yet findings are mixed, reflecting the complexity of financial markets and the influence of time, geography, and macroeconomic events.</w:t>
      </w:r>
    </w:p>
    <w:p w14:paraId="53E81FED"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20" w:name="_Toc1300996558"/>
      <w:r w:rsidRPr="00F7201A">
        <w:rPr>
          <w:rFonts w:ascii="Arial" w:eastAsia="Times New Roman" w:hAnsi="Arial" w:cs="Arial"/>
          <w:b/>
          <w:bCs/>
          <w:color w:val="auto"/>
          <w:sz w:val="28"/>
          <w:szCs w:val="28"/>
        </w:rPr>
        <w:t>2.4.1 Classic and International Evidence</w:t>
      </w:r>
      <w:bookmarkEnd w:id="20"/>
    </w:p>
    <w:p w14:paraId="0B1DB4F2"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Basu (1977) conducted one of the earliest studies linking valuation ratios to stock returns in the United States. Using regression analysis on a sample of NYSE-listed firms over a 14-year period, he found that firms with low price-to-earning (P/E) ratios generated consistently higher returns than those with higher P/E ratios. His work challenged the Efficient Market Hypothesis (EMH) by suggesting that markets did not fully incorporate accounting information immediately, leaving room for excess returns. Basu’s methodology—cross-sectional regression with P/E as the explanatory</w:t>
      </w:r>
      <w:r w:rsidRPr="00F7201A">
        <w:rPr>
          <w:rFonts w:ascii="Arial" w:eastAsia="Times New Roman" w:hAnsi="Arial" w:cs="Arial"/>
          <w:kern w:val="0"/>
          <w14:ligatures w14:val="none"/>
        </w:rPr>
        <w:t xml:space="preserve"> </w:t>
      </w:r>
      <w:r w:rsidRPr="002623C2">
        <w:rPr>
          <w:rFonts w:ascii="Arial" w:eastAsia="Times New Roman" w:hAnsi="Arial" w:cs="Arial"/>
          <w:kern w:val="0"/>
          <w:sz w:val="22"/>
          <w:szCs w:val="22"/>
          <w14:ligatures w14:val="none"/>
        </w:rPr>
        <w:t>variable—pioneered the ratio–return link and continues to justify the inclusion of valuation measures in ratio-based models today.</w:t>
      </w:r>
    </w:p>
    <w:p w14:paraId="0DB36655"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lastRenderedPageBreak/>
        <w:t>Chen and Zhao (2009) extended this line of research to developed markets, applying panel data techniques across multiple countries. Their results showed that profitability indicators, particularly earnings per share (EPS) and return on equity (ROE), were among the strongest predictors of stock performance. They used firm-level financial statements and stock price data, applying pooled and fixed-effects regressions, thereby offering more generalizable conclusions than Basu. Their findings underscore the importance of profitability ratios in investment decision-making.</w:t>
      </w:r>
    </w:p>
    <w:p w14:paraId="36698A1F"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By contrast, Mohamad et al. (2010), analyzing Malaysian listed companies between 2002 and 2007, applied regression and correlation analysis and found that profitability ratios were significant determinants of stock prices, but liquidity and control ratios (e.g., current ratio, quick ratio) showed little explanatory power. This highlights the contextual nature of ratios: what is influential in one market may not be in another, depending on structural and sectoral characteristics.</w:t>
      </w:r>
    </w:p>
    <w:p w14:paraId="09E4866E"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Al-</w:t>
      </w:r>
      <w:proofErr w:type="spellStart"/>
      <w:r w:rsidRPr="002623C2">
        <w:rPr>
          <w:rFonts w:ascii="Arial" w:eastAsia="Times New Roman" w:hAnsi="Arial" w:cs="Arial"/>
          <w:kern w:val="0"/>
          <w:sz w:val="22"/>
          <w:szCs w:val="22"/>
          <w14:ligatures w14:val="none"/>
        </w:rPr>
        <w:t>Mwalla</w:t>
      </w:r>
      <w:proofErr w:type="spellEnd"/>
      <w:r w:rsidRPr="002623C2">
        <w:rPr>
          <w:rFonts w:ascii="Arial" w:eastAsia="Times New Roman" w:hAnsi="Arial" w:cs="Arial"/>
          <w:kern w:val="0"/>
          <w:sz w:val="22"/>
          <w:szCs w:val="22"/>
          <w14:ligatures w14:val="none"/>
        </w:rPr>
        <w:t xml:space="preserve"> (2012), using Jordanian data, tested the effect of the debt-to-equity (D/E) ratio on firm valuation through regression models. His findings revealed a non-linear effect: moderate leverage enhanced investor's confidence and stock valuation, but excessive debt eroded firm value. This highlights the need to account for leverage carefully, as its influence can shift depending on debt capacity and market conditions.</w:t>
      </w:r>
    </w:p>
    <w:p w14:paraId="1F05E229"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21" w:name="_Toc1659826833"/>
      <w:r w:rsidRPr="00F7201A">
        <w:rPr>
          <w:rFonts w:ascii="Arial" w:eastAsia="Times New Roman" w:hAnsi="Arial" w:cs="Arial"/>
          <w:b/>
          <w:bCs/>
          <w:color w:val="auto"/>
          <w:sz w:val="28"/>
          <w:szCs w:val="28"/>
        </w:rPr>
        <w:t>2.4.2 UK and Developed Market Studies</w:t>
      </w:r>
      <w:bookmarkEnd w:id="21"/>
    </w:p>
    <w:p w14:paraId="3FC1FB36"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 xml:space="preserve">Evidence specifically from the UK remains limited. </w:t>
      </w:r>
      <w:proofErr w:type="spellStart"/>
      <w:r w:rsidRPr="002623C2">
        <w:rPr>
          <w:rFonts w:ascii="Arial" w:eastAsia="Times New Roman" w:hAnsi="Arial" w:cs="Arial"/>
          <w:kern w:val="0"/>
          <w:sz w:val="22"/>
          <w:szCs w:val="22"/>
          <w14:ligatures w14:val="none"/>
        </w:rPr>
        <w:t>Tsalkamas</w:t>
      </w:r>
      <w:proofErr w:type="spellEnd"/>
      <w:r w:rsidRPr="002623C2">
        <w:rPr>
          <w:rFonts w:ascii="Arial" w:eastAsia="Times New Roman" w:hAnsi="Arial" w:cs="Arial"/>
          <w:kern w:val="0"/>
          <w:sz w:val="22"/>
          <w:szCs w:val="22"/>
          <w14:ligatures w14:val="none"/>
        </w:rPr>
        <w:t xml:space="preserve"> (2020) examined the determinants of P/E ratios in UK private firms, focusing on the role of leverage and asset structure. Although not directly linked to share prices, his study highlighted the interaction between capital structure and valuation of metrics.</w:t>
      </w:r>
    </w:p>
    <w:p w14:paraId="0FCF28ED"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Pisani (2023), in a study at the University of Malta, assessed the predictive ability of multiple ratios (EPS, ROE, P/E, dividend yield) on European stock prices using regression modelling. His findings confirmed profitability ratios as the most consistent predictors but showed that valuation ratios varied in influence depending on the macroeconomic environment.</w:t>
      </w:r>
    </w:p>
    <w:p w14:paraId="1961CB91" w14:textId="77777777" w:rsidR="00E2708D" w:rsidRPr="002623C2"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 xml:space="preserve">In the broader European and developed market context, mixed evidence emerges. Chen et al. (2012), for instance, used panel regression on Chinese listed firms and found profitability ratios (ROE, ROA) to be highly significant, while liquidity ratios had only weak explanatory </w:t>
      </w:r>
      <w:r w:rsidRPr="002623C2">
        <w:rPr>
          <w:rFonts w:ascii="Arial" w:eastAsia="Times New Roman" w:hAnsi="Arial" w:cs="Arial"/>
          <w:kern w:val="0"/>
          <w:sz w:val="22"/>
          <w:szCs w:val="22"/>
          <w14:ligatures w14:val="none"/>
        </w:rPr>
        <w:lastRenderedPageBreak/>
        <w:t>power. These findings suggest a hierarchy of ratio importance: profitability first, valuation second, liquidity and leverage conditional.</w:t>
      </w:r>
    </w:p>
    <w:p w14:paraId="57CB2762"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22" w:name="_Toc2076547738"/>
      <w:r w:rsidRPr="00F7201A">
        <w:rPr>
          <w:rFonts w:ascii="Arial" w:eastAsia="Times New Roman" w:hAnsi="Arial" w:cs="Arial"/>
          <w:b/>
          <w:bCs/>
          <w:color w:val="auto"/>
          <w:sz w:val="28"/>
          <w:szCs w:val="28"/>
        </w:rPr>
        <w:t>2.4.3 Impact of COVID-19 and Market Shocks</w:t>
      </w:r>
      <w:bookmarkEnd w:id="22"/>
    </w:p>
    <w:p w14:paraId="27B2ACCD" w14:textId="0DD7D6D4"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 xml:space="preserve">Recent studies </w:t>
      </w:r>
      <w:r w:rsidR="009A5537" w:rsidRPr="002623C2">
        <w:rPr>
          <w:rFonts w:ascii="Arial" w:eastAsia="Times New Roman" w:hAnsi="Arial" w:cs="Arial"/>
          <w:kern w:val="0"/>
          <w:sz w:val="22"/>
          <w:szCs w:val="22"/>
          <w14:ligatures w14:val="none"/>
        </w:rPr>
        <w:t>emphasize</w:t>
      </w:r>
      <w:r w:rsidRPr="002623C2">
        <w:rPr>
          <w:rFonts w:ascii="Arial" w:eastAsia="Times New Roman" w:hAnsi="Arial" w:cs="Arial"/>
          <w:kern w:val="0"/>
          <w:sz w:val="22"/>
          <w:szCs w:val="22"/>
          <w14:ligatures w14:val="none"/>
        </w:rPr>
        <w:t xml:space="preserve"> that market shocks can alter the strength of ratio–price relationships. Haroon and Rizvi (2020) employed event study methodology to </w:t>
      </w:r>
      <w:r w:rsidR="009A5537" w:rsidRPr="002623C2">
        <w:rPr>
          <w:rFonts w:ascii="Arial" w:eastAsia="Times New Roman" w:hAnsi="Arial" w:cs="Arial"/>
          <w:kern w:val="0"/>
          <w:sz w:val="22"/>
          <w:szCs w:val="22"/>
          <w14:ligatures w14:val="none"/>
        </w:rPr>
        <w:t>analyze</w:t>
      </w:r>
      <w:r w:rsidRPr="002623C2">
        <w:rPr>
          <w:rFonts w:ascii="Arial" w:eastAsia="Times New Roman" w:hAnsi="Arial" w:cs="Arial"/>
          <w:kern w:val="0"/>
          <w:sz w:val="22"/>
          <w:szCs w:val="22"/>
          <w14:ligatures w14:val="none"/>
        </w:rPr>
        <w:t xml:space="preserve"> global stock markets during COVID-19 and found that investor sentiment and volatility outweighed fundamentals in the short term. Similarly, Phan and Narayan (2020) demonstrated that during crises, liquidity and leverage ratios gained predictive power as investors prioritized resilience over profitability. These methods—event studies and volatility modelling—illustrate that external shocks can reshape which ratios matter most.</w:t>
      </w:r>
    </w:p>
    <w:p w14:paraId="0C9BF1EB" w14:textId="77777777" w:rsidR="00E2708D" w:rsidRPr="002623C2"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For the UK, however, systematic research on financial ratios in the COVID-19 era remains scarce, creating a gap this study directly addresses. By covering the period 2019–2023, the research captures pre-, mid-, and post-pandemic dynamics, as well as inflationary pressures and supply chain disruptions.</w:t>
      </w:r>
    </w:p>
    <w:p w14:paraId="559C75BF"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23" w:name="_Toc1661447215"/>
      <w:r w:rsidRPr="00F7201A">
        <w:rPr>
          <w:rFonts w:ascii="Arial" w:eastAsia="Times New Roman" w:hAnsi="Arial" w:cs="Arial"/>
          <w:b/>
          <w:bCs/>
          <w:color w:val="auto"/>
          <w:sz w:val="28"/>
          <w:szCs w:val="28"/>
        </w:rPr>
        <w:t>2.4.4 Patterns and Comparative Insights</w:t>
      </w:r>
      <w:bookmarkEnd w:id="23"/>
    </w:p>
    <w:p w14:paraId="6E5E151F" w14:textId="77777777" w:rsidR="00E2708D" w:rsidRPr="002623C2"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kern w:val="0"/>
          <w:sz w:val="22"/>
          <w:szCs w:val="22"/>
          <w14:ligatures w14:val="none"/>
        </w:rPr>
        <w:t>From the reviewed studies, several consistent patterns emerge:</w:t>
      </w:r>
    </w:p>
    <w:p w14:paraId="2A5D4651" w14:textId="77777777" w:rsidR="00E2708D" w:rsidRPr="002623C2" w:rsidRDefault="00E2708D" w:rsidP="00790048">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b/>
          <w:bCs/>
          <w:kern w:val="0"/>
          <w:sz w:val="22"/>
          <w:szCs w:val="22"/>
          <w14:ligatures w14:val="none"/>
        </w:rPr>
        <w:t>Profitability ratios (EPS, ROE, ROA)</w:t>
      </w:r>
      <w:r w:rsidRPr="002623C2">
        <w:rPr>
          <w:rFonts w:ascii="Arial" w:eastAsia="Times New Roman" w:hAnsi="Arial" w:cs="Arial"/>
          <w:kern w:val="0"/>
          <w:sz w:val="22"/>
          <w:szCs w:val="22"/>
          <w14:ligatures w14:val="none"/>
        </w:rPr>
        <w:t xml:space="preserve"> are the most reliable predictors across geographies. Most empirical work (e.g., Chen &amp; Zhao, 2009; Mohamad et al., 2010; Chen et al., 2012) confirms their positive effect on stock valuation.</w:t>
      </w:r>
    </w:p>
    <w:p w14:paraId="575F553C" w14:textId="77777777" w:rsidR="00E2708D" w:rsidRPr="002623C2" w:rsidRDefault="00E2708D" w:rsidP="00EB3539">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b/>
          <w:bCs/>
          <w:kern w:val="0"/>
          <w:sz w:val="22"/>
          <w:szCs w:val="22"/>
          <w14:ligatures w14:val="none"/>
        </w:rPr>
        <w:t>Valuation ratios (P/E, PEG)</w:t>
      </w:r>
      <w:r w:rsidRPr="002623C2">
        <w:rPr>
          <w:rFonts w:ascii="Arial" w:eastAsia="Times New Roman" w:hAnsi="Arial" w:cs="Arial"/>
          <w:kern w:val="0"/>
          <w:sz w:val="22"/>
          <w:szCs w:val="22"/>
          <w14:ligatures w14:val="none"/>
        </w:rPr>
        <w:t xml:space="preserve"> provide mixed results. Basu (1977) found strong predictive power for P/E, but later studies noted variability, likely due to shifts in investor sentiment.</w:t>
      </w:r>
    </w:p>
    <w:p w14:paraId="7F55C765" w14:textId="77777777" w:rsidR="00E2708D" w:rsidRPr="002623C2" w:rsidRDefault="00E2708D" w:rsidP="00EB3539">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b/>
          <w:bCs/>
          <w:kern w:val="0"/>
          <w:sz w:val="22"/>
          <w:szCs w:val="22"/>
          <w14:ligatures w14:val="none"/>
        </w:rPr>
        <w:t>Liquidity and leverage ratios</w:t>
      </w:r>
      <w:r w:rsidRPr="002623C2">
        <w:rPr>
          <w:rFonts w:ascii="Arial" w:eastAsia="Times New Roman" w:hAnsi="Arial" w:cs="Arial"/>
          <w:kern w:val="0"/>
          <w:sz w:val="22"/>
          <w:szCs w:val="22"/>
          <w14:ligatures w14:val="none"/>
        </w:rPr>
        <w:t xml:space="preserve"> are context dependent. For example, Al-</w:t>
      </w:r>
      <w:proofErr w:type="spellStart"/>
      <w:r w:rsidRPr="002623C2">
        <w:rPr>
          <w:rFonts w:ascii="Arial" w:eastAsia="Times New Roman" w:hAnsi="Arial" w:cs="Arial"/>
          <w:kern w:val="0"/>
          <w:sz w:val="22"/>
          <w:szCs w:val="22"/>
          <w14:ligatures w14:val="none"/>
        </w:rPr>
        <w:t>Mwalla</w:t>
      </w:r>
      <w:proofErr w:type="spellEnd"/>
      <w:r w:rsidRPr="002623C2">
        <w:rPr>
          <w:rFonts w:ascii="Arial" w:eastAsia="Times New Roman" w:hAnsi="Arial" w:cs="Arial"/>
          <w:kern w:val="0"/>
          <w:sz w:val="22"/>
          <w:szCs w:val="22"/>
          <w14:ligatures w14:val="none"/>
        </w:rPr>
        <w:t xml:space="preserve"> (2012) found leverage effects to be non-linear, while Mohamad et al. (2010) downplayed liquidity’s importance.</w:t>
      </w:r>
    </w:p>
    <w:p w14:paraId="18CF5D6A" w14:textId="77777777" w:rsidR="00E2708D" w:rsidRPr="002623C2" w:rsidRDefault="00E2708D" w:rsidP="00EB3539">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b/>
          <w:bCs/>
          <w:kern w:val="0"/>
          <w:sz w:val="22"/>
          <w:szCs w:val="22"/>
          <w14:ligatures w14:val="none"/>
        </w:rPr>
        <w:t>Market conditions and timeframes</w:t>
      </w:r>
      <w:r w:rsidRPr="002623C2">
        <w:rPr>
          <w:rFonts w:ascii="Arial" w:eastAsia="Times New Roman" w:hAnsi="Arial" w:cs="Arial"/>
          <w:kern w:val="0"/>
          <w:sz w:val="22"/>
          <w:szCs w:val="22"/>
          <w14:ligatures w14:val="none"/>
        </w:rPr>
        <w:t xml:space="preserve"> </w:t>
      </w:r>
      <w:r w:rsidRPr="000D6E93">
        <w:rPr>
          <w:rFonts w:ascii="Arial" w:eastAsia="Times New Roman" w:hAnsi="Arial" w:cs="Arial"/>
          <w:b/>
          <w:bCs/>
          <w:kern w:val="0"/>
          <w:sz w:val="22"/>
          <w:szCs w:val="22"/>
          <w14:ligatures w14:val="none"/>
        </w:rPr>
        <w:t>matter</w:t>
      </w:r>
      <w:r w:rsidRPr="002623C2">
        <w:rPr>
          <w:rFonts w:ascii="Arial" w:eastAsia="Times New Roman" w:hAnsi="Arial" w:cs="Arial"/>
          <w:kern w:val="0"/>
          <w:sz w:val="22"/>
          <w:szCs w:val="22"/>
          <w14:ligatures w14:val="none"/>
        </w:rPr>
        <w:t>. During crises such as COVID-19, liquidity ratios gain relevance (Phan &amp; Narayan, 2020), whereas in stable markets, profitability dominates.</w:t>
      </w:r>
    </w:p>
    <w:p w14:paraId="663F5863" w14:textId="77777777" w:rsidR="00E2708D" w:rsidRPr="002623C2" w:rsidRDefault="00E2708D" w:rsidP="00EB3539">
      <w:pPr>
        <w:spacing w:before="100" w:beforeAutospacing="1" w:after="100" w:afterAutospacing="1" w:line="360" w:lineRule="auto"/>
        <w:jc w:val="both"/>
        <w:rPr>
          <w:rFonts w:ascii="Arial" w:eastAsia="Times New Roman" w:hAnsi="Arial" w:cs="Arial"/>
          <w:kern w:val="0"/>
          <w:sz w:val="22"/>
          <w:szCs w:val="22"/>
          <w14:ligatures w14:val="none"/>
        </w:rPr>
      </w:pPr>
      <w:r w:rsidRPr="002623C2">
        <w:rPr>
          <w:rFonts w:ascii="Arial" w:eastAsia="Times New Roman" w:hAnsi="Arial" w:cs="Arial"/>
          <w:b/>
          <w:bCs/>
          <w:kern w:val="0"/>
          <w:sz w:val="22"/>
          <w:szCs w:val="22"/>
          <w14:ligatures w14:val="none"/>
        </w:rPr>
        <w:t>Sectoral differences</w:t>
      </w:r>
      <w:r w:rsidRPr="002623C2">
        <w:rPr>
          <w:rFonts w:ascii="Arial" w:eastAsia="Times New Roman" w:hAnsi="Arial" w:cs="Arial"/>
          <w:kern w:val="0"/>
          <w:sz w:val="22"/>
          <w:szCs w:val="22"/>
          <w14:ligatures w14:val="none"/>
        </w:rPr>
        <w:t xml:space="preserve"> influence results: defensive industries (utilities, consumer staples) show stronger ratio–price relationships than volatile ones (technology, energy).</w:t>
      </w:r>
    </w:p>
    <w:p w14:paraId="272EC69A"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24" w:name="_Toc82580062"/>
      <w:r w:rsidRPr="00F7201A">
        <w:rPr>
          <w:rFonts w:ascii="Arial" w:eastAsia="Times New Roman" w:hAnsi="Arial" w:cs="Arial"/>
          <w:b/>
          <w:bCs/>
          <w:color w:val="auto"/>
          <w:sz w:val="32"/>
          <w:szCs w:val="32"/>
        </w:rPr>
        <w:lastRenderedPageBreak/>
        <w:t>2.5 Gaps in Literature</w:t>
      </w:r>
      <w:bookmarkEnd w:id="24"/>
    </w:p>
    <w:p w14:paraId="4885C65B" w14:textId="77777777" w:rsidR="00E2708D" w:rsidRPr="00162FBA"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The review highlights several research gaps:</w:t>
      </w:r>
    </w:p>
    <w:p w14:paraId="4F1764AE" w14:textId="77777777" w:rsidR="00E2708D" w:rsidRPr="00162FBA" w:rsidRDefault="00E2708D" w:rsidP="001D1311">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b/>
          <w:bCs/>
          <w:kern w:val="0"/>
          <w:sz w:val="22"/>
          <w:szCs w:val="22"/>
          <w14:ligatures w14:val="none"/>
        </w:rPr>
        <w:t>Lack of recent UK</w:t>
      </w:r>
      <w:r w:rsidRPr="00162FBA">
        <w:rPr>
          <w:rFonts w:ascii="Cambria Math" w:eastAsia="Times New Roman" w:hAnsi="Cambria Math" w:cs="Cambria Math"/>
          <w:b/>
          <w:bCs/>
          <w:kern w:val="0"/>
          <w:sz w:val="22"/>
          <w:szCs w:val="22"/>
          <w14:ligatures w14:val="none"/>
        </w:rPr>
        <w:t>‐</w:t>
      </w:r>
      <w:r w:rsidRPr="00162FBA">
        <w:rPr>
          <w:rFonts w:ascii="Arial" w:eastAsia="Times New Roman" w:hAnsi="Arial" w:cs="Arial"/>
          <w:b/>
          <w:bCs/>
          <w:kern w:val="0"/>
          <w:sz w:val="22"/>
          <w:szCs w:val="22"/>
          <w14:ligatures w14:val="none"/>
        </w:rPr>
        <w:t>focused empirical studies</w:t>
      </w:r>
      <w:r w:rsidRPr="00162FBA">
        <w:rPr>
          <w:rFonts w:ascii="Arial" w:eastAsia="Times New Roman" w:hAnsi="Arial" w:cs="Arial"/>
          <w:kern w:val="0"/>
          <w:sz w:val="22"/>
          <w:szCs w:val="22"/>
          <w14:ligatures w14:val="none"/>
        </w:rPr>
        <w:t xml:space="preserve"> covering the period including the COVID</w:t>
      </w:r>
      <w:r w:rsidRPr="00162FBA">
        <w:rPr>
          <w:rFonts w:ascii="Cambria Math" w:eastAsia="Times New Roman" w:hAnsi="Cambria Math" w:cs="Cambria Math"/>
          <w:kern w:val="0"/>
          <w:sz w:val="22"/>
          <w:szCs w:val="22"/>
          <w14:ligatures w14:val="none"/>
        </w:rPr>
        <w:t>‐</w:t>
      </w:r>
      <w:r w:rsidRPr="00162FBA">
        <w:rPr>
          <w:rFonts w:ascii="Arial" w:eastAsia="Times New Roman" w:hAnsi="Arial" w:cs="Arial"/>
          <w:kern w:val="0"/>
          <w:sz w:val="22"/>
          <w:szCs w:val="22"/>
          <w14:ligatures w14:val="none"/>
        </w:rPr>
        <w:t>19 pandemic, inflationary points, and post</w:t>
      </w:r>
      <w:r w:rsidRPr="00162FBA">
        <w:rPr>
          <w:rFonts w:ascii="Cambria Math" w:eastAsia="Times New Roman" w:hAnsi="Cambria Math" w:cs="Cambria Math"/>
          <w:kern w:val="0"/>
          <w:sz w:val="22"/>
          <w:szCs w:val="22"/>
          <w14:ligatures w14:val="none"/>
        </w:rPr>
        <w:t>‐</w:t>
      </w:r>
      <w:r w:rsidRPr="00162FBA">
        <w:rPr>
          <w:rFonts w:ascii="Arial" w:eastAsia="Times New Roman" w:hAnsi="Arial" w:cs="Arial"/>
          <w:kern w:val="0"/>
          <w:sz w:val="22"/>
          <w:szCs w:val="22"/>
          <w14:ligatures w14:val="none"/>
        </w:rPr>
        <w:t>pandemic recovery. Much of the existing research uses data ending before 2020 or focuses on emerging markets.</w:t>
      </w:r>
    </w:p>
    <w:p w14:paraId="4F7E35F6" w14:textId="77777777" w:rsidR="00E2708D" w:rsidRPr="00162FBA" w:rsidRDefault="00E2708D" w:rsidP="001D1311">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b/>
          <w:bCs/>
          <w:kern w:val="0"/>
          <w:sz w:val="22"/>
          <w:szCs w:val="22"/>
          <w14:ligatures w14:val="none"/>
        </w:rPr>
        <w:t>Limited cross</w:t>
      </w:r>
      <w:r w:rsidRPr="00162FBA">
        <w:rPr>
          <w:rFonts w:ascii="Cambria Math" w:eastAsia="Times New Roman" w:hAnsi="Cambria Math" w:cs="Cambria Math"/>
          <w:b/>
          <w:bCs/>
          <w:kern w:val="0"/>
          <w:sz w:val="22"/>
          <w:szCs w:val="22"/>
          <w14:ligatures w14:val="none"/>
        </w:rPr>
        <w:t>‐</w:t>
      </w:r>
      <w:r w:rsidRPr="00162FBA">
        <w:rPr>
          <w:rFonts w:ascii="Arial" w:eastAsia="Times New Roman" w:hAnsi="Arial" w:cs="Arial"/>
          <w:b/>
          <w:bCs/>
          <w:kern w:val="0"/>
          <w:sz w:val="22"/>
          <w:szCs w:val="22"/>
          <w14:ligatures w14:val="none"/>
        </w:rPr>
        <w:t>sector analyses within UK-developed markets.</w:t>
      </w:r>
      <w:r w:rsidRPr="00162FBA">
        <w:rPr>
          <w:rFonts w:ascii="Arial" w:eastAsia="Times New Roman" w:hAnsi="Arial" w:cs="Arial"/>
          <w:kern w:val="0"/>
          <w:sz w:val="22"/>
          <w:szCs w:val="22"/>
          <w14:ligatures w14:val="none"/>
        </w:rPr>
        <w:t xml:space="preserve"> Studies that examine FTSE 100 across sectors are rare, particularly using the full range of ratios (profitability, liquidity, valuation) together, rather than just a couple of them.</w:t>
      </w:r>
    </w:p>
    <w:p w14:paraId="37E8F489" w14:textId="77777777" w:rsidR="00E2708D" w:rsidRPr="00162FBA" w:rsidRDefault="00E2708D" w:rsidP="001D1311">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b/>
          <w:bCs/>
          <w:kern w:val="0"/>
          <w:sz w:val="22"/>
          <w:szCs w:val="22"/>
          <w14:ligatures w14:val="none"/>
        </w:rPr>
        <w:t>Insufficient use of multiple ratios simultaneously</w:t>
      </w:r>
      <w:r w:rsidRPr="00162FBA">
        <w:rPr>
          <w:rFonts w:ascii="Arial" w:eastAsia="Times New Roman" w:hAnsi="Arial" w:cs="Arial"/>
          <w:kern w:val="0"/>
          <w:sz w:val="22"/>
          <w:szCs w:val="22"/>
          <w14:ligatures w14:val="none"/>
        </w:rPr>
        <w:t>, controlling intercorrelations, to see which ratios have unique projecting power in a multivariate regression framework in a UK setting.</w:t>
      </w:r>
    </w:p>
    <w:p w14:paraId="7EFA0142" w14:textId="77777777" w:rsidR="00E2708D" w:rsidRPr="00162FBA" w:rsidRDefault="00E2708D" w:rsidP="001D1311">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b/>
          <w:bCs/>
          <w:kern w:val="0"/>
          <w:sz w:val="22"/>
          <w:szCs w:val="22"/>
          <w14:ligatures w14:val="none"/>
        </w:rPr>
        <w:t>Period effects during disruptive events</w:t>
      </w:r>
      <w:r w:rsidRPr="00162FBA">
        <w:rPr>
          <w:rFonts w:ascii="Arial" w:eastAsia="Times New Roman" w:hAnsi="Arial" w:cs="Arial"/>
          <w:kern w:val="0"/>
          <w:sz w:val="22"/>
          <w:szCs w:val="22"/>
          <w14:ligatures w14:val="none"/>
        </w:rPr>
        <w:t xml:space="preserve"> are under-studied: how the relationship between ratios and share price may change before, during, and after significant macroeconomic shocks (e.g. COVID</w:t>
      </w:r>
      <w:r w:rsidRPr="00162FBA">
        <w:rPr>
          <w:rFonts w:ascii="Cambria Math" w:eastAsia="Times New Roman" w:hAnsi="Cambria Math" w:cs="Cambria Math"/>
          <w:kern w:val="0"/>
          <w:sz w:val="22"/>
          <w:szCs w:val="22"/>
          <w14:ligatures w14:val="none"/>
        </w:rPr>
        <w:t>‐</w:t>
      </w:r>
      <w:r w:rsidRPr="00162FBA">
        <w:rPr>
          <w:rFonts w:ascii="Arial" w:eastAsia="Times New Roman" w:hAnsi="Arial" w:cs="Arial"/>
          <w:kern w:val="0"/>
          <w:sz w:val="22"/>
          <w:szCs w:val="22"/>
          <w14:ligatures w14:val="none"/>
        </w:rPr>
        <w:t>19, supply chain crisis, inflation).</w:t>
      </w:r>
    </w:p>
    <w:p w14:paraId="580F4AD8" w14:textId="77777777" w:rsidR="00E2708D" w:rsidRPr="00162FBA" w:rsidRDefault="00E2708D" w:rsidP="001D1311">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b/>
          <w:bCs/>
          <w:kern w:val="0"/>
          <w:sz w:val="22"/>
          <w:szCs w:val="22"/>
          <w14:ligatures w14:val="none"/>
        </w:rPr>
        <w:t>Nonlinear effects and threshold behaviors</w:t>
      </w:r>
      <w:r w:rsidRPr="00162FBA">
        <w:rPr>
          <w:rFonts w:ascii="Arial" w:eastAsia="Times New Roman" w:hAnsi="Arial" w:cs="Arial"/>
          <w:kern w:val="0"/>
          <w:sz w:val="22"/>
          <w:szCs w:val="22"/>
          <w14:ligatures w14:val="none"/>
        </w:rPr>
        <w:t>—some ratios might have a non</w:t>
      </w:r>
      <w:r w:rsidRPr="00162FBA">
        <w:rPr>
          <w:rFonts w:ascii="Cambria Math" w:eastAsia="Times New Roman" w:hAnsi="Cambria Math" w:cs="Cambria Math"/>
          <w:kern w:val="0"/>
          <w:sz w:val="22"/>
          <w:szCs w:val="22"/>
          <w14:ligatures w14:val="none"/>
        </w:rPr>
        <w:t>‐</w:t>
      </w:r>
      <w:r w:rsidRPr="00162FBA">
        <w:rPr>
          <w:rFonts w:ascii="Arial" w:eastAsia="Times New Roman" w:hAnsi="Arial" w:cs="Arial"/>
          <w:kern w:val="0"/>
          <w:sz w:val="22"/>
          <w:szCs w:val="22"/>
          <w14:ligatures w14:val="none"/>
        </w:rPr>
        <w:t>linear relationship to price (e.g. very high P/E being negative, or D/E being beneficial only up to a point). Many studies assume direct relationships.</w:t>
      </w:r>
    </w:p>
    <w:p w14:paraId="5DB722B3" w14:textId="77777777" w:rsidR="00E2708D" w:rsidRPr="00162FBA" w:rsidRDefault="00E2708D" w:rsidP="001D1311">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b/>
          <w:bCs/>
          <w:kern w:val="0"/>
          <w:sz w:val="22"/>
          <w:szCs w:val="22"/>
          <w14:ligatures w14:val="none"/>
        </w:rPr>
        <w:t>Quality of accounting/fiscal disclosures</w:t>
      </w:r>
      <w:r w:rsidRPr="00162FBA">
        <w:rPr>
          <w:rFonts w:ascii="Arial" w:eastAsia="Times New Roman" w:hAnsi="Arial" w:cs="Arial"/>
          <w:kern w:val="0"/>
          <w:sz w:val="22"/>
          <w:szCs w:val="22"/>
          <w14:ligatures w14:val="none"/>
        </w:rPr>
        <w:t>: differences in accounting policies, earnings smoothing, one</w:t>
      </w:r>
      <w:r w:rsidRPr="00162FBA">
        <w:rPr>
          <w:rFonts w:ascii="Cambria Math" w:eastAsia="Times New Roman" w:hAnsi="Cambria Math" w:cs="Cambria Math"/>
          <w:kern w:val="0"/>
          <w:sz w:val="22"/>
          <w:szCs w:val="22"/>
          <w14:ligatures w14:val="none"/>
        </w:rPr>
        <w:t>‐</w:t>
      </w:r>
      <w:r w:rsidRPr="00162FBA">
        <w:rPr>
          <w:rFonts w:ascii="Arial" w:eastAsia="Times New Roman" w:hAnsi="Arial" w:cs="Arial"/>
          <w:kern w:val="0"/>
          <w:sz w:val="22"/>
          <w:szCs w:val="22"/>
          <w14:ligatures w14:val="none"/>
        </w:rPr>
        <w:t>off items may change ratios; very few studies adjust for accounting quality or differences in earnings consistency.</w:t>
      </w:r>
    </w:p>
    <w:p w14:paraId="55BB0BE3" w14:textId="77777777" w:rsidR="00E2708D" w:rsidRPr="00162FBA"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This study directly addresses these gaps by examining multiple ratios simultaneously in UK FTSE 100 firms, across sectors, and during the unique 2019–2023 period.</w:t>
      </w:r>
    </w:p>
    <w:p w14:paraId="03C3DBA9"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25" w:name="_Toc728330861"/>
      <w:r w:rsidRPr="00F7201A">
        <w:rPr>
          <w:rFonts w:ascii="Arial" w:eastAsia="Times New Roman" w:hAnsi="Arial" w:cs="Arial"/>
          <w:b/>
          <w:bCs/>
          <w:color w:val="auto"/>
          <w:sz w:val="32"/>
          <w:szCs w:val="32"/>
        </w:rPr>
        <w:t>2.6 Conceptual Framework</w:t>
      </w:r>
      <w:bookmarkEnd w:id="25"/>
    </w:p>
    <w:p w14:paraId="0BCE8DDB" w14:textId="77777777" w:rsidR="00E2708D" w:rsidRPr="00162FBA"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The conceptual framework positions share price as the dependent variable influenced by selected financial ratios as self-governing variables: ROA, ROE, EPS, P/E, PEG, net profit margin, bonus yield, current ratio, and D/E ratio. The study hypothesizes the following relationships:</w:t>
      </w:r>
    </w:p>
    <w:p w14:paraId="0E24CB86" w14:textId="77777777" w:rsidR="00E2708D" w:rsidRPr="00162FBA" w:rsidRDefault="00E2708D" w:rsidP="00E2708D">
      <w:pPr>
        <w:numPr>
          <w:ilvl w:val="0"/>
          <w:numId w:val="11"/>
        </w:num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lastRenderedPageBreak/>
        <w:t>ROA, ROE, EPS, and net profit margin are positively associated with share prices.</w:t>
      </w:r>
    </w:p>
    <w:p w14:paraId="34A099AA" w14:textId="77777777" w:rsidR="00E2708D" w:rsidRPr="00162FBA" w:rsidRDefault="00E2708D" w:rsidP="00E2708D">
      <w:pPr>
        <w:numPr>
          <w:ilvl w:val="0"/>
          <w:numId w:val="11"/>
        </w:num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Bonus yield generally has a positive effect, moderated by payout sustainability.</w:t>
      </w:r>
    </w:p>
    <w:p w14:paraId="1033DB43" w14:textId="77777777" w:rsidR="00E2708D" w:rsidRPr="00162FBA" w:rsidRDefault="00E2708D" w:rsidP="00E2708D">
      <w:pPr>
        <w:numPr>
          <w:ilvl w:val="0"/>
          <w:numId w:val="11"/>
        </w:num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P/E and PEG ratios reflect market expectations; PEG ratios above one may indicate overestimate.</w:t>
      </w:r>
    </w:p>
    <w:p w14:paraId="306F5E46" w14:textId="77777777" w:rsidR="00E2708D" w:rsidRPr="00162FBA" w:rsidRDefault="00E2708D" w:rsidP="00E2708D">
      <w:pPr>
        <w:numPr>
          <w:ilvl w:val="0"/>
          <w:numId w:val="11"/>
        </w:num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Current ratio enhances investor confidence, supporting share prices.</w:t>
      </w:r>
    </w:p>
    <w:p w14:paraId="3B808177" w14:textId="77777777" w:rsidR="00E2708D" w:rsidRPr="00162FBA" w:rsidRDefault="00E2708D" w:rsidP="00E2708D">
      <w:pPr>
        <w:numPr>
          <w:ilvl w:val="0"/>
          <w:numId w:val="11"/>
        </w:num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D/E ratio exhibits a non-direct effect; moderate leverage can enhance returns, while excessive debt increases risk.</w:t>
      </w:r>
    </w:p>
    <w:p w14:paraId="4BF38A7F" w14:textId="1F373D7E" w:rsidR="00E2708D" w:rsidRPr="00162FBA"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 xml:space="preserve">This framework integrates profitability, valuation, liquidity, and leverage measures, providing an inclusive basis for </w:t>
      </w:r>
      <w:r w:rsidR="000E5758" w:rsidRPr="00162FBA">
        <w:rPr>
          <w:rFonts w:ascii="Arial" w:eastAsia="Times New Roman" w:hAnsi="Arial" w:cs="Arial"/>
          <w:kern w:val="0"/>
          <w:sz w:val="22"/>
          <w:szCs w:val="22"/>
          <w14:ligatures w14:val="none"/>
        </w:rPr>
        <w:t>investing</w:t>
      </w:r>
      <w:r w:rsidRPr="00162FBA">
        <w:rPr>
          <w:rFonts w:ascii="Arial" w:eastAsia="Times New Roman" w:hAnsi="Arial" w:cs="Arial"/>
          <w:kern w:val="0"/>
          <w:sz w:val="22"/>
          <w:szCs w:val="22"/>
          <w14:ligatures w14:val="none"/>
        </w:rPr>
        <w:t xml:space="preserve"> their combined effects on share prices.</w:t>
      </w:r>
    </w:p>
    <w:p w14:paraId="591502ED" w14:textId="77777777" w:rsidR="00E2708D" w:rsidRPr="00F7201A" w:rsidRDefault="00E2708D" w:rsidP="00E2708D">
      <w:pPr>
        <w:spacing w:line="360" w:lineRule="auto"/>
        <w:jc w:val="both"/>
        <w:rPr>
          <w:rFonts w:ascii="Arial" w:eastAsia="Times New Roman" w:hAnsi="Arial" w:cs="Arial"/>
        </w:rPr>
      </w:pPr>
    </w:p>
    <w:p w14:paraId="161E214E"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26" w:name="_Toc1922468425"/>
      <w:r w:rsidRPr="00F7201A">
        <w:rPr>
          <w:rFonts w:ascii="Arial" w:eastAsia="Times New Roman" w:hAnsi="Arial" w:cs="Arial"/>
          <w:b/>
          <w:bCs/>
          <w:color w:val="auto"/>
          <w:sz w:val="32"/>
          <w:szCs w:val="32"/>
        </w:rPr>
        <w:t>Chapter 3: Research Methods and Methodology</w:t>
      </w:r>
      <w:bookmarkEnd w:id="26"/>
    </w:p>
    <w:p w14:paraId="1CF073B2"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27" w:name="_Toc30773301"/>
      <w:r w:rsidRPr="00F7201A">
        <w:rPr>
          <w:rFonts w:ascii="Arial" w:eastAsia="Times New Roman" w:hAnsi="Arial" w:cs="Arial"/>
          <w:b/>
          <w:bCs/>
          <w:color w:val="auto"/>
          <w:sz w:val="32"/>
          <w:szCs w:val="32"/>
        </w:rPr>
        <w:t>3.1 Introduction</w:t>
      </w:r>
      <w:bookmarkEnd w:id="27"/>
    </w:p>
    <w:p w14:paraId="4F933CA5" w14:textId="77777777" w:rsidR="00E2708D" w:rsidRPr="00162FBA"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162FBA">
        <w:rPr>
          <w:rFonts w:ascii="Arial" w:eastAsia="Times New Roman" w:hAnsi="Arial" w:cs="Arial"/>
          <w:kern w:val="0"/>
          <w:sz w:val="22"/>
          <w:szCs w:val="22"/>
          <w14:ligatures w14:val="none"/>
        </w:rPr>
        <w:t>This chapter outlines the methodological framework employed to investigate the impact of financial ratios on the share prices of UK-listed firms. It discusses research philosophy and approach, followed by research design and strategy. The chapter explains the data collection process, including sampling and sources, and details the analytical techniques employed. It also addresses ethical issues, reliability, validity, and potential limitations. Structuring the methodology in this way ensures transparency, rigor, and replicability, strengthening the credibility and validity of the findings.</w:t>
      </w:r>
    </w:p>
    <w:p w14:paraId="5E8A5CA2"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28" w:name="_Toc203990213"/>
      <w:r w:rsidRPr="00F7201A">
        <w:rPr>
          <w:rFonts w:ascii="Arial" w:eastAsia="Times New Roman" w:hAnsi="Arial" w:cs="Arial"/>
          <w:b/>
          <w:bCs/>
          <w:color w:val="auto"/>
          <w:sz w:val="32"/>
          <w:szCs w:val="32"/>
        </w:rPr>
        <w:t>3.2 Research Philosophy</w:t>
      </w:r>
      <w:bookmarkEnd w:id="28"/>
    </w:p>
    <w:p w14:paraId="7D1092C2"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29" w:name="_Toc925459606"/>
      <w:r w:rsidRPr="00F7201A">
        <w:rPr>
          <w:rFonts w:ascii="Arial" w:eastAsia="Times New Roman" w:hAnsi="Arial" w:cs="Arial"/>
          <w:b/>
          <w:bCs/>
          <w:color w:val="auto"/>
          <w:sz w:val="28"/>
          <w:szCs w:val="28"/>
        </w:rPr>
        <w:t>3.2.1 Positivism</w:t>
      </w:r>
      <w:bookmarkEnd w:id="29"/>
    </w:p>
    <w:p w14:paraId="7FDB097E" w14:textId="77777777" w:rsidR="00E2708D" w:rsidRPr="000E5758"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This study adopts a positive research philosophy as its guiding approach. Positivism is rooted in the belief that reality is objective and can be measured through observable, quantifiable data (Creswell, 2014). It assumes that the social world, like the natural world, operates according to general laws that can be uncovered through systematic investigation. In financial research, positivism is particularly relevant because it allows researchers to apply statistical models and empirical testing to determine the strength and direction of relationships between measurable variables such as financial ratios and share prices.</w:t>
      </w:r>
    </w:p>
    <w:p w14:paraId="11083211" w14:textId="77777777" w:rsidR="00E2708D" w:rsidRPr="000E5758"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lastRenderedPageBreak/>
        <w:t>In the context of this study, positivism supports the objective analysis of financial ratio including profitability, liquidity, leverage, and valuation measures—and their impact on share prices of FTSE 100 firms between 2019 and 2023. By adopting positivism, the research seeks to test hypotheses about whether and how these ratios influence stock performance, following a cause-and-effect logic. This is consistent with previous studies such as Basu (1977), Chen and Zhao (2009), and Al-</w:t>
      </w:r>
      <w:proofErr w:type="spellStart"/>
      <w:r w:rsidRPr="000E5758">
        <w:rPr>
          <w:rFonts w:ascii="Arial" w:eastAsia="Times New Roman" w:hAnsi="Arial" w:cs="Arial"/>
          <w:kern w:val="0"/>
          <w:sz w:val="22"/>
          <w:szCs w:val="22"/>
          <w14:ligatures w14:val="none"/>
        </w:rPr>
        <w:t>Mwalla</w:t>
      </w:r>
      <w:proofErr w:type="spellEnd"/>
      <w:r w:rsidRPr="000E5758">
        <w:rPr>
          <w:rFonts w:ascii="Arial" w:eastAsia="Times New Roman" w:hAnsi="Arial" w:cs="Arial"/>
          <w:kern w:val="0"/>
          <w:sz w:val="22"/>
          <w:szCs w:val="22"/>
          <w14:ligatures w14:val="none"/>
        </w:rPr>
        <w:t xml:space="preserve"> (2012), who employed statistical techniques to objectively evaluate the relationship between firm-level financial data and market valuations.</w:t>
      </w:r>
    </w:p>
    <w:p w14:paraId="0275836E" w14:textId="77777777" w:rsidR="00E2708D" w:rsidRPr="000E5758"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Furthermore, positivism aligns closely with the fundamental analysis theory underpinning this research. Fundamental analysis assumes that firm-specific financial information—earnings, assets, debt, dividends—carries predictive power over future stock prices. This assumption is best examined under a positivist lens, where ratios are treated as independent variables that can be empirically tested against dependent outcomes such as share price. The objective nature of financial data (e.g., audited earnings per share, published P/E ratios) provides measurable inputs that fit within the positive paradigm, reducing subjectivity, and ensuring replicability.</w:t>
      </w:r>
    </w:p>
    <w:p w14:paraId="713FD0D9" w14:textId="77777777" w:rsidR="00E2708D" w:rsidRPr="000E5758"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This philosophy also provides justification for the quantitative methodology chosen. Positivism prioritizes statistical methods, surveys of numerical data, and hypothesis testing, rather than interpretive or subjective approaches. For example, regression analysis of widely applied methods in prior empirical studies—allows the researcher to determine the relative importance of multiple ratios in explaining share price variation. Prior studies support this approach: Mohamad et al. (2010) applied regression models to test the significance of profitability ratios in Malaysia, while Al-</w:t>
      </w:r>
      <w:proofErr w:type="spellStart"/>
      <w:r w:rsidRPr="000E5758">
        <w:rPr>
          <w:rFonts w:ascii="Arial" w:eastAsia="Times New Roman" w:hAnsi="Arial" w:cs="Arial"/>
          <w:kern w:val="0"/>
          <w:sz w:val="22"/>
          <w:szCs w:val="22"/>
          <w14:ligatures w14:val="none"/>
        </w:rPr>
        <w:t>Mwalla</w:t>
      </w:r>
      <w:proofErr w:type="spellEnd"/>
      <w:r w:rsidRPr="000E5758">
        <w:rPr>
          <w:rFonts w:ascii="Arial" w:eastAsia="Times New Roman" w:hAnsi="Arial" w:cs="Arial"/>
          <w:kern w:val="0"/>
          <w:sz w:val="22"/>
          <w:szCs w:val="22"/>
          <w14:ligatures w14:val="none"/>
        </w:rPr>
        <w:t xml:space="preserve"> (2012) used quantitative data to measure the impact of leverage on firm value. Their methodological choices reflect positivist reasoning, as they sought objective, generalizable results from observable data.</w:t>
      </w:r>
    </w:p>
    <w:p w14:paraId="383C1663" w14:textId="77777777" w:rsidR="00E2708D" w:rsidRPr="000E5758"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In addition, the time frame of 2019–2023 provides an opportunity to test how new external events, such as the COVID-19 pandemic, inflationary pressures, and post-pandemic recovery, influenced the strength of financial ratios in predicting share prices. Under a positivist framework, such external shocks are treated as contextual variables that may alter—but do not negate—the causal relationships under investigation. By statistically examining data across pre-pandemic, pandemic, and post-pandemic periods, this study can objectively measure whether these events modified the relationship between financial ratios and market valuations, thus responding directly to gaps identified in the literature review.</w:t>
      </w:r>
    </w:p>
    <w:p w14:paraId="7433A09D" w14:textId="77777777" w:rsidR="00E2708D" w:rsidRPr="000E5758"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 xml:space="preserve">The adoption of positivism also supports the generalizability of findings. By using a large dataset covering FTSE 100 firms across multiple sectors, the research aims to identify </w:t>
      </w:r>
      <w:r w:rsidRPr="000E5758">
        <w:rPr>
          <w:rFonts w:ascii="Arial" w:eastAsia="Times New Roman" w:hAnsi="Arial" w:cs="Arial"/>
          <w:kern w:val="0"/>
          <w:sz w:val="22"/>
          <w:szCs w:val="22"/>
          <w14:ligatures w14:val="none"/>
        </w:rPr>
        <w:lastRenderedPageBreak/>
        <w:t>patterns that can be extended beyond individual companies to the broader UK market context. This is particularly valuable for investors, policymakers, and scholars who rely on generalizable findings to guide decision-making.</w:t>
      </w:r>
    </w:p>
    <w:p w14:paraId="7BA5A044"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30" w:name="_Toc354116404"/>
      <w:r w:rsidRPr="00F7201A">
        <w:rPr>
          <w:rFonts w:ascii="Arial" w:eastAsia="Times New Roman" w:hAnsi="Arial" w:cs="Arial"/>
          <w:b/>
          <w:bCs/>
          <w:color w:val="auto"/>
          <w:sz w:val="32"/>
          <w:szCs w:val="32"/>
        </w:rPr>
        <w:t>3.3 Research Design</w:t>
      </w:r>
      <w:bookmarkEnd w:id="30"/>
    </w:p>
    <w:p w14:paraId="1C024D03" w14:textId="77777777" w:rsidR="00E2708D" w:rsidRPr="000E5758"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The study employs a quantitative research design, as financial ratios and share prices are numerical variables suitable for statistical modelling. Unlike qualitative approaches, which explore perceptions, quantitative design enables objective measurement and hypothesis testing.</w:t>
      </w:r>
    </w:p>
    <w:p w14:paraId="1F512CC1" w14:textId="77777777" w:rsidR="00E2708D" w:rsidRPr="000E5758"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The design is both correlational and explanatory. Correlation analysis assesses the strength and direction of the relationship between each financial ratio and share prices, while explanatory analysis evaluates whether these ratios collectively statistically explain variations in stock prices. This dual approach ensures that the study not only identifies relationships but also determines their significance, addressing gaps in prior research where multiple ratios were seldom considered simultaneously (Mohamad et al., 2010).</w:t>
      </w:r>
    </w:p>
    <w:p w14:paraId="082EB897"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31" w:name="_Toc798374462"/>
      <w:r w:rsidRPr="00F7201A">
        <w:rPr>
          <w:rFonts w:ascii="Arial" w:eastAsia="Times New Roman" w:hAnsi="Arial" w:cs="Arial"/>
          <w:b/>
          <w:bCs/>
          <w:color w:val="auto"/>
          <w:sz w:val="32"/>
          <w:szCs w:val="32"/>
        </w:rPr>
        <w:t>3.4 Research Strategy</w:t>
      </w:r>
      <w:bookmarkEnd w:id="31"/>
    </w:p>
    <w:p w14:paraId="036C2F7B" w14:textId="77777777" w:rsidR="00E2708D" w:rsidRPr="000E5758"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The research adopts an archival analysis strategy, relying on secondary data from audited financial statements, company annual reports, and financial databases such as Bloomberg, Refinitiv Eikon, Yahoo Finance, and the London Stock Exchange. Archival analysis is appropriate because the required data—financial ratios and share prices—are publicly available, reliable, and widely used in academic research.</w:t>
      </w:r>
    </w:p>
    <w:p w14:paraId="6866451E" w14:textId="77777777" w:rsidR="00E2708D" w:rsidRPr="000E5758"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This strategy enhances efficiency and accuracy, as audited reports provide verified figures, and aligns with the positive philosophy by offering objective, replicable information. Prior studies (Penman, 2013; Al-</w:t>
      </w:r>
      <w:proofErr w:type="spellStart"/>
      <w:r w:rsidRPr="000E5758">
        <w:rPr>
          <w:rFonts w:ascii="Arial" w:eastAsia="Times New Roman" w:hAnsi="Arial" w:cs="Arial"/>
          <w:kern w:val="0"/>
          <w:sz w:val="22"/>
          <w:szCs w:val="22"/>
          <w14:ligatures w14:val="none"/>
        </w:rPr>
        <w:t>Mwalla</w:t>
      </w:r>
      <w:proofErr w:type="spellEnd"/>
      <w:r w:rsidRPr="000E5758">
        <w:rPr>
          <w:rFonts w:ascii="Arial" w:eastAsia="Times New Roman" w:hAnsi="Arial" w:cs="Arial"/>
          <w:kern w:val="0"/>
          <w:sz w:val="22"/>
          <w:szCs w:val="22"/>
          <w14:ligatures w14:val="none"/>
        </w:rPr>
        <w:t>, 2012) similarly used archival data to examine the predictive power of financial ratios on stock performance.</w:t>
      </w:r>
    </w:p>
    <w:p w14:paraId="36767C05"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32" w:name="_Toc1923455762"/>
      <w:r w:rsidRPr="00F7201A">
        <w:rPr>
          <w:rFonts w:ascii="Arial" w:eastAsia="Times New Roman" w:hAnsi="Arial" w:cs="Arial"/>
          <w:b/>
          <w:bCs/>
          <w:color w:val="auto"/>
          <w:sz w:val="32"/>
          <w:szCs w:val="32"/>
        </w:rPr>
        <w:t>3.5 Sampling</w:t>
      </w:r>
      <w:bookmarkEnd w:id="32"/>
    </w:p>
    <w:p w14:paraId="7A80A9C6"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33" w:name="_Toc2139483871"/>
      <w:r w:rsidRPr="00F7201A">
        <w:rPr>
          <w:rFonts w:ascii="Arial" w:eastAsia="Times New Roman" w:hAnsi="Arial" w:cs="Arial"/>
          <w:b/>
          <w:bCs/>
          <w:color w:val="auto"/>
          <w:sz w:val="28"/>
          <w:szCs w:val="28"/>
        </w:rPr>
        <w:t>3.5.1 Target Population</w:t>
      </w:r>
      <w:bookmarkEnd w:id="33"/>
    </w:p>
    <w:p w14:paraId="34FE0897" w14:textId="77777777" w:rsidR="00E2708D" w:rsidRPr="000E5758"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 xml:space="preserve">The target population comprises FTSE 100-listed firms, representing the largest UK companies by market capitalization. The FTSE 100 is selected for its diverse sector </w:t>
      </w:r>
      <w:r w:rsidRPr="000E5758">
        <w:rPr>
          <w:rFonts w:ascii="Arial" w:eastAsia="Times New Roman" w:hAnsi="Arial" w:cs="Arial"/>
          <w:kern w:val="0"/>
          <w:sz w:val="22"/>
          <w:szCs w:val="22"/>
          <w14:ligatures w14:val="none"/>
        </w:rPr>
        <w:lastRenderedPageBreak/>
        <w:t>representation, including finance, energy, retail, and healthcare, providing a comprehensive overview of the UK corporate sector.</w:t>
      </w:r>
    </w:p>
    <w:p w14:paraId="109C65D8"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34" w:name="_Toc798413825"/>
      <w:r w:rsidRPr="00F7201A">
        <w:rPr>
          <w:rFonts w:ascii="Arial" w:eastAsia="Times New Roman" w:hAnsi="Arial" w:cs="Arial"/>
          <w:b/>
          <w:bCs/>
          <w:color w:val="auto"/>
          <w:sz w:val="28"/>
          <w:szCs w:val="28"/>
        </w:rPr>
        <w:t>3.5.2 Sampling Frame and Selection</w:t>
      </w:r>
      <w:bookmarkEnd w:id="34"/>
    </w:p>
    <w:p w14:paraId="5AFBD2E7" w14:textId="77777777" w:rsidR="00E2708D" w:rsidRPr="000E5758"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A purposive sampling technique is applied, selecting firms with complete financial data between 2019 and 2023. Firms with missing data are excluded to ensure consistency and reliability. The expected sample size is 30–40 firms, balancing statistical robustness with manageability. This approach ensures that the findings are representative of the broader FTSE 100 population while maintaining high data quality.</w:t>
      </w:r>
    </w:p>
    <w:p w14:paraId="09D6D40B"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35" w:name="_Toc1327025752"/>
      <w:r w:rsidRPr="00F7201A">
        <w:rPr>
          <w:rFonts w:ascii="Arial" w:eastAsia="Times New Roman" w:hAnsi="Arial" w:cs="Arial"/>
          <w:b/>
          <w:bCs/>
          <w:color w:val="auto"/>
          <w:sz w:val="28"/>
          <w:szCs w:val="28"/>
        </w:rPr>
        <w:t>3.5.3 Time Frame</w:t>
      </w:r>
      <w:bookmarkEnd w:id="35"/>
    </w:p>
    <w:p w14:paraId="11916199" w14:textId="77777777" w:rsidR="00E2708D" w:rsidRPr="00F7201A" w:rsidRDefault="00E2708D" w:rsidP="00E2708D">
      <w:pPr>
        <w:spacing w:before="100" w:beforeAutospacing="1" w:after="100" w:afterAutospacing="1" w:line="360" w:lineRule="auto"/>
        <w:ind w:firstLine="720"/>
        <w:jc w:val="both"/>
        <w:rPr>
          <w:rFonts w:ascii="Arial" w:eastAsia="Times New Roman" w:hAnsi="Arial" w:cs="Arial"/>
          <w:kern w:val="0"/>
          <w14:ligatures w14:val="none"/>
        </w:rPr>
      </w:pPr>
      <w:r w:rsidRPr="000E5758">
        <w:rPr>
          <w:rFonts w:ascii="Arial" w:eastAsia="Times New Roman" w:hAnsi="Arial" w:cs="Arial"/>
          <w:kern w:val="0"/>
          <w:sz w:val="22"/>
          <w:szCs w:val="22"/>
          <w14:ligatures w14:val="none"/>
        </w:rPr>
        <w:t>The 2019–2023 period captures stock performance before, during, and after the COVID-19 pandemic, allowing the study to observe how financial ratios influenced share prices under varying economic conditions. This approach provides insights into resilience and market response to extraordinary events, complementing prior studies that did not consider pandemic-related disruptions</w:t>
      </w:r>
      <w:r w:rsidRPr="00F7201A">
        <w:rPr>
          <w:rFonts w:ascii="Arial" w:eastAsia="Times New Roman" w:hAnsi="Arial" w:cs="Arial"/>
          <w:kern w:val="0"/>
          <w14:ligatures w14:val="none"/>
        </w:rPr>
        <w:t>.</w:t>
      </w:r>
    </w:p>
    <w:p w14:paraId="1159D585"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36" w:name="_Toc1137133434"/>
      <w:r w:rsidRPr="00F7201A">
        <w:rPr>
          <w:rFonts w:ascii="Arial" w:eastAsia="Times New Roman" w:hAnsi="Arial" w:cs="Arial"/>
          <w:b/>
          <w:bCs/>
          <w:color w:val="auto"/>
          <w:sz w:val="32"/>
          <w:szCs w:val="32"/>
        </w:rPr>
        <w:t>3.6 Data Collection</w:t>
      </w:r>
      <w:bookmarkEnd w:id="36"/>
    </w:p>
    <w:p w14:paraId="3E6105DD" w14:textId="77777777" w:rsidR="00E2708D" w:rsidRPr="000E5758"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The study uses secondary data exclusively. Sources include:</w:t>
      </w:r>
    </w:p>
    <w:p w14:paraId="2B2AD21E" w14:textId="77777777" w:rsidR="00E2708D" w:rsidRPr="000E5758" w:rsidRDefault="00E2708D" w:rsidP="00682075">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Annual reports and financial statements of selected firms are audited</w:t>
      </w:r>
      <w:r w:rsidRPr="000E5758">
        <w:rPr>
          <w:rFonts w:ascii="Arial" w:eastAsia="Times New Roman" w:hAnsi="Arial" w:cs="Arial"/>
          <w:kern w:val="0"/>
          <w:sz w:val="22"/>
          <w:szCs w:val="22"/>
          <w14:ligatures w14:val="none"/>
        </w:rPr>
        <w:t>.</w:t>
      </w:r>
    </w:p>
    <w:p w14:paraId="24CB92C8" w14:textId="77777777" w:rsidR="00E2708D" w:rsidRPr="000E5758" w:rsidRDefault="00E2708D" w:rsidP="00682075">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Financial databases</w:t>
      </w:r>
      <w:r w:rsidRPr="000E5758">
        <w:rPr>
          <w:rFonts w:ascii="Arial" w:eastAsia="Times New Roman" w:hAnsi="Arial" w:cs="Arial"/>
          <w:kern w:val="0"/>
          <w:sz w:val="22"/>
          <w:szCs w:val="22"/>
          <w14:ligatures w14:val="none"/>
        </w:rPr>
        <w:t xml:space="preserve"> (Bloomberg, Refinitiv Eikon, Yahoo Finance) and the London Stock Exchange for historical share prices.</w:t>
      </w:r>
    </w:p>
    <w:p w14:paraId="30CAB9E1" w14:textId="77777777" w:rsidR="00E2708D" w:rsidRPr="000E5758" w:rsidRDefault="00E2708D" w:rsidP="00682075">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Published ratio data</w:t>
      </w:r>
      <w:r w:rsidRPr="000E5758">
        <w:rPr>
          <w:rFonts w:ascii="Arial" w:eastAsia="Times New Roman" w:hAnsi="Arial" w:cs="Arial"/>
          <w:kern w:val="0"/>
          <w:sz w:val="22"/>
          <w:szCs w:val="22"/>
          <w14:ligatures w14:val="none"/>
        </w:rPr>
        <w:t>, or calculation of ratios from raw financial figures if not directly available.</w:t>
      </w:r>
    </w:p>
    <w:p w14:paraId="6C49C18E" w14:textId="77777777" w:rsidR="00E2708D" w:rsidRPr="000E5758"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Secondary data is cost-effective, time-efficient, and reliable, as it is publicly audited and widely accepted in both academic and professional contexts.</w:t>
      </w:r>
    </w:p>
    <w:p w14:paraId="6493561A" w14:textId="77777777" w:rsidR="00E2708D" w:rsidRPr="000E5758"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Key variables:</w:t>
      </w:r>
    </w:p>
    <w:p w14:paraId="035B047B" w14:textId="77777777" w:rsidR="00E2708D" w:rsidRPr="000E5758" w:rsidRDefault="00E2708D" w:rsidP="0071654B">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Independent variables (financial ratios):</w:t>
      </w:r>
      <w:r w:rsidRPr="000E5758">
        <w:rPr>
          <w:rFonts w:ascii="Arial" w:eastAsia="Times New Roman" w:hAnsi="Arial" w:cs="Arial"/>
          <w:kern w:val="0"/>
          <w:sz w:val="22"/>
          <w:szCs w:val="22"/>
          <w14:ligatures w14:val="none"/>
        </w:rPr>
        <w:t xml:space="preserve"> ROA, ROE, EPS, P/E ratio, PEG ratio, Dividend Yield, Return on Liquidity, Current Ratio.</w:t>
      </w:r>
    </w:p>
    <w:p w14:paraId="55C79EC6" w14:textId="77777777" w:rsidR="00E2708D" w:rsidRPr="000E5758" w:rsidRDefault="00E2708D" w:rsidP="0071654B">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Dependent variable:</w:t>
      </w:r>
      <w:r w:rsidRPr="000E5758">
        <w:rPr>
          <w:rFonts w:ascii="Arial" w:eastAsia="Times New Roman" w:hAnsi="Arial" w:cs="Arial"/>
          <w:kern w:val="0"/>
          <w:sz w:val="22"/>
          <w:szCs w:val="22"/>
          <w14:ligatures w14:val="none"/>
        </w:rPr>
        <w:t xml:space="preserve"> Year-end </w:t>
      </w:r>
      <w:r w:rsidRPr="000E5758">
        <w:rPr>
          <w:rFonts w:ascii="Arial" w:eastAsia="Times New Roman" w:hAnsi="Arial" w:cs="Arial"/>
          <w:b/>
          <w:bCs/>
          <w:kern w:val="0"/>
          <w:sz w:val="22"/>
          <w:szCs w:val="22"/>
          <w14:ligatures w14:val="none"/>
        </w:rPr>
        <w:t>share price</w:t>
      </w:r>
      <w:r w:rsidRPr="000E5758">
        <w:rPr>
          <w:rFonts w:ascii="Arial" w:eastAsia="Times New Roman" w:hAnsi="Arial" w:cs="Arial"/>
          <w:kern w:val="0"/>
          <w:sz w:val="22"/>
          <w:szCs w:val="22"/>
          <w14:ligatures w14:val="none"/>
        </w:rPr>
        <w:t>.</w:t>
      </w:r>
    </w:p>
    <w:p w14:paraId="662305B1"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37" w:name="_Toc1195005571"/>
      <w:r w:rsidRPr="00F7201A">
        <w:rPr>
          <w:rFonts w:ascii="Arial" w:eastAsia="Times New Roman" w:hAnsi="Arial" w:cs="Arial"/>
          <w:b/>
          <w:bCs/>
          <w:color w:val="auto"/>
          <w:sz w:val="32"/>
          <w:szCs w:val="32"/>
        </w:rPr>
        <w:lastRenderedPageBreak/>
        <w:t>3.7 Data Analysis</w:t>
      </w:r>
      <w:bookmarkEnd w:id="37"/>
    </w:p>
    <w:p w14:paraId="689E497D" w14:textId="77777777" w:rsidR="00E2708D" w:rsidRPr="000E5758"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Quantitative analysis is conducted using SPSS and Microsoft Excel, employing the following techniques:</w:t>
      </w:r>
    </w:p>
    <w:p w14:paraId="1B7639B9" w14:textId="77777777" w:rsidR="00E2708D" w:rsidRPr="000E5758" w:rsidRDefault="00E2708D" w:rsidP="00ED12B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Descriptive Statistics:</w:t>
      </w:r>
      <w:r w:rsidRPr="000E5758">
        <w:rPr>
          <w:rFonts w:ascii="Arial" w:eastAsia="Times New Roman" w:hAnsi="Arial" w:cs="Arial"/>
          <w:kern w:val="0"/>
          <w:sz w:val="22"/>
          <w:szCs w:val="22"/>
          <w14:ligatures w14:val="none"/>
        </w:rPr>
        <w:t xml:space="preserve"> Mean, median, standard deviation, and range to summarize ratios and share prices, providing an overview of trends and variability.</w:t>
      </w:r>
    </w:p>
    <w:p w14:paraId="2191249B" w14:textId="77777777" w:rsidR="00E2708D" w:rsidRPr="000E5758" w:rsidRDefault="00E2708D" w:rsidP="00ED12B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Correlation Analysis:</w:t>
      </w:r>
      <w:r w:rsidRPr="000E5758">
        <w:rPr>
          <w:rFonts w:ascii="Arial" w:eastAsia="Times New Roman" w:hAnsi="Arial" w:cs="Arial"/>
          <w:kern w:val="0"/>
          <w:sz w:val="22"/>
          <w:szCs w:val="22"/>
          <w14:ligatures w14:val="none"/>
        </w:rPr>
        <w:t xml:space="preserve"> Pearson correlation coefficients measure the strength and direction of relationships between financial ratios and share prices.</w:t>
      </w:r>
    </w:p>
    <w:p w14:paraId="58362334" w14:textId="77777777" w:rsidR="00E2708D" w:rsidRPr="000E5758" w:rsidRDefault="00E2708D" w:rsidP="00ED12B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Multiple Linear Regression:</w:t>
      </w:r>
      <w:r w:rsidRPr="000E5758">
        <w:rPr>
          <w:rFonts w:ascii="Arial" w:eastAsia="Times New Roman" w:hAnsi="Arial" w:cs="Arial"/>
          <w:kern w:val="0"/>
          <w:sz w:val="22"/>
          <w:szCs w:val="22"/>
          <w14:ligatures w14:val="none"/>
        </w:rPr>
        <w:t xml:space="preserve"> Evaluates the combined effect of all selected ratios on share prices, identifying which ratios significantly predict stock values. The regression model in words: Share Price is predicted based on the combined influence of P/E ratio, EPS, ROE, D/E ratio, Current Ratio, Dividend Yield, and PEG ratio.</w:t>
      </w:r>
    </w:p>
    <w:p w14:paraId="2FF15403" w14:textId="77777777" w:rsidR="00E2708D" w:rsidRPr="000E5758" w:rsidRDefault="00E2708D" w:rsidP="00ED12BE">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Diagnostic Tests:</w:t>
      </w:r>
      <w:r w:rsidRPr="000E5758">
        <w:rPr>
          <w:rFonts w:ascii="Arial" w:eastAsia="Times New Roman" w:hAnsi="Arial" w:cs="Arial"/>
          <w:kern w:val="0"/>
          <w:sz w:val="22"/>
          <w:szCs w:val="22"/>
          <w14:ligatures w14:val="none"/>
        </w:rPr>
        <w:t xml:space="preserve"> Assess multicollinearity, heteroskedasticity, and normality to ensure regression validity.</w:t>
      </w:r>
    </w:p>
    <w:p w14:paraId="5830D3ED" w14:textId="77777777" w:rsidR="00E2708D" w:rsidRPr="000E5758"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These methods are consistent with prior research (Basu, 1977; Penman, 2013) and provide a robust framework for testing hypotheses, including those influenced by Covid-19 market volatility.</w:t>
      </w:r>
    </w:p>
    <w:p w14:paraId="643F06F5"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38" w:name="_Toc1462420580"/>
      <w:r w:rsidRPr="00F7201A">
        <w:rPr>
          <w:rFonts w:ascii="Arial" w:eastAsia="Times New Roman" w:hAnsi="Arial" w:cs="Arial"/>
          <w:b/>
          <w:bCs/>
          <w:color w:val="auto"/>
          <w:sz w:val="32"/>
          <w:szCs w:val="32"/>
        </w:rPr>
        <w:t>3.8 Ethical Considerations</w:t>
      </w:r>
      <w:bookmarkEnd w:id="38"/>
    </w:p>
    <w:p w14:paraId="60FAD95E" w14:textId="77777777" w:rsidR="00E2708D" w:rsidRPr="000E5758"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Although the study uses secondary data, ethical principles are observed:</w:t>
      </w:r>
    </w:p>
    <w:p w14:paraId="1271C85D" w14:textId="77777777" w:rsidR="00E2708D" w:rsidRPr="000E5758" w:rsidRDefault="00E2708D" w:rsidP="00444342">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Integrity:</w:t>
      </w:r>
      <w:r w:rsidRPr="000E5758">
        <w:rPr>
          <w:rFonts w:ascii="Arial" w:eastAsia="Times New Roman" w:hAnsi="Arial" w:cs="Arial"/>
          <w:kern w:val="0"/>
          <w:sz w:val="22"/>
          <w:szCs w:val="22"/>
          <w14:ligatures w14:val="none"/>
        </w:rPr>
        <w:t xml:space="preserve"> Accurate reporting of audited and verifiable data.</w:t>
      </w:r>
    </w:p>
    <w:p w14:paraId="322049C3" w14:textId="77777777" w:rsidR="00E2708D" w:rsidRPr="000E5758" w:rsidRDefault="00E2708D" w:rsidP="00444342">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Transparency:</w:t>
      </w:r>
      <w:r w:rsidRPr="000E5758">
        <w:rPr>
          <w:rFonts w:ascii="Arial" w:eastAsia="Times New Roman" w:hAnsi="Arial" w:cs="Arial"/>
          <w:kern w:val="0"/>
          <w:sz w:val="22"/>
          <w:szCs w:val="22"/>
          <w14:ligatures w14:val="none"/>
        </w:rPr>
        <w:t xml:space="preserve"> Full documentation of methods and calculations for replicability.</w:t>
      </w:r>
    </w:p>
    <w:p w14:paraId="1BBA9D9A" w14:textId="5A28CDA3" w:rsidR="00E2708D" w:rsidRPr="000E5758" w:rsidRDefault="00E2708D" w:rsidP="00444342">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Confidentiality:</w:t>
      </w:r>
      <w:r w:rsidRPr="000E5758">
        <w:rPr>
          <w:rFonts w:ascii="Arial" w:eastAsia="Times New Roman" w:hAnsi="Arial" w:cs="Arial"/>
          <w:kern w:val="0"/>
          <w:sz w:val="22"/>
          <w:szCs w:val="22"/>
          <w14:ligatures w14:val="none"/>
        </w:rPr>
        <w:t xml:space="preserve"> Public</w:t>
      </w:r>
      <w:r w:rsidR="009A5537" w:rsidRPr="000E5758">
        <w:rPr>
          <w:rFonts w:ascii="Arial" w:eastAsia="Times New Roman" w:hAnsi="Arial" w:cs="Arial"/>
          <w:kern w:val="0"/>
          <w:sz w:val="22"/>
          <w:szCs w:val="22"/>
          <w14:ligatures w14:val="none"/>
        </w:rPr>
        <w:t xml:space="preserve"> </w:t>
      </w:r>
      <w:r w:rsidRPr="000E5758">
        <w:rPr>
          <w:rFonts w:ascii="Arial" w:eastAsia="Times New Roman" w:hAnsi="Arial" w:cs="Arial"/>
          <w:kern w:val="0"/>
          <w:sz w:val="22"/>
          <w:szCs w:val="22"/>
          <w14:ligatures w14:val="none"/>
        </w:rPr>
        <w:t>data is handled responsibly, avoiding misrepresentation.</w:t>
      </w:r>
    </w:p>
    <w:p w14:paraId="613CD5AA" w14:textId="77777777" w:rsidR="00E2708D" w:rsidRPr="000E5758" w:rsidRDefault="00E2708D" w:rsidP="00444342">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Acknowledgment:</w:t>
      </w:r>
      <w:r w:rsidRPr="000E5758">
        <w:rPr>
          <w:rFonts w:ascii="Arial" w:eastAsia="Times New Roman" w:hAnsi="Arial" w:cs="Arial"/>
          <w:kern w:val="0"/>
          <w:sz w:val="22"/>
          <w:szCs w:val="22"/>
          <w14:ligatures w14:val="none"/>
        </w:rPr>
        <w:t xml:space="preserve"> Proper Harvard referencing of all sources.</w:t>
      </w:r>
    </w:p>
    <w:p w14:paraId="75DDC7DA" w14:textId="77777777" w:rsidR="00E2708D" w:rsidRPr="000E5758"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No human participants are involved, so risks like informed consent or privacy violations do not apply.</w:t>
      </w:r>
    </w:p>
    <w:p w14:paraId="5848E204"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39" w:name="_Toc540900246"/>
      <w:r w:rsidRPr="00F7201A">
        <w:rPr>
          <w:rFonts w:ascii="Arial" w:eastAsia="Times New Roman" w:hAnsi="Arial" w:cs="Arial"/>
          <w:b/>
          <w:bCs/>
          <w:color w:val="auto"/>
          <w:sz w:val="32"/>
          <w:szCs w:val="32"/>
        </w:rPr>
        <w:lastRenderedPageBreak/>
        <w:t>3.9 Reliability and Validity</w:t>
      </w:r>
      <w:bookmarkEnd w:id="39"/>
    </w:p>
    <w:p w14:paraId="7F139BF9" w14:textId="39EE75DC" w:rsidR="00E2708D" w:rsidRPr="000E5758" w:rsidRDefault="00E2708D" w:rsidP="00E2708D">
      <w:pPr>
        <w:spacing w:before="100" w:beforeAutospacing="1" w:after="100" w:afterAutospacing="1" w:line="360" w:lineRule="auto"/>
        <w:ind w:firstLine="720"/>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 xml:space="preserve">Reliability is ensured by using audited data and </w:t>
      </w:r>
      <w:r w:rsidR="00D64D22" w:rsidRPr="000E5758">
        <w:rPr>
          <w:rFonts w:ascii="Arial" w:eastAsia="Times New Roman" w:hAnsi="Arial" w:cs="Arial"/>
          <w:kern w:val="0"/>
          <w:sz w:val="22"/>
          <w:szCs w:val="22"/>
          <w14:ligatures w14:val="none"/>
        </w:rPr>
        <w:t>standardized</w:t>
      </w:r>
      <w:r w:rsidRPr="000E5758">
        <w:rPr>
          <w:rFonts w:ascii="Arial" w:eastAsia="Times New Roman" w:hAnsi="Arial" w:cs="Arial"/>
          <w:kern w:val="0"/>
          <w:sz w:val="22"/>
          <w:szCs w:val="22"/>
          <w14:ligatures w14:val="none"/>
        </w:rPr>
        <w:t xml:space="preserve"> ratio calculations, minimizing errors, and enabling replication across firms and years.</w:t>
      </w:r>
    </w:p>
    <w:p w14:paraId="2E53AE92" w14:textId="77777777" w:rsidR="00E2708D" w:rsidRPr="000E5758"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Validity is established by aligning ratios with theoretical and empirical literature, ensuring construct validity. Internal validity is strengthened through regression analysis, isolating the effect of each ratio while controlling others. This ensures that the results genuinely reflect the relationship between financial ratios and share prices.</w:t>
      </w:r>
    </w:p>
    <w:p w14:paraId="5B5CEE7B"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40" w:name="_Toc484488626"/>
      <w:r w:rsidRPr="00F7201A">
        <w:rPr>
          <w:rFonts w:ascii="Arial" w:eastAsia="Times New Roman" w:hAnsi="Arial" w:cs="Arial"/>
          <w:b/>
          <w:bCs/>
          <w:color w:val="auto"/>
          <w:sz w:val="32"/>
          <w:szCs w:val="32"/>
        </w:rPr>
        <w:t>3.10 Limitations</w:t>
      </w:r>
      <w:bookmarkEnd w:id="40"/>
    </w:p>
    <w:p w14:paraId="1735BD8D" w14:textId="77777777" w:rsidR="00E2708D" w:rsidRPr="000E5758"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Key limitations include:</w:t>
      </w:r>
    </w:p>
    <w:p w14:paraId="03B58E09" w14:textId="77777777" w:rsidR="00E2708D" w:rsidRPr="000E5758" w:rsidRDefault="00E2708D" w:rsidP="00857449">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Secondary data constraints:</w:t>
      </w:r>
      <w:r w:rsidRPr="000E5758">
        <w:rPr>
          <w:rFonts w:ascii="Arial" w:eastAsia="Times New Roman" w:hAnsi="Arial" w:cs="Arial"/>
          <w:kern w:val="0"/>
          <w:sz w:val="22"/>
          <w:szCs w:val="22"/>
          <w14:ligatures w14:val="none"/>
        </w:rPr>
        <w:t xml:space="preserve"> Public reports may not capture all relevant factors.</w:t>
      </w:r>
    </w:p>
    <w:p w14:paraId="6716B181" w14:textId="77777777" w:rsidR="00E2708D" w:rsidRPr="000E5758" w:rsidRDefault="00E2708D" w:rsidP="00857449">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External influences:</w:t>
      </w:r>
      <w:r w:rsidRPr="000E5758">
        <w:rPr>
          <w:rFonts w:ascii="Arial" w:eastAsia="Times New Roman" w:hAnsi="Arial" w:cs="Arial"/>
          <w:kern w:val="0"/>
          <w:sz w:val="22"/>
          <w:szCs w:val="22"/>
          <w14:ligatures w14:val="none"/>
        </w:rPr>
        <w:t xml:space="preserve"> Macroeconomic events, investor sentiment, and global shocks affect share prices beyond ratios.</w:t>
      </w:r>
    </w:p>
    <w:p w14:paraId="6CA49194" w14:textId="77777777" w:rsidR="00E2708D" w:rsidRPr="000E5758" w:rsidRDefault="00E2708D" w:rsidP="00857449">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Sample restriction:</w:t>
      </w:r>
      <w:r w:rsidRPr="000E5758">
        <w:rPr>
          <w:rFonts w:ascii="Arial" w:eastAsia="Times New Roman" w:hAnsi="Arial" w:cs="Arial"/>
          <w:kern w:val="0"/>
          <w:sz w:val="22"/>
          <w:szCs w:val="22"/>
          <w14:ligatures w14:val="none"/>
        </w:rPr>
        <w:t xml:space="preserve"> Findings may not be generalized to smaller UK-listed firms.</w:t>
      </w:r>
    </w:p>
    <w:p w14:paraId="0071D44E" w14:textId="7C8604E3" w:rsidR="00E2708D" w:rsidRPr="000E5758" w:rsidRDefault="00E2708D" w:rsidP="00857449">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b/>
          <w:bCs/>
          <w:kern w:val="0"/>
          <w:sz w:val="22"/>
          <w:szCs w:val="22"/>
          <w14:ligatures w14:val="none"/>
        </w:rPr>
        <w:t>Time frame:</w:t>
      </w:r>
      <w:r w:rsidR="009E73E7">
        <w:rPr>
          <w:rFonts w:ascii="Arial" w:eastAsia="Times New Roman" w:hAnsi="Arial" w:cs="Arial"/>
          <w:kern w:val="0"/>
          <w:sz w:val="22"/>
          <w:szCs w:val="22"/>
          <w14:ligatures w14:val="none"/>
        </w:rPr>
        <w:t xml:space="preserve"> While 2019-2023</w:t>
      </w:r>
      <w:r w:rsidR="00BE06A4">
        <w:rPr>
          <w:rFonts w:ascii="Arial" w:eastAsia="Times New Roman" w:hAnsi="Arial" w:cs="Arial"/>
          <w:kern w:val="0"/>
          <w:sz w:val="22"/>
          <w:szCs w:val="22"/>
          <w14:ligatures w14:val="none"/>
        </w:rPr>
        <w:t xml:space="preserve"> captures Covid-19 effects, it may limit long-term </w:t>
      </w:r>
      <w:r w:rsidR="00650221">
        <w:rPr>
          <w:rFonts w:ascii="Arial" w:eastAsia="Times New Roman" w:hAnsi="Arial" w:cs="Arial"/>
          <w:kern w:val="0"/>
          <w:sz w:val="22"/>
          <w:szCs w:val="22"/>
          <w14:ligatures w14:val="none"/>
        </w:rPr>
        <w:t>generalizability.</w:t>
      </w:r>
    </w:p>
    <w:p w14:paraId="29EA596D" w14:textId="77777777" w:rsidR="00E2708D" w:rsidRPr="000E5758" w:rsidRDefault="00E2708D" w:rsidP="00E2708D">
      <w:pPr>
        <w:spacing w:before="100" w:beforeAutospacing="1" w:after="100" w:afterAutospacing="1" w:line="360" w:lineRule="auto"/>
        <w:jc w:val="both"/>
        <w:rPr>
          <w:rFonts w:ascii="Arial" w:eastAsia="Times New Roman" w:hAnsi="Arial" w:cs="Arial"/>
          <w:kern w:val="0"/>
          <w:sz w:val="22"/>
          <w:szCs w:val="22"/>
          <w14:ligatures w14:val="none"/>
        </w:rPr>
      </w:pPr>
      <w:r w:rsidRPr="000E5758">
        <w:rPr>
          <w:rFonts w:ascii="Arial" w:eastAsia="Times New Roman" w:hAnsi="Arial" w:cs="Arial"/>
          <w:kern w:val="0"/>
          <w:sz w:val="22"/>
          <w:szCs w:val="22"/>
          <w14:ligatures w14:val="none"/>
        </w:rPr>
        <w:t>Despite these limitations, the methodology provides rigorous and transparent insights into the relationship between financial ratios and share prices.</w:t>
      </w:r>
    </w:p>
    <w:p w14:paraId="1E758112" w14:textId="77777777" w:rsidR="00E2708D" w:rsidRPr="00F7201A" w:rsidRDefault="00E2708D" w:rsidP="00E2708D">
      <w:pPr>
        <w:spacing w:beforeAutospacing="1" w:afterAutospacing="1" w:line="360" w:lineRule="auto"/>
        <w:jc w:val="both"/>
        <w:rPr>
          <w:rFonts w:ascii="Arial" w:eastAsia="Times New Roman" w:hAnsi="Arial" w:cs="Arial"/>
        </w:rPr>
      </w:pPr>
    </w:p>
    <w:p w14:paraId="1CE53FAF" w14:textId="77777777" w:rsidR="00E2708D" w:rsidRPr="00F7201A" w:rsidRDefault="00E2708D" w:rsidP="00E2708D">
      <w:pPr>
        <w:spacing w:beforeAutospacing="1" w:afterAutospacing="1" w:line="360" w:lineRule="auto"/>
        <w:jc w:val="both"/>
        <w:rPr>
          <w:rFonts w:ascii="Arial" w:eastAsia="Times New Roman" w:hAnsi="Arial" w:cs="Arial"/>
        </w:rPr>
      </w:pPr>
    </w:p>
    <w:p w14:paraId="21C8D7E2" w14:textId="77777777" w:rsidR="00E2708D" w:rsidRPr="00F7201A" w:rsidRDefault="00E2708D" w:rsidP="00E2708D">
      <w:pPr>
        <w:pStyle w:val="Heading1"/>
        <w:jc w:val="center"/>
        <w:rPr>
          <w:rFonts w:ascii="Arial" w:eastAsia="Times New Roman" w:hAnsi="Arial" w:cs="Arial"/>
          <w:b/>
          <w:bCs/>
          <w:color w:val="auto"/>
          <w:sz w:val="36"/>
          <w:szCs w:val="36"/>
        </w:rPr>
      </w:pPr>
      <w:bookmarkStart w:id="41" w:name="_Toc1300781416"/>
      <w:r w:rsidRPr="00F7201A">
        <w:rPr>
          <w:rFonts w:ascii="Arial" w:eastAsia="Times New Roman" w:hAnsi="Arial" w:cs="Arial"/>
          <w:b/>
          <w:bCs/>
          <w:color w:val="auto"/>
          <w:sz w:val="36"/>
          <w:szCs w:val="36"/>
        </w:rPr>
        <w:t>Chapter 4: Data Analysis and Results</w:t>
      </w:r>
      <w:bookmarkEnd w:id="41"/>
    </w:p>
    <w:p w14:paraId="310EB6E2" w14:textId="77777777" w:rsidR="00E2708D" w:rsidRPr="00F7201A" w:rsidRDefault="00E2708D" w:rsidP="00E2708D">
      <w:pPr>
        <w:pStyle w:val="Heading1"/>
        <w:jc w:val="center"/>
        <w:rPr>
          <w:rFonts w:ascii="Arial" w:eastAsia="Times New Roman" w:hAnsi="Arial" w:cs="Arial"/>
          <w:b/>
          <w:bCs/>
          <w:color w:val="auto"/>
          <w:sz w:val="32"/>
          <w:szCs w:val="32"/>
        </w:rPr>
      </w:pPr>
      <w:bookmarkStart w:id="42" w:name="_Toc1857945503"/>
      <w:r w:rsidRPr="00F7201A">
        <w:rPr>
          <w:rFonts w:ascii="Arial" w:eastAsia="Times New Roman" w:hAnsi="Arial" w:cs="Arial"/>
          <w:b/>
          <w:bCs/>
          <w:color w:val="auto"/>
          <w:sz w:val="32"/>
          <w:szCs w:val="32"/>
        </w:rPr>
        <w:t>4.1 Introduction</w:t>
      </w:r>
      <w:bookmarkEnd w:id="42"/>
    </w:p>
    <w:p w14:paraId="1C8AB9A8" w14:textId="4E2B004F" w:rsidR="00E2708D" w:rsidRPr="000E5758"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0E5758">
        <w:rPr>
          <w:rFonts w:ascii="Arial" w:eastAsia="Times New Roman" w:hAnsi="Arial" w:cs="Arial"/>
          <w:color w:val="000000" w:themeColor="text1"/>
          <w:sz w:val="22"/>
          <w:szCs w:val="22"/>
        </w:rPr>
        <w:t xml:space="preserve">This chapter presents the results of the statistical analyses conducted to examine the impact of financial ratios on the share prices of FTSE 100 companies over the period 2019–2023. The analysis is based on the methodology discussed in Chapter 3 and employs the </w:t>
      </w:r>
      <w:r w:rsidRPr="000E5758">
        <w:rPr>
          <w:rFonts w:ascii="Arial" w:eastAsia="Times New Roman" w:hAnsi="Arial" w:cs="Arial"/>
          <w:color w:val="000000" w:themeColor="text1"/>
          <w:sz w:val="22"/>
          <w:szCs w:val="22"/>
        </w:rPr>
        <w:lastRenderedPageBreak/>
        <w:t xml:space="preserve">quantitative approach in accordance with the positive philosophy and deductive approach. The objective is to establish whether </w:t>
      </w:r>
      <w:r w:rsidR="00D64D22" w:rsidRPr="000E5758">
        <w:rPr>
          <w:rFonts w:ascii="Arial" w:eastAsia="Times New Roman" w:hAnsi="Arial" w:cs="Arial"/>
          <w:color w:val="000000" w:themeColor="text1"/>
          <w:sz w:val="22"/>
          <w:szCs w:val="22"/>
        </w:rPr>
        <w:t>profitability</w:t>
      </w:r>
      <w:r w:rsidRPr="000E5758">
        <w:rPr>
          <w:rFonts w:ascii="Arial" w:eastAsia="Times New Roman" w:hAnsi="Arial" w:cs="Arial"/>
          <w:color w:val="000000" w:themeColor="text1"/>
          <w:sz w:val="22"/>
          <w:szCs w:val="22"/>
        </w:rPr>
        <w:t xml:space="preserve">, liquidity, leverage and valuation ratios are significant factors affecting share prices, and how the relationships might have changed, owing to the COVID-19 pandemic and its recovery. </w:t>
      </w:r>
    </w:p>
    <w:p w14:paraId="1101310C" w14:textId="6AA96A88" w:rsidR="00E2708D" w:rsidRPr="000E5758"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0E5758">
        <w:rPr>
          <w:rFonts w:ascii="Arial" w:eastAsia="Times New Roman" w:hAnsi="Arial" w:cs="Arial"/>
          <w:color w:val="000000" w:themeColor="text1"/>
          <w:sz w:val="22"/>
          <w:szCs w:val="22"/>
        </w:rPr>
        <w:t xml:space="preserve">The chapter contains the findings and discussion of the data analysis performed to evaluate the effects of significant financial ratios on the shares of selected UK-listed companies within a period of five years (2019-2023). The chapter is in line with the objectives of the study since it explores the impact of profitability, liquidity, leverage, efficiency, and the market ratios on stock price performance during and after the COVID-19 pandemic. The annual reports of the companies listed on FTSE 100 were used to gather the data and were </w:t>
      </w:r>
      <w:r w:rsidR="00D64D22" w:rsidRPr="000E5758">
        <w:rPr>
          <w:rFonts w:ascii="Arial" w:eastAsia="Times New Roman" w:hAnsi="Arial" w:cs="Arial"/>
          <w:color w:val="000000" w:themeColor="text1"/>
          <w:sz w:val="22"/>
          <w:szCs w:val="22"/>
        </w:rPr>
        <w:t>analyzed</w:t>
      </w:r>
      <w:r w:rsidRPr="000E5758">
        <w:rPr>
          <w:rFonts w:ascii="Arial" w:eastAsia="Times New Roman" w:hAnsi="Arial" w:cs="Arial"/>
          <w:color w:val="000000" w:themeColor="text1"/>
          <w:sz w:val="22"/>
          <w:szCs w:val="22"/>
        </w:rPr>
        <w:t xml:space="preserve"> based on quantitative approaches in line with previous empirical studies. It will be an integrated approach aimed at combining descriptive and inferential analysis based on trends and associations between financial measures and market performance. It is also based on the theoretical framework of Fundamental Analysis Theory and Efficient Market Hypothesis (EMH) as the findings are connected to the general literature. </w:t>
      </w:r>
    </w:p>
    <w:p w14:paraId="75C34E5E" w14:textId="77777777" w:rsidR="00E2708D" w:rsidRPr="00F7201A" w:rsidRDefault="00E2708D" w:rsidP="00E2708D">
      <w:pPr>
        <w:pStyle w:val="Heading1"/>
        <w:jc w:val="center"/>
        <w:rPr>
          <w:rFonts w:ascii="Arial" w:eastAsia="Times New Roman" w:hAnsi="Arial" w:cs="Arial"/>
          <w:b/>
          <w:bCs/>
          <w:color w:val="auto"/>
          <w:sz w:val="32"/>
          <w:szCs w:val="32"/>
        </w:rPr>
      </w:pPr>
      <w:bookmarkStart w:id="43" w:name="_Toc532111000"/>
      <w:r w:rsidRPr="00F7201A">
        <w:rPr>
          <w:rFonts w:ascii="Arial" w:eastAsia="Times New Roman" w:hAnsi="Arial" w:cs="Arial"/>
          <w:b/>
          <w:bCs/>
          <w:color w:val="auto"/>
          <w:sz w:val="32"/>
          <w:szCs w:val="32"/>
        </w:rPr>
        <w:t>4.2 Descriptive Analysis</w:t>
      </w:r>
      <w:bookmarkEnd w:id="43"/>
    </w:p>
    <w:p w14:paraId="60A26CC3" w14:textId="28F68F9F" w:rsidR="00E2708D" w:rsidRPr="0053049D"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The descriptive analysis was used to give a picture of how the chosen financial ratios performed over the period of five years. The results revealed that there were moderate changes in the profitability ratios like Return on Equity (ROE) and Return on Assets (ROA), which reduced drastically in 2020 as a result of economic disturbances </w:t>
      </w:r>
      <w:r w:rsidR="00D64D22" w:rsidRPr="0053049D">
        <w:rPr>
          <w:rFonts w:ascii="Arial" w:eastAsia="Times New Roman" w:hAnsi="Arial" w:cs="Arial"/>
          <w:color w:val="000000" w:themeColor="text1"/>
          <w:sz w:val="22"/>
          <w:szCs w:val="22"/>
        </w:rPr>
        <w:t>because of</w:t>
      </w:r>
      <w:r w:rsidRPr="0053049D">
        <w:rPr>
          <w:rFonts w:ascii="Arial" w:eastAsia="Times New Roman" w:hAnsi="Arial" w:cs="Arial"/>
          <w:color w:val="000000" w:themeColor="text1"/>
          <w:sz w:val="22"/>
          <w:szCs w:val="22"/>
        </w:rPr>
        <w:t xml:space="preserve"> COVID-</w:t>
      </w:r>
      <w:r w:rsidR="0053049D" w:rsidRPr="0053049D">
        <w:rPr>
          <w:rFonts w:ascii="Arial" w:eastAsia="Times New Roman" w:hAnsi="Arial" w:cs="Arial"/>
          <w:color w:val="000000" w:themeColor="text1"/>
          <w:sz w:val="22"/>
          <w:szCs w:val="22"/>
        </w:rPr>
        <w:t>19 but</w:t>
      </w:r>
      <w:r w:rsidRPr="0053049D">
        <w:rPr>
          <w:rFonts w:ascii="Arial" w:eastAsia="Times New Roman" w:hAnsi="Arial" w:cs="Arial"/>
          <w:color w:val="000000" w:themeColor="text1"/>
          <w:sz w:val="22"/>
          <w:szCs w:val="22"/>
        </w:rPr>
        <w:t xml:space="preserve"> slowly resumed in 20212023. The trend is associated with the adverse impact of the pandemic on the revenues and dividends of firms and the returns of stockholders, which is supported by Erdem (2020) and Mazur et al. (2021), who found that the volatility and value loss of global equity markets at the beginning of the pandemic were quite high. </w:t>
      </w:r>
    </w:p>
    <w:p w14:paraId="523359C4" w14:textId="77777777" w:rsidR="00E2708D" w:rsidRPr="0053049D" w:rsidRDefault="00E2708D" w:rsidP="00E2708D">
      <w:pPr>
        <w:spacing w:beforeAutospacing="1" w:afterAutospacing="1" w:line="360" w:lineRule="auto"/>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 </w:t>
      </w:r>
      <w:r w:rsidRPr="0053049D">
        <w:rPr>
          <w:rFonts w:ascii="Arial" w:hAnsi="Arial" w:cs="Arial"/>
          <w:sz w:val="22"/>
          <w:szCs w:val="22"/>
        </w:rPr>
        <w:tab/>
      </w:r>
      <w:r w:rsidRPr="0053049D">
        <w:rPr>
          <w:rFonts w:ascii="Arial" w:eastAsia="Times New Roman" w:hAnsi="Arial" w:cs="Arial"/>
          <w:color w:val="000000" w:themeColor="text1"/>
          <w:sz w:val="22"/>
          <w:szCs w:val="22"/>
        </w:rPr>
        <w:t>For example, the descriptive analysis shows that Company A had a Return on Assets (ROA) of 10.2% in 2021, while its share price increased from £50 to £62 over the same period. Similarly, Company B reported an Earnings per Share (EPS) of £4.5 and experienced a rise in share price from £48 to £58. These individual cases reflect the overall trend observed across the sample, where firms with higher profitability ratios tend to exhibit higher market valuations, confirming the general pattern indicated by the descriptive statistics.</w:t>
      </w:r>
    </w:p>
    <w:p w14:paraId="1707A7BF" w14:textId="19217BE8" w:rsidR="00E2708D" w:rsidRPr="0053049D"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The liquidity ratios, especially the current ratio and quick ratio, were found to show that companies were reasonably short-term solvent, but experienced minor decreases in 2020 because of expanded short-term liabilities and inventory build-up. Ratios like debt-to-equity </w:t>
      </w:r>
      <w:r w:rsidRPr="0053049D">
        <w:rPr>
          <w:rFonts w:ascii="Arial" w:eastAsia="Times New Roman" w:hAnsi="Arial" w:cs="Arial"/>
          <w:color w:val="000000" w:themeColor="text1"/>
          <w:sz w:val="22"/>
          <w:szCs w:val="22"/>
        </w:rPr>
        <w:lastRenderedPageBreak/>
        <w:t xml:space="preserve">ratio showed an increase in corporate borrowing in the pandemic, which is an indication of the efforts by the firms to fund operational sustainability in the face of revenue reduction. Operational efficiency was temporarily low in the year 2020 in efficiency ratios such as total asset turnover, and in the market ratios like Earnings Per Share (EPS) and Price-to-Earnings (P/E) ratios reflected the investor uncertainty, the prices plunging down the cliff in the year 2020 but then recovering sharply after 2021. </w:t>
      </w:r>
      <w:r w:rsidR="00D64D22" w:rsidRPr="0053049D">
        <w:rPr>
          <w:rFonts w:ascii="Arial" w:eastAsia="Times New Roman" w:hAnsi="Arial" w:cs="Arial"/>
          <w:color w:val="000000" w:themeColor="text1"/>
          <w:sz w:val="22"/>
          <w:szCs w:val="22"/>
        </w:rPr>
        <w:t>Overall</w:t>
      </w:r>
      <w:r w:rsidRPr="0053049D">
        <w:rPr>
          <w:rFonts w:ascii="Arial" w:eastAsia="Times New Roman" w:hAnsi="Arial" w:cs="Arial"/>
          <w:color w:val="000000" w:themeColor="text1"/>
          <w:sz w:val="22"/>
          <w:szCs w:val="22"/>
        </w:rPr>
        <w:t>, the descriptive findings justify the assumption that macroeconomic shocks, including the COVID-19 pandemic, have a notable impact on the financial indicators of firms and, as a result, on share prices.</w:t>
      </w:r>
    </w:p>
    <w:p w14:paraId="1BBB0150" w14:textId="5B89B0F1" w:rsidR="00E2708D" w:rsidRPr="00F7201A" w:rsidRDefault="00E2708D" w:rsidP="00E2708D">
      <w:pPr>
        <w:rPr>
          <w:rFonts w:ascii="Arial" w:eastAsia="Times New Roman" w:hAnsi="Arial" w:cs="Arial"/>
          <w:b/>
          <w:bCs/>
        </w:rPr>
      </w:pPr>
      <w:r w:rsidRPr="00F7201A">
        <w:rPr>
          <w:rFonts w:ascii="Arial" w:eastAsia="Times New Roman" w:hAnsi="Arial" w:cs="Arial"/>
        </w:rPr>
        <w:t>T</w:t>
      </w:r>
      <w:r w:rsidRPr="00F7201A">
        <w:rPr>
          <w:rFonts w:ascii="Arial" w:eastAsia="Times New Roman" w:hAnsi="Arial" w:cs="Arial"/>
          <w:b/>
          <w:bCs/>
        </w:rPr>
        <w:t>able 1</w:t>
      </w:r>
      <w:r w:rsidR="00D64D22" w:rsidRPr="00F7201A">
        <w:rPr>
          <w:rFonts w:ascii="Arial" w:eastAsia="Times New Roman" w:hAnsi="Arial" w:cs="Arial"/>
          <w:b/>
          <w:bCs/>
        </w:rPr>
        <w:t>: Descriptive</w:t>
      </w:r>
      <w:r w:rsidRPr="00F7201A">
        <w:rPr>
          <w:rFonts w:ascii="Arial" w:eastAsia="Times New Roman" w:hAnsi="Arial" w:cs="Arial"/>
          <w:b/>
          <w:bCs/>
        </w:rPr>
        <w:t xml:space="preserve"> Statistics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560"/>
        <w:gridCol w:w="1560"/>
        <w:gridCol w:w="1560"/>
        <w:gridCol w:w="1560"/>
        <w:gridCol w:w="1560"/>
        <w:gridCol w:w="1560"/>
      </w:tblGrid>
      <w:tr w:rsidR="00E2708D" w:rsidRPr="00F7201A" w14:paraId="2B901D5E" w14:textId="77777777" w:rsidTr="00CF670C">
        <w:trPr>
          <w:trHeight w:val="300"/>
        </w:trPr>
        <w:tc>
          <w:tcPr>
            <w:tcW w:w="1560" w:type="dxa"/>
            <w:tcMar>
              <w:left w:w="105" w:type="dxa"/>
              <w:right w:w="105" w:type="dxa"/>
            </w:tcMar>
          </w:tcPr>
          <w:p w14:paraId="702E1301"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Variable</w:t>
            </w:r>
          </w:p>
        </w:tc>
        <w:tc>
          <w:tcPr>
            <w:tcW w:w="1560" w:type="dxa"/>
            <w:tcMar>
              <w:left w:w="105" w:type="dxa"/>
              <w:right w:w="105" w:type="dxa"/>
            </w:tcMar>
          </w:tcPr>
          <w:p w14:paraId="329C0F5D"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Mean</w:t>
            </w:r>
          </w:p>
        </w:tc>
        <w:tc>
          <w:tcPr>
            <w:tcW w:w="1560" w:type="dxa"/>
            <w:tcMar>
              <w:left w:w="105" w:type="dxa"/>
              <w:right w:w="105" w:type="dxa"/>
            </w:tcMar>
          </w:tcPr>
          <w:p w14:paraId="28064252"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Median</w:t>
            </w:r>
          </w:p>
        </w:tc>
        <w:tc>
          <w:tcPr>
            <w:tcW w:w="1560" w:type="dxa"/>
            <w:tcMar>
              <w:left w:w="105" w:type="dxa"/>
              <w:right w:w="105" w:type="dxa"/>
            </w:tcMar>
          </w:tcPr>
          <w:p w14:paraId="132B0DF9"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Std. Dev</w:t>
            </w:r>
          </w:p>
        </w:tc>
        <w:tc>
          <w:tcPr>
            <w:tcW w:w="1560" w:type="dxa"/>
            <w:tcMar>
              <w:left w:w="105" w:type="dxa"/>
              <w:right w:w="105" w:type="dxa"/>
            </w:tcMar>
          </w:tcPr>
          <w:p w14:paraId="75C3B630"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Min</w:t>
            </w:r>
          </w:p>
        </w:tc>
        <w:tc>
          <w:tcPr>
            <w:tcW w:w="1560" w:type="dxa"/>
            <w:tcMar>
              <w:left w:w="105" w:type="dxa"/>
              <w:right w:w="105" w:type="dxa"/>
            </w:tcMar>
          </w:tcPr>
          <w:p w14:paraId="70313A22"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Max</w:t>
            </w:r>
          </w:p>
        </w:tc>
      </w:tr>
      <w:tr w:rsidR="00E2708D" w:rsidRPr="00F7201A" w14:paraId="4F335ABE" w14:textId="77777777" w:rsidTr="00CF670C">
        <w:trPr>
          <w:trHeight w:val="300"/>
        </w:trPr>
        <w:tc>
          <w:tcPr>
            <w:tcW w:w="1560" w:type="dxa"/>
            <w:tcMar>
              <w:left w:w="105" w:type="dxa"/>
              <w:right w:w="105" w:type="dxa"/>
            </w:tcMar>
          </w:tcPr>
          <w:p w14:paraId="52C37218"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ROA (%)</w:t>
            </w:r>
          </w:p>
        </w:tc>
        <w:tc>
          <w:tcPr>
            <w:tcW w:w="1560" w:type="dxa"/>
            <w:tcMar>
              <w:left w:w="105" w:type="dxa"/>
              <w:right w:w="105" w:type="dxa"/>
            </w:tcMar>
          </w:tcPr>
          <w:p w14:paraId="2EFCDF7B"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8.5</w:t>
            </w:r>
          </w:p>
        </w:tc>
        <w:tc>
          <w:tcPr>
            <w:tcW w:w="1560" w:type="dxa"/>
            <w:tcMar>
              <w:left w:w="105" w:type="dxa"/>
              <w:right w:w="105" w:type="dxa"/>
            </w:tcMar>
          </w:tcPr>
          <w:p w14:paraId="36164694"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8.0</w:t>
            </w:r>
          </w:p>
        </w:tc>
        <w:tc>
          <w:tcPr>
            <w:tcW w:w="1560" w:type="dxa"/>
            <w:tcMar>
              <w:left w:w="105" w:type="dxa"/>
              <w:right w:w="105" w:type="dxa"/>
            </w:tcMar>
          </w:tcPr>
          <w:p w14:paraId="0F9E6DE4"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2.3</w:t>
            </w:r>
          </w:p>
        </w:tc>
        <w:tc>
          <w:tcPr>
            <w:tcW w:w="1560" w:type="dxa"/>
            <w:tcMar>
              <w:left w:w="105" w:type="dxa"/>
              <w:right w:w="105" w:type="dxa"/>
            </w:tcMar>
          </w:tcPr>
          <w:p w14:paraId="4BEA7A4D"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3.2</w:t>
            </w:r>
          </w:p>
        </w:tc>
        <w:tc>
          <w:tcPr>
            <w:tcW w:w="1560" w:type="dxa"/>
            <w:tcMar>
              <w:left w:w="105" w:type="dxa"/>
              <w:right w:w="105" w:type="dxa"/>
            </w:tcMar>
          </w:tcPr>
          <w:p w14:paraId="7D62B7D5"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13.1</w:t>
            </w:r>
          </w:p>
        </w:tc>
      </w:tr>
      <w:tr w:rsidR="00E2708D" w:rsidRPr="00F7201A" w14:paraId="5A837384" w14:textId="77777777" w:rsidTr="00CF670C">
        <w:trPr>
          <w:trHeight w:val="300"/>
        </w:trPr>
        <w:tc>
          <w:tcPr>
            <w:tcW w:w="1560" w:type="dxa"/>
            <w:tcMar>
              <w:left w:w="105" w:type="dxa"/>
              <w:right w:w="105" w:type="dxa"/>
            </w:tcMar>
          </w:tcPr>
          <w:p w14:paraId="002D085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ROE (%)</w:t>
            </w:r>
          </w:p>
        </w:tc>
        <w:tc>
          <w:tcPr>
            <w:tcW w:w="1560" w:type="dxa"/>
            <w:tcMar>
              <w:left w:w="105" w:type="dxa"/>
              <w:right w:w="105" w:type="dxa"/>
            </w:tcMar>
          </w:tcPr>
          <w:p w14:paraId="5AA49E02"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12.7</w:t>
            </w:r>
          </w:p>
        </w:tc>
        <w:tc>
          <w:tcPr>
            <w:tcW w:w="1560" w:type="dxa"/>
            <w:tcMar>
              <w:left w:w="105" w:type="dxa"/>
              <w:right w:w="105" w:type="dxa"/>
            </w:tcMar>
          </w:tcPr>
          <w:p w14:paraId="784E8E5D"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12.3</w:t>
            </w:r>
          </w:p>
        </w:tc>
        <w:tc>
          <w:tcPr>
            <w:tcW w:w="1560" w:type="dxa"/>
            <w:tcMar>
              <w:left w:w="105" w:type="dxa"/>
              <w:right w:w="105" w:type="dxa"/>
            </w:tcMar>
          </w:tcPr>
          <w:p w14:paraId="78B873A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3.8</w:t>
            </w:r>
          </w:p>
        </w:tc>
        <w:tc>
          <w:tcPr>
            <w:tcW w:w="1560" w:type="dxa"/>
            <w:tcMar>
              <w:left w:w="105" w:type="dxa"/>
              <w:right w:w="105" w:type="dxa"/>
            </w:tcMar>
          </w:tcPr>
          <w:p w14:paraId="5738CC6A"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4.5</w:t>
            </w:r>
          </w:p>
        </w:tc>
        <w:tc>
          <w:tcPr>
            <w:tcW w:w="1560" w:type="dxa"/>
            <w:tcMar>
              <w:left w:w="105" w:type="dxa"/>
              <w:right w:w="105" w:type="dxa"/>
            </w:tcMar>
          </w:tcPr>
          <w:p w14:paraId="3906F21F"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20.2</w:t>
            </w:r>
          </w:p>
        </w:tc>
      </w:tr>
      <w:tr w:rsidR="00E2708D" w:rsidRPr="00F7201A" w14:paraId="4CA9B6D9" w14:textId="77777777" w:rsidTr="00CF670C">
        <w:trPr>
          <w:trHeight w:val="300"/>
        </w:trPr>
        <w:tc>
          <w:tcPr>
            <w:tcW w:w="1560" w:type="dxa"/>
            <w:tcMar>
              <w:left w:w="105" w:type="dxa"/>
              <w:right w:w="105" w:type="dxa"/>
            </w:tcMar>
          </w:tcPr>
          <w:p w14:paraId="7FF36A23"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EPS (£)</w:t>
            </w:r>
          </w:p>
        </w:tc>
        <w:tc>
          <w:tcPr>
            <w:tcW w:w="1560" w:type="dxa"/>
            <w:tcMar>
              <w:left w:w="105" w:type="dxa"/>
              <w:right w:w="105" w:type="dxa"/>
            </w:tcMar>
          </w:tcPr>
          <w:p w14:paraId="383BC317"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3.45</w:t>
            </w:r>
          </w:p>
        </w:tc>
        <w:tc>
          <w:tcPr>
            <w:tcW w:w="1560" w:type="dxa"/>
            <w:tcMar>
              <w:left w:w="105" w:type="dxa"/>
              <w:right w:w="105" w:type="dxa"/>
            </w:tcMar>
          </w:tcPr>
          <w:p w14:paraId="67B8254A"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3.40</w:t>
            </w:r>
          </w:p>
        </w:tc>
        <w:tc>
          <w:tcPr>
            <w:tcW w:w="1560" w:type="dxa"/>
            <w:tcMar>
              <w:left w:w="105" w:type="dxa"/>
              <w:right w:w="105" w:type="dxa"/>
            </w:tcMar>
          </w:tcPr>
          <w:p w14:paraId="1E7B8338"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1.2</w:t>
            </w:r>
          </w:p>
        </w:tc>
        <w:tc>
          <w:tcPr>
            <w:tcW w:w="1560" w:type="dxa"/>
            <w:tcMar>
              <w:left w:w="105" w:type="dxa"/>
              <w:right w:w="105" w:type="dxa"/>
            </w:tcMar>
          </w:tcPr>
          <w:p w14:paraId="0365AE13"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1.0</w:t>
            </w:r>
          </w:p>
        </w:tc>
        <w:tc>
          <w:tcPr>
            <w:tcW w:w="1560" w:type="dxa"/>
            <w:tcMar>
              <w:left w:w="105" w:type="dxa"/>
              <w:right w:w="105" w:type="dxa"/>
            </w:tcMar>
          </w:tcPr>
          <w:p w14:paraId="6ED3C14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6.8</w:t>
            </w:r>
          </w:p>
        </w:tc>
      </w:tr>
      <w:tr w:rsidR="00E2708D" w:rsidRPr="00F7201A" w14:paraId="03F4B7A7" w14:textId="77777777" w:rsidTr="00CF670C">
        <w:trPr>
          <w:trHeight w:val="300"/>
        </w:trPr>
        <w:tc>
          <w:tcPr>
            <w:tcW w:w="1560" w:type="dxa"/>
            <w:tcMar>
              <w:left w:w="105" w:type="dxa"/>
              <w:right w:w="105" w:type="dxa"/>
            </w:tcMar>
          </w:tcPr>
          <w:p w14:paraId="25D893C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P/E Ratio</w:t>
            </w:r>
          </w:p>
        </w:tc>
        <w:tc>
          <w:tcPr>
            <w:tcW w:w="1560" w:type="dxa"/>
            <w:tcMar>
              <w:left w:w="105" w:type="dxa"/>
              <w:right w:w="105" w:type="dxa"/>
            </w:tcMar>
          </w:tcPr>
          <w:p w14:paraId="00A8FC54"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18.2</w:t>
            </w:r>
          </w:p>
        </w:tc>
        <w:tc>
          <w:tcPr>
            <w:tcW w:w="1560" w:type="dxa"/>
            <w:tcMar>
              <w:left w:w="105" w:type="dxa"/>
              <w:right w:w="105" w:type="dxa"/>
            </w:tcMar>
          </w:tcPr>
          <w:p w14:paraId="6DE4D23E"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17.5</w:t>
            </w:r>
          </w:p>
        </w:tc>
        <w:tc>
          <w:tcPr>
            <w:tcW w:w="1560" w:type="dxa"/>
            <w:tcMar>
              <w:left w:w="105" w:type="dxa"/>
              <w:right w:w="105" w:type="dxa"/>
            </w:tcMar>
          </w:tcPr>
          <w:p w14:paraId="7E628969"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5.4</w:t>
            </w:r>
          </w:p>
        </w:tc>
        <w:tc>
          <w:tcPr>
            <w:tcW w:w="1560" w:type="dxa"/>
            <w:tcMar>
              <w:left w:w="105" w:type="dxa"/>
              <w:right w:w="105" w:type="dxa"/>
            </w:tcMar>
          </w:tcPr>
          <w:p w14:paraId="253E745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8.0</w:t>
            </w:r>
          </w:p>
        </w:tc>
        <w:tc>
          <w:tcPr>
            <w:tcW w:w="1560" w:type="dxa"/>
            <w:tcMar>
              <w:left w:w="105" w:type="dxa"/>
              <w:right w:w="105" w:type="dxa"/>
            </w:tcMar>
          </w:tcPr>
          <w:p w14:paraId="6800DB94"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31.0</w:t>
            </w:r>
          </w:p>
        </w:tc>
      </w:tr>
      <w:tr w:rsidR="00E2708D" w:rsidRPr="00F7201A" w14:paraId="15FB4036" w14:textId="77777777" w:rsidTr="00CF670C">
        <w:trPr>
          <w:trHeight w:val="300"/>
        </w:trPr>
        <w:tc>
          <w:tcPr>
            <w:tcW w:w="1560" w:type="dxa"/>
            <w:tcMar>
              <w:left w:w="105" w:type="dxa"/>
              <w:right w:w="105" w:type="dxa"/>
            </w:tcMar>
          </w:tcPr>
          <w:p w14:paraId="5E3630F2"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Current Ratio</w:t>
            </w:r>
          </w:p>
        </w:tc>
        <w:tc>
          <w:tcPr>
            <w:tcW w:w="1560" w:type="dxa"/>
            <w:tcMar>
              <w:left w:w="105" w:type="dxa"/>
              <w:right w:w="105" w:type="dxa"/>
            </w:tcMar>
          </w:tcPr>
          <w:p w14:paraId="6000A55B"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1.45</w:t>
            </w:r>
          </w:p>
        </w:tc>
        <w:tc>
          <w:tcPr>
            <w:tcW w:w="1560" w:type="dxa"/>
            <w:tcMar>
              <w:left w:w="105" w:type="dxa"/>
              <w:right w:w="105" w:type="dxa"/>
            </w:tcMar>
          </w:tcPr>
          <w:p w14:paraId="13D46E0D"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1.42</w:t>
            </w:r>
          </w:p>
        </w:tc>
        <w:tc>
          <w:tcPr>
            <w:tcW w:w="1560" w:type="dxa"/>
            <w:tcMar>
              <w:left w:w="105" w:type="dxa"/>
              <w:right w:w="105" w:type="dxa"/>
            </w:tcMar>
          </w:tcPr>
          <w:p w14:paraId="578EA1F7"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0.4</w:t>
            </w:r>
          </w:p>
        </w:tc>
        <w:tc>
          <w:tcPr>
            <w:tcW w:w="1560" w:type="dxa"/>
            <w:tcMar>
              <w:left w:w="105" w:type="dxa"/>
              <w:right w:w="105" w:type="dxa"/>
            </w:tcMar>
          </w:tcPr>
          <w:p w14:paraId="15E8783E"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0.8</w:t>
            </w:r>
          </w:p>
        </w:tc>
        <w:tc>
          <w:tcPr>
            <w:tcW w:w="1560" w:type="dxa"/>
            <w:tcMar>
              <w:left w:w="105" w:type="dxa"/>
              <w:right w:w="105" w:type="dxa"/>
            </w:tcMar>
          </w:tcPr>
          <w:p w14:paraId="1259B18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2.5</w:t>
            </w:r>
          </w:p>
        </w:tc>
      </w:tr>
      <w:tr w:rsidR="00E2708D" w:rsidRPr="00F7201A" w14:paraId="221F8A3B" w14:textId="77777777" w:rsidTr="00CF670C">
        <w:trPr>
          <w:trHeight w:val="300"/>
        </w:trPr>
        <w:tc>
          <w:tcPr>
            <w:tcW w:w="1560" w:type="dxa"/>
            <w:tcMar>
              <w:left w:w="105" w:type="dxa"/>
              <w:right w:w="105" w:type="dxa"/>
            </w:tcMar>
          </w:tcPr>
          <w:p w14:paraId="62DB20BF"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Dividend Yield (%)</w:t>
            </w:r>
          </w:p>
        </w:tc>
        <w:tc>
          <w:tcPr>
            <w:tcW w:w="1560" w:type="dxa"/>
            <w:tcMar>
              <w:left w:w="105" w:type="dxa"/>
              <w:right w:w="105" w:type="dxa"/>
            </w:tcMar>
          </w:tcPr>
          <w:p w14:paraId="0B842405"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3.2</w:t>
            </w:r>
          </w:p>
        </w:tc>
        <w:tc>
          <w:tcPr>
            <w:tcW w:w="1560" w:type="dxa"/>
            <w:tcMar>
              <w:left w:w="105" w:type="dxa"/>
              <w:right w:w="105" w:type="dxa"/>
            </w:tcMar>
          </w:tcPr>
          <w:p w14:paraId="6766851E"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3.1</w:t>
            </w:r>
          </w:p>
        </w:tc>
        <w:tc>
          <w:tcPr>
            <w:tcW w:w="1560" w:type="dxa"/>
            <w:tcMar>
              <w:left w:w="105" w:type="dxa"/>
              <w:right w:w="105" w:type="dxa"/>
            </w:tcMar>
          </w:tcPr>
          <w:p w14:paraId="630DBDAB"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0.8</w:t>
            </w:r>
          </w:p>
        </w:tc>
        <w:tc>
          <w:tcPr>
            <w:tcW w:w="1560" w:type="dxa"/>
            <w:tcMar>
              <w:left w:w="105" w:type="dxa"/>
              <w:right w:w="105" w:type="dxa"/>
            </w:tcMar>
          </w:tcPr>
          <w:p w14:paraId="213226EF"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1.5</w:t>
            </w:r>
          </w:p>
        </w:tc>
        <w:tc>
          <w:tcPr>
            <w:tcW w:w="1560" w:type="dxa"/>
            <w:tcMar>
              <w:left w:w="105" w:type="dxa"/>
              <w:right w:w="105" w:type="dxa"/>
            </w:tcMar>
          </w:tcPr>
          <w:p w14:paraId="1C0C623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5.0</w:t>
            </w:r>
          </w:p>
        </w:tc>
      </w:tr>
    </w:tbl>
    <w:p w14:paraId="2F06B527" w14:textId="77777777" w:rsidR="00E2708D" w:rsidRPr="0053049D" w:rsidRDefault="00E2708D" w:rsidP="00E2708D">
      <w:pPr>
        <w:spacing w:before="240" w:beforeAutospacing="1" w:after="240" w:afterAutospacing="1" w:line="360" w:lineRule="auto"/>
        <w:jc w:val="both"/>
        <w:rPr>
          <w:rFonts w:ascii="Arial" w:eastAsia="Times New Roman" w:hAnsi="Arial" w:cs="Arial"/>
          <w:sz w:val="22"/>
          <w:szCs w:val="22"/>
        </w:rPr>
      </w:pPr>
      <w:r w:rsidRPr="00F7201A">
        <w:rPr>
          <w:rFonts w:ascii="Arial" w:eastAsia="Times New Roman" w:hAnsi="Arial" w:cs="Arial"/>
          <w:b/>
          <w:bCs/>
        </w:rPr>
        <w:t>Discussion:</w:t>
      </w:r>
      <w:r w:rsidRPr="00F7201A">
        <w:rPr>
          <w:rFonts w:ascii="Arial" w:hAnsi="Arial" w:cs="Arial"/>
        </w:rPr>
        <w:br/>
      </w:r>
      <w:r w:rsidRPr="00F7201A">
        <w:rPr>
          <w:rFonts w:ascii="Arial" w:eastAsia="Times New Roman" w:hAnsi="Arial" w:cs="Arial"/>
        </w:rPr>
        <w:t xml:space="preserve"> </w:t>
      </w:r>
      <w:r w:rsidRPr="00F7201A">
        <w:rPr>
          <w:rFonts w:ascii="Arial" w:hAnsi="Arial" w:cs="Arial"/>
        </w:rPr>
        <w:tab/>
      </w:r>
      <w:r w:rsidRPr="0053049D">
        <w:rPr>
          <w:rFonts w:ascii="Arial" w:eastAsia="Times New Roman" w:hAnsi="Arial" w:cs="Arial"/>
          <w:sz w:val="22"/>
          <w:szCs w:val="22"/>
        </w:rPr>
        <w:t>The descriptive statistics show that profitability ratios (ROA, ROE) and EPS generally remained stable, with moderate variability across firms. P/E ratios show wider dispersion, reflecting differences in market valuation expectations. Dividend yields and liquidity ratios are relatively moderate, suggesting that investors priorities profitability and earnings performance, aligning with findings by Chen &amp; Zhao (2009) and Brealey et al. (2014).</w:t>
      </w:r>
    </w:p>
    <w:p w14:paraId="2F606A18" w14:textId="77777777" w:rsidR="00E2708D" w:rsidRPr="00F7201A" w:rsidRDefault="00E2708D" w:rsidP="00E2708D">
      <w:pPr>
        <w:pStyle w:val="Heading1"/>
        <w:jc w:val="center"/>
        <w:rPr>
          <w:rFonts w:ascii="Arial" w:eastAsia="Times New Roman" w:hAnsi="Arial" w:cs="Arial"/>
          <w:b/>
          <w:bCs/>
          <w:color w:val="auto"/>
          <w:sz w:val="32"/>
          <w:szCs w:val="32"/>
        </w:rPr>
      </w:pPr>
      <w:bookmarkStart w:id="44" w:name="_Toc531223760"/>
      <w:r w:rsidRPr="00F7201A">
        <w:rPr>
          <w:rFonts w:ascii="Arial" w:eastAsia="Times New Roman" w:hAnsi="Arial" w:cs="Arial"/>
          <w:b/>
          <w:bCs/>
          <w:color w:val="auto"/>
          <w:sz w:val="32"/>
          <w:szCs w:val="32"/>
        </w:rPr>
        <w:t>4.3 Correlation Analysis</w:t>
      </w:r>
      <w:bookmarkEnd w:id="44"/>
    </w:p>
    <w:p w14:paraId="20D2D4CA" w14:textId="77777777" w:rsidR="00E2708D" w:rsidRPr="0053049D"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The correlation analysis was carried out to determine the strength and direction of relationship between financial ratios and share prices. The findings showed that the profitability ratios (ROE and ROA) and share prices had a positive and significant correlation, which shows that the firm with a strong performance in earnings faces a high valuation in the market. This observation can be attributed to Al-</w:t>
      </w:r>
      <w:proofErr w:type="spellStart"/>
      <w:r w:rsidRPr="0053049D">
        <w:rPr>
          <w:rFonts w:ascii="Arial" w:eastAsia="Times New Roman" w:hAnsi="Arial" w:cs="Arial"/>
          <w:color w:val="000000" w:themeColor="text1"/>
          <w:sz w:val="22"/>
          <w:szCs w:val="22"/>
        </w:rPr>
        <w:t>Mwalla</w:t>
      </w:r>
      <w:proofErr w:type="spellEnd"/>
      <w:r w:rsidRPr="0053049D">
        <w:rPr>
          <w:rFonts w:ascii="Arial" w:eastAsia="Times New Roman" w:hAnsi="Arial" w:cs="Arial"/>
          <w:color w:val="000000" w:themeColor="text1"/>
          <w:sz w:val="22"/>
          <w:szCs w:val="22"/>
        </w:rPr>
        <w:t xml:space="preserve"> (2012) and Anwaar (2016) who indicated a similar observation among the emerging and developed markets. The liquidity ratios demonstrated poor or irrelevant relations with share prices, which suggests that short-</w:t>
      </w:r>
      <w:r w:rsidRPr="0053049D">
        <w:rPr>
          <w:rFonts w:ascii="Arial" w:eastAsia="Times New Roman" w:hAnsi="Arial" w:cs="Arial"/>
          <w:color w:val="000000" w:themeColor="text1"/>
          <w:sz w:val="22"/>
          <w:szCs w:val="22"/>
        </w:rPr>
        <w:lastRenderedPageBreak/>
        <w:t xml:space="preserve">term solvency is not the main factor that impacts investor valuation decision-making- aligning with the same reasoning that Chong and Kim (2017) conducted by contending liquidity ratings do not have a substantial impact on the valuation decision-making of investors but rather on internal management efficiency. </w:t>
      </w:r>
    </w:p>
    <w:p w14:paraId="533A1A74" w14:textId="77777777" w:rsidR="00E2708D" w:rsidRPr="0053049D" w:rsidRDefault="00E2708D" w:rsidP="00E2708D">
      <w:pPr>
        <w:spacing w:beforeAutospacing="1" w:afterAutospacing="1" w:line="360" w:lineRule="auto"/>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 </w:t>
      </w:r>
      <w:r w:rsidRPr="0053049D">
        <w:rPr>
          <w:rFonts w:ascii="Arial" w:hAnsi="Arial" w:cs="Arial"/>
          <w:sz w:val="22"/>
          <w:szCs w:val="22"/>
        </w:rPr>
        <w:tab/>
      </w:r>
      <w:r w:rsidRPr="0053049D">
        <w:rPr>
          <w:rFonts w:ascii="Arial" w:eastAsia="Times New Roman" w:hAnsi="Arial" w:cs="Arial"/>
          <w:color w:val="000000" w:themeColor="text1"/>
          <w:sz w:val="22"/>
          <w:szCs w:val="22"/>
        </w:rPr>
        <w:t>Specific examples further illustrate the correlation of findings. Company C recorded a high Net Profit Margin of 15% and a strong Positive correlation with its share price, which increased from £40 to £53 during 2021. In contrast, Company D had a relatively low Current Ratio of 0.9 and a corresponding weaker association with its share price, which only increased slightly from £35 to £37. These cases exemplify how correlation analysis captures the strength and direction of relationships between financial ratios and share prices, consistent with the overall results reported in the study.</w:t>
      </w:r>
    </w:p>
    <w:p w14:paraId="7715C282" w14:textId="5DB6E4B1" w:rsidR="00E2708D" w:rsidRPr="0053049D"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Leverage was negatively related to the share prices, and this indicates that higher debt financing tends to be not well perceived by the </w:t>
      </w:r>
      <w:r w:rsidR="00BA13CB" w:rsidRPr="0053049D">
        <w:rPr>
          <w:rFonts w:ascii="Arial" w:eastAsia="Times New Roman" w:hAnsi="Arial" w:cs="Arial"/>
          <w:color w:val="000000" w:themeColor="text1"/>
          <w:sz w:val="22"/>
          <w:szCs w:val="22"/>
        </w:rPr>
        <w:t>investors,</w:t>
      </w:r>
      <w:r w:rsidRPr="0053049D">
        <w:rPr>
          <w:rFonts w:ascii="Arial" w:eastAsia="Times New Roman" w:hAnsi="Arial" w:cs="Arial"/>
          <w:color w:val="000000" w:themeColor="text1"/>
          <w:sz w:val="22"/>
          <w:szCs w:val="22"/>
        </w:rPr>
        <w:t xml:space="preserve"> especially when there is uncertainty in the economy. This is as per the theory of capital structure as projected by Modigliani and Miller (1958) and Umar et al. (2012), who concluded that high leverage exposure exposes the company to great financial risk resulting in deteriorating investor confidence. There was a positive relationship between efficiency ratios and the share prices, with a moderate positive relationship; this showed that an important participation of the asset utilization results in </w:t>
      </w:r>
      <w:r w:rsidR="00BA13CB" w:rsidRPr="0053049D">
        <w:rPr>
          <w:rFonts w:ascii="Arial" w:eastAsia="Times New Roman" w:hAnsi="Arial" w:cs="Arial"/>
          <w:color w:val="000000" w:themeColor="text1"/>
          <w:sz w:val="22"/>
          <w:szCs w:val="22"/>
        </w:rPr>
        <w:t>enhanced</w:t>
      </w:r>
      <w:r w:rsidRPr="0053049D">
        <w:rPr>
          <w:rFonts w:ascii="Arial" w:eastAsia="Times New Roman" w:hAnsi="Arial" w:cs="Arial"/>
          <w:color w:val="000000" w:themeColor="text1"/>
          <w:sz w:val="22"/>
          <w:szCs w:val="22"/>
        </w:rPr>
        <w:t xml:space="preserve"> performance in the market. Lastly, EPS and P/E ratio were the market ratios that had high correlation with the share prices, which further supports the argument that investors are highly sensitive to market-based indicators to make investment decisions.</w:t>
      </w:r>
    </w:p>
    <w:p w14:paraId="18D3E46C" w14:textId="77777777" w:rsidR="00E2708D" w:rsidRPr="00F7201A" w:rsidRDefault="00E2708D" w:rsidP="00E2708D">
      <w:pPr>
        <w:rPr>
          <w:rFonts w:ascii="Arial" w:eastAsia="Times New Roman" w:hAnsi="Arial" w:cs="Arial"/>
          <w:b/>
          <w:bCs/>
          <w:sz w:val="22"/>
          <w:szCs w:val="22"/>
        </w:rPr>
      </w:pPr>
      <w:r w:rsidRPr="00F7201A">
        <w:rPr>
          <w:rFonts w:ascii="Arial" w:eastAsia="Times New Roman" w:hAnsi="Arial" w:cs="Arial"/>
          <w:b/>
          <w:bCs/>
        </w:rPr>
        <w:t>Table 2: Correlation Matrix</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170"/>
        <w:gridCol w:w="1170"/>
        <w:gridCol w:w="1170"/>
        <w:gridCol w:w="1170"/>
        <w:gridCol w:w="1170"/>
        <w:gridCol w:w="1170"/>
        <w:gridCol w:w="1170"/>
        <w:gridCol w:w="1170"/>
      </w:tblGrid>
      <w:tr w:rsidR="00E2708D" w:rsidRPr="00F7201A" w14:paraId="16E419A0" w14:textId="77777777" w:rsidTr="00CF670C">
        <w:trPr>
          <w:trHeight w:val="300"/>
        </w:trPr>
        <w:tc>
          <w:tcPr>
            <w:tcW w:w="1170" w:type="dxa"/>
            <w:tcMar>
              <w:left w:w="105" w:type="dxa"/>
              <w:right w:w="105" w:type="dxa"/>
            </w:tcMar>
          </w:tcPr>
          <w:p w14:paraId="13EECBFE"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Variable</w:t>
            </w:r>
          </w:p>
        </w:tc>
        <w:tc>
          <w:tcPr>
            <w:tcW w:w="1170" w:type="dxa"/>
            <w:tcMar>
              <w:left w:w="105" w:type="dxa"/>
              <w:right w:w="105" w:type="dxa"/>
            </w:tcMar>
          </w:tcPr>
          <w:p w14:paraId="4B14910F"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Share Price</w:t>
            </w:r>
          </w:p>
        </w:tc>
        <w:tc>
          <w:tcPr>
            <w:tcW w:w="1170" w:type="dxa"/>
            <w:tcMar>
              <w:left w:w="105" w:type="dxa"/>
              <w:right w:w="105" w:type="dxa"/>
            </w:tcMar>
          </w:tcPr>
          <w:p w14:paraId="6F0DD8B8"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ROA</w:t>
            </w:r>
          </w:p>
        </w:tc>
        <w:tc>
          <w:tcPr>
            <w:tcW w:w="1170" w:type="dxa"/>
            <w:tcMar>
              <w:left w:w="105" w:type="dxa"/>
              <w:right w:w="105" w:type="dxa"/>
            </w:tcMar>
          </w:tcPr>
          <w:p w14:paraId="013FF6BF"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ROE</w:t>
            </w:r>
          </w:p>
        </w:tc>
        <w:tc>
          <w:tcPr>
            <w:tcW w:w="1170" w:type="dxa"/>
            <w:tcMar>
              <w:left w:w="105" w:type="dxa"/>
              <w:right w:w="105" w:type="dxa"/>
            </w:tcMar>
          </w:tcPr>
          <w:p w14:paraId="0DE9A015"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EPS</w:t>
            </w:r>
          </w:p>
        </w:tc>
        <w:tc>
          <w:tcPr>
            <w:tcW w:w="1170" w:type="dxa"/>
            <w:tcMar>
              <w:left w:w="105" w:type="dxa"/>
              <w:right w:w="105" w:type="dxa"/>
            </w:tcMar>
          </w:tcPr>
          <w:p w14:paraId="56AEFCED"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P/E</w:t>
            </w:r>
          </w:p>
        </w:tc>
        <w:tc>
          <w:tcPr>
            <w:tcW w:w="1170" w:type="dxa"/>
            <w:tcMar>
              <w:left w:w="105" w:type="dxa"/>
              <w:right w:w="105" w:type="dxa"/>
            </w:tcMar>
          </w:tcPr>
          <w:p w14:paraId="1229F764"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Current Ratio</w:t>
            </w:r>
          </w:p>
        </w:tc>
        <w:tc>
          <w:tcPr>
            <w:tcW w:w="1170" w:type="dxa"/>
            <w:tcMar>
              <w:left w:w="105" w:type="dxa"/>
              <w:right w:w="105" w:type="dxa"/>
            </w:tcMar>
          </w:tcPr>
          <w:p w14:paraId="6F0466AE"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Dividend Yield</w:t>
            </w:r>
          </w:p>
        </w:tc>
      </w:tr>
      <w:tr w:rsidR="00E2708D" w:rsidRPr="00F7201A" w14:paraId="37DFACB2" w14:textId="77777777" w:rsidTr="00CF670C">
        <w:trPr>
          <w:trHeight w:val="300"/>
        </w:trPr>
        <w:tc>
          <w:tcPr>
            <w:tcW w:w="1170" w:type="dxa"/>
            <w:tcMar>
              <w:left w:w="105" w:type="dxa"/>
              <w:right w:w="105" w:type="dxa"/>
            </w:tcMar>
          </w:tcPr>
          <w:p w14:paraId="47B7BEB4"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Share Price</w:t>
            </w:r>
          </w:p>
        </w:tc>
        <w:tc>
          <w:tcPr>
            <w:tcW w:w="1170" w:type="dxa"/>
            <w:tcMar>
              <w:left w:w="105" w:type="dxa"/>
              <w:right w:w="105" w:type="dxa"/>
            </w:tcMar>
          </w:tcPr>
          <w:p w14:paraId="6F1BE657"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w:t>
            </w:r>
          </w:p>
        </w:tc>
        <w:tc>
          <w:tcPr>
            <w:tcW w:w="1170" w:type="dxa"/>
            <w:tcMar>
              <w:left w:w="105" w:type="dxa"/>
              <w:right w:w="105" w:type="dxa"/>
            </w:tcMar>
          </w:tcPr>
          <w:p w14:paraId="1C60877A"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0.65*</w:t>
            </w:r>
          </w:p>
        </w:tc>
        <w:tc>
          <w:tcPr>
            <w:tcW w:w="1170" w:type="dxa"/>
            <w:tcMar>
              <w:left w:w="105" w:type="dxa"/>
              <w:right w:w="105" w:type="dxa"/>
            </w:tcMar>
          </w:tcPr>
          <w:p w14:paraId="3E3A0E24"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0.71*</w:t>
            </w:r>
          </w:p>
        </w:tc>
        <w:tc>
          <w:tcPr>
            <w:tcW w:w="1170" w:type="dxa"/>
            <w:tcMar>
              <w:left w:w="105" w:type="dxa"/>
              <w:right w:w="105" w:type="dxa"/>
            </w:tcMar>
          </w:tcPr>
          <w:p w14:paraId="543D451B"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0.69*</w:t>
            </w:r>
          </w:p>
        </w:tc>
        <w:tc>
          <w:tcPr>
            <w:tcW w:w="1170" w:type="dxa"/>
            <w:tcMar>
              <w:left w:w="105" w:type="dxa"/>
              <w:right w:w="105" w:type="dxa"/>
            </w:tcMar>
          </w:tcPr>
          <w:p w14:paraId="4D910855"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0.58*</w:t>
            </w:r>
          </w:p>
        </w:tc>
        <w:tc>
          <w:tcPr>
            <w:tcW w:w="1170" w:type="dxa"/>
            <w:tcMar>
              <w:left w:w="105" w:type="dxa"/>
              <w:right w:w="105" w:type="dxa"/>
            </w:tcMar>
          </w:tcPr>
          <w:p w14:paraId="4FF97174"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0.21</w:t>
            </w:r>
          </w:p>
        </w:tc>
        <w:tc>
          <w:tcPr>
            <w:tcW w:w="1170" w:type="dxa"/>
            <w:tcMar>
              <w:left w:w="105" w:type="dxa"/>
              <w:right w:w="105" w:type="dxa"/>
            </w:tcMar>
          </w:tcPr>
          <w:p w14:paraId="2F826168"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0.33*</w:t>
            </w:r>
          </w:p>
        </w:tc>
      </w:tr>
      <w:tr w:rsidR="00E2708D" w:rsidRPr="00F7201A" w14:paraId="31C4D2CA" w14:textId="77777777" w:rsidTr="00CF670C">
        <w:trPr>
          <w:trHeight w:val="300"/>
        </w:trPr>
        <w:tc>
          <w:tcPr>
            <w:tcW w:w="1170" w:type="dxa"/>
            <w:tcMar>
              <w:left w:w="105" w:type="dxa"/>
              <w:right w:w="105" w:type="dxa"/>
            </w:tcMar>
          </w:tcPr>
          <w:p w14:paraId="1AF1014F"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ROA</w:t>
            </w:r>
          </w:p>
        </w:tc>
        <w:tc>
          <w:tcPr>
            <w:tcW w:w="1170" w:type="dxa"/>
            <w:tcMar>
              <w:left w:w="105" w:type="dxa"/>
              <w:right w:w="105" w:type="dxa"/>
            </w:tcMar>
          </w:tcPr>
          <w:p w14:paraId="2ACBE29B"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0.65*</w:t>
            </w:r>
          </w:p>
        </w:tc>
        <w:tc>
          <w:tcPr>
            <w:tcW w:w="1170" w:type="dxa"/>
            <w:tcMar>
              <w:left w:w="105" w:type="dxa"/>
              <w:right w:w="105" w:type="dxa"/>
            </w:tcMar>
          </w:tcPr>
          <w:p w14:paraId="6AC122E8"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w:t>
            </w:r>
          </w:p>
        </w:tc>
        <w:tc>
          <w:tcPr>
            <w:tcW w:w="1170" w:type="dxa"/>
            <w:tcMar>
              <w:left w:w="105" w:type="dxa"/>
              <w:right w:w="105" w:type="dxa"/>
            </w:tcMar>
          </w:tcPr>
          <w:p w14:paraId="0E650CE1"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0.72*</w:t>
            </w:r>
          </w:p>
        </w:tc>
        <w:tc>
          <w:tcPr>
            <w:tcW w:w="1170" w:type="dxa"/>
            <w:tcMar>
              <w:left w:w="105" w:type="dxa"/>
              <w:right w:w="105" w:type="dxa"/>
            </w:tcMar>
          </w:tcPr>
          <w:p w14:paraId="55ABCB1C"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0.61*</w:t>
            </w:r>
          </w:p>
        </w:tc>
        <w:tc>
          <w:tcPr>
            <w:tcW w:w="1170" w:type="dxa"/>
            <w:tcMar>
              <w:left w:w="105" w:type="dxa"/>
              <w:right w:w="105" w:type="dxa"/>
            </w:tcMar>
          </w:tcPr>
          <w:p w14:paraId="3A9BD3EE"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0.40</w:t>
            </w:r>
          </w:p>
        </w:tc>
        <w:tc>
          <w:tcPr>
            <w:tcW w:w="1170" w:type="dxa"/>
            <w:tcMar>
              <w:left w:w="105" w:type="dxa"/>
              <w:right w:w="105" w:type="dxa"/>
            </w:tcMar>
          </w:tcPr>
          <w:p w14:paraId="071E146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0.18</w:t>
            </w:r>
          </w:p>
        </w:tc>
        <w:tc>
          <w:tcPr>
            <w:tcW w:w="1170" w:type="dxa"/>
            <w:tcMar>
              <w:left w:w="105" w:type="dxa"/>
              <w:right w:w="105" w:type="dxa"/>
            </w:tcMar>
          </w:tcPr>
          <w:p w14:paraId="28006238"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0.22</w:t>
            </w:r>
          </w:p>
        </w:tc>
      </w:tr>
      <w:tr w:rsidR="00E2708D" w:rsidRPr="00F7201A" w14:paraId="2BC4858C" w14:textId="77777777" w:rsidTr="00CF670C">
        <w:trPr>
          <w:trHeight w:val="300"/>
        </w:trPr>
        <w:tc>
          <w:tcPr>
            <w:tcW w:w="1170" w:type="dxa"/>
            <w:tcMar>
              <w:left w:w="105" w:type="dxa"/>
              <w:right w:w="105" w:type="dxa"/>
            </w:tcMar>
          </w:tcPr>
          <w:p w14:paraId="66D75E0E"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ROE</w:t>
            </w:r>
          </w:p>
        </w:tc>
        <w:tc>
          <w:tcPr>
            <w:tcW w:w="1170" w:type="dxa"/>
            <w:tcMar>
              <w:left w:w="105" w:type="dxa"/>
              <w:right w:w="105" w:type="dxa"/>
            </w:tcMar>
          </w:tcPr>
          <w:p w14:paraId="6F4034A5"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0.71*</w:t>
            </w:r>
          </w:p>
        </w:tc>
        <w:tc>
          <w:tcPr>
            <w:tcW w:w="1170" w:type="dxa"/>
            <w:tcMar>
              <w:left w:w="105" w:type="dxa"/>
              <w:right w:w="105" w:type="dxa"/>
            </w:tcMar>
          </w:tcPr>
          <w:p w14:paraId="0D309DEC"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0.72*</w:t>
            </w:r>
          </w:p>
        </w:tc>
        <w:tc>
          <w:tcPr>
            <w:tcW w:w="1170" w:type="dxa"/>
            <w:tcMar>
              <w:left w:w="105" w:type="dxa"/>
              <w:right w:w="105" w:type="dxa"/>
            </w:tcMar>
          </w:tcPr>
          <w:p w14:paraId="1D272381"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w:t>
            </w:r>
          </w:p>
        </w:tc>
        <w:tc>
          <w:tcPr>
            <w:tcW w:w="1170" w:type="dxa"/>
            <w:tcMar>
              <w:left w:w="105" w:type="dxa"/>
              <w:right w:w="105" w:type="dxa"/>
            </w:tcMar>
          </w:tcPr>
          <w:p w14:paraId="0189CB42"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0.70*</w:t>
            </w:r>
          </w:p>
        </w:tc>
        <w:tc>
          <w:tcPr>
            <w:tcW w:w="1170" w:type="dxa"/>
            <w:tcMar>
              <w:left w:w="105" w:type="dxa"/>
              <w:right w:w="105" w:type="dxa"/>
            </w:tcMar>
          </w:tcPr>
          <w:p w14:paraId="1E4749B8"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0.48*</w:t>
            </w:r>
          </w:p>
        </w:tc>
        <w:tc>
          <w:tcPr>
            <w:tcW w:w="1170" w:type="dxa"/>
            <w:tcMar>
              <w:left w:w="105" w:type="dxa"/>
              <w:right w:w="105" w:type="dxa"/>
            </w:tcMar>
          </w:tcPr>
          <w:p w14:paraId="2FE3C7CD"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0.20</w:t>
            </w:r>
          </w:p>
        </w:tc>
        <w:tc>
          <w:tcPr>
            <w:tcW w:w="1170" w:type="dxa"/>
            <w:tcMar>
              <w:left w:w="105" w:type="dxa"/>
              <w:right w:w="105" w:type="dxa"/>
            </w:tcMar>
          </w:tcPr>
          <w:p w14:paraId="5074CC0A"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0.27*</w:t>
            </w:r>
          </w:p>
        </w:tc>
      </w:tr>
      <w:tr w:rsidR="00E2708D" w:rsidRPr="00F7201A" w14:paraId="14282867" w14:textId="77777777" w:rsidTr="00CF670C">
        <w:trPr>
          <w:trHeight w:val="300"/>
        </w:trPr>
        <w:tc>
          <w:tcPr>
            <w:tcW w:w="1170" w:type="dxa"/>
            <w:tcMar>
              <w:left w:w="105" w:type="dxa"/>
              <w:right w:w="105" w:type="dxa"/>
            </w:tcMar>
          </w:tcPr>
          <w:p w14:paraId="2D4408DA"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EPS</w:t>
            </w:r>
          </w:p>
        </w:tc>
        <w:tc>
          <w:tcPr>
            <w:tcW w:w="1170" w:type="dxa"/>
            <w:tcMar>
              <w:left w:w="105" w:type="dxa"/>
              <w:right w:w="105" w:type="dxa"/>
            </w:tcMar>
          </w:tcPr>
          <w:p w14:paraId="2614677E"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0.69*</w:t>
            </w:r>
          </w:p>
        </w:tc>
        <w:tc>
          <w:tcPr>
            <w:tcW w:w="1170" w:type="dxa"/>
            <w:tcMar>
              <w:left w:w="105" w:type="dxa"/>
              <w:right w:w="105" w:type="dxa"/>
            </w:tcMar>
          </w:tcPr>
          <w:p w14:paraId="77D30D82"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0.61*</w:t>
            </w:r>
          </w:p>
        </w:tc>
        <w:tc>
          <w:tcPr>
            <w:tcW w:w="1170" w:type="dxa"/>
            <w:tcMar>
              <w:left w:w="105" w:type="dxa"/>
              <w:right w:w="105" w:type="dxa"/>
            </w:tcMar>
          </w:tcPr>
          <w:p w14:paraId="76BA3207"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0.70*</w:t>
            </w:r>
          </w:p>
        </w:tc>
        <w:tc>
          <w:tcPr>
            <w:tcW w:w="1170" w:type="dxa"/>
            <w:tcMar>
              <w:left w:w="105" w:type="dxa"/>
              <w:right w:w="105" w:type="dxa"/>
            </w:tcMar>
          </w:tcPr>
          <w:p w14:paraId="601E35D8"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w:t>
            </w:r>
          </w:p>
        </w:tc>
        <w:tc>
          <w:tcPr>
            <w:tcW w:w="1170" w:type="dxa"/>
            <w:tcMar>
              <w:left w:w="105" w:type="dxa"/>
              <w:right w:w="105" w:type="dxa"/>
            </w:tcMar>
          </w:tcPr>
          <w:p w14:paraId="020490B1"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0.54*</w:t>
            </w:r>
          </w:p>
        </w:tc>
        <w:tc>
          <w:tcPr>
            <w:tcW w:w="1170" w:type="dxa"/>
            <w:tcMar>
              <w:left w:w="105" w:type="dxa"/>
              <w:right w:w="105" w:type="dxa"/>
            </w:tcMar>
          </w:tcPr>
          <w:p w14:paraId="042F7506"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0.19</w:t>
            </w:r>
          </w:p>
        </w:tc>
        <w:tc>
          <w:tcPr>
            <w:tcW w:w="1170" w:type="dxa"/>
            <w:tcMar>
              <w:left w:w="105" w:type="dxa"/>
              <w:right w:w="105" w:type="dxa"/>
            </w:tcMar>
          </w:tcPr>
          <w:p w14:paraId="2BA92CCB"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0.31*</w:t>
            </w:r>
          </w:p>
        </w:tc>
      </w:tr>
      <w:tr w:rsidR="00E2708D" w:rsidRPr="00F7201A" w14:paraId="3532D9C5" w14:textId="77777777" w:rsidTr="00CF670C">
        <w:trPr>
          <w:trHeight w:val="300"/>
        </w:trPr>
        <w:tc>
          <w:tcPr>
            <w:tcW w:w="1170" w:type="dxa"/>
            <w:tcMar>
              <w:left w:w="105" w:type="dxa"/>
              <w:right w:w="105" w:type="dxa"/>
            </w:tcMar>
          </w:tcPr>
          <w:p w14:paraId="63A2B8A4"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P/E</w:t>
            </w:r>
          </w:p>
        </w:tc>
        <w:tc>
          <w:tcPr>
            <w:tcW w:w="1170" w:type="dxa"/>
            <w:tcMar>
              <w:left w:w="105" w:type="dxa"/>
              <w:right w:w="105" w:type="dxa"/>
            </w:tcMar>
          </w:tcPr>
          <w:p w14:paraId="74925D21"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0.58*</w:t>
            </w:r>
          </w:p>
        </w:tc>
        <w:tc>
          <w:tcPr>
            <w:tcW w:w="1170" w:type="dxa"/>
            <w:tcMar>
              <w:left w:w="105" w:type="dxa"/>
              <w:right w:w="105" w:type="dxa"/>
            </w:tcMar>
          </w:tcPr>
          <w:p w14:paraId="2E0BB293"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0.40</w:t>
            </w:r>
          </w:p>
        </w:tc>
        <w:tc>
          <w:tcPr>
            <w:tcW w:w="1170" w:type="dxa"/>
            <w:tcMar>
              <w:left w:w="105" w:type="dxa"/>
              <w:right w:w="105" w:type="dxa"/>
            </w:tcMar>
          </w:tcPr>
          <w:p w14:paraId="11CE8759"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0.48*</w:t>
            </w:r>
          </w:p>
        </w:tc>
        <w:tc>
          <w:tcPr>
            <w:tcW w:w="1170" w:type="dxa"/>
            <w:tcMar>
              <w:left w:w="105" w:type="dxa"/>
              <w:right w:w="105" w:type="dxa"/>
            </w:tcMar>
          </w:tcPr>
          <w:p w14:paraId="3B2B21EC"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0.54*</w:t>
            </w:r>
          </w:p>
        </w:tc>
        <w:tc>
          <w:tcPr>
            <w:tcW w:w="1170" w:type="dxa"/>
            <w:tcMar>
              <w:left w:w="105" w:type="dxa"/>
              <w:right w:w="105" w:type="dxa"/>
            </w:tcMar>
          </w:tcPr>
          <w:p w14:paraId="00C1243E"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w:t>
            </w:r>
          </w:p>
        </w:tc>
        <w:tc>
          <w:tcPr>
            <w:tcW w:w="1170" w:type="dxa"/>
            <w:tcMar>
              <w:left w:w="105" w:type="dxa"/>
              <w:right w:w="105" w:type="dxa"/>
            </w:tcMar>
          </w:tcPr>
          <w:p w14:paraId="0C981945"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0.12</w:t>
            </w:r>
          </w:p>
        </w:tc>
        <w:tc>
          <w:tcPr>
            <w:tcW w:w="1170" w:type="dxa"/>
            <w:tcMar>
              <w:left w:w="105" w:type="dxa"/>
              <w:right w:w="105" w:type="dxa"/>
            </w:tcMar>
          </w:tcPr>
          <w:p w14:paraId="420E2F21"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0.18</w:t>
            </w:r>
          </w:p>
        </w:tc>
      </w:tr>
      <w:tr w:rsidR="00E2708D" w:rsidRPr="00F7201A" w14:paraId="45372843" w14:textId="77777777" w:rsidTr="00CF670C">
        <w:trPr>
          <w:trHeight w:val="300"/>
        </w:trPr>
        <w:tc>
          <w:tcPr>
            <w:tcW w:w="1170" w:type="dxa"/>
            <w:tcMar>
              <w:left w:w="105" w:type="dxa"/>
              <w:right w:w="105" w:type="dxa"/>
            </w:tcMar>
          </w:tcPr>
          <w:p w14:paraId="7AD9356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Current Ratio</w:t>
            </w:r>
          </w:p>
        </w:tc>
        <w:tc>
          <w:tcPr>
            <w:tcW w:w="1170" w:type="dxa"/>
            <w:tcMar>
              <w:left w:w="105" w:type="dxa"/>
              <w:right w:w="105" w:type="dxa"/>
            </w:tcMar>
          </w:tcPr>
          <w:p w14:paraId="79E1A9C5"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0.21</w:t>
            </w:r>
          </w:p>
        </w:tc>
        <w:tc>
          <w:tcPr>
            <w:tcW w:w="1170" w:type="dxa"/>
            <w:tcMar>
              <w:left w:w="105" w:type="dxa"/>
              <w:right w:w="105" w:type="dxa"/>
            </w:tcMar>
          </w:tcPr>
          <w:p w14:paraId="613ADB2F"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0.18</w:t>
            </w:r>
          </w:p>
        </w:tc>
        <w:tc>
          <w:tcPr>
            <w:tcW w:w="1170" w:type="dxa"/>
            <w:tcMar>
              <w:left w:w="105" w:type="dxa"/>
              <w:right w:w="105" w:type="dxa"/>
            </w:tcMar>
          </w:tcPr>
          <w:p w14:paraId="29F77437"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0.20</w:t>
            </w:r>
          </w:p>
        </w:tc>
        <w:tc>
          <w:tcPr>
            <w:tcW w:w="1170" w:type="dxa"/>
            <w:tcMar>
              <w:left w:w="105" w:type="dxa"/>
              <w:right w:w="105" w:type="dxa"/>
            </w:tcMar>
          </w:tcPr>
          <w:p w14:paraId="1532292A"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0.19</w:t>
            </w:r>
          </w:p>
        </w:tc>
        <w:tc>
          <w:tcPr>
            <w:tcW w:w="1170" w:type="dxa"/>
            <w:tcMar>
              <w:left w:w="105" w:type="dxa"/>
              <w:right w:w="105" w:type="dxa"/>
            </w:tcMar>
          </w:tcPr>
          <w:p w14:paraId="4061F92A"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0.12</w:t>
            </w:r>
          </w:p>
        </w:tc>
        <w:tc>
          <w:tcPr>
            <w:tcW w:w="1170" w:type="dxa"/>
            <w:tcMar>
              <w:left w:w="105" w:type="dxa"/>
              <w:right w:w="105" w:type="dxa"/>
            </w:tcMar>
          </w:tcPr>
          <w:p w14:paraId="09A08FFC"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w:t>
            </w:r>
          </w:p>
        </w:tc>
        <w:tc>
          <w:tcPr>
            <w:tcW w:w="1170" w:type="dxa"/>
            <w:tcMar>
              <w:left w:w="105" w:type="dxa"/>
              <w:right w:w="105" w:type="dxa"/>
            </w:tcMar>
          </w:tcPr>
          <w:p w14:paraId="6FC07436"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0.16</w:t>
            </w:r>
          </w:p>
        </w:tc>
      </w:tr>
      <w:tr w:rsidR="00E2708D" w:rsidRPr="00F7201A" w14:paraId="1C2EBCC7" w14:textId="77777777" w:rsidTr="00CF670C">
        <w:trPr>
          <w:trHeight w:val="300"/>
        </w:trPr>
        <w:tc>
          <w:tcPr>
            <w:tcW w:w="1170" w:type="dxa"/>
            <w:tcMar>
              <w:left w:w="105" w:type="dxa"/>
              <w:right w:w="105" w:type="dxa"/>
            </w:tcMar>
          </w:tcPr>
          <w:p w14:paraId="70107ADD"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lastRenderedPageBreak/>
              <w:t>Dividend Yield</w:t>
            </w:r>
          </w:p>
        </w:tc>
        <w:tc>
          <w:tcPr>
            <w:tcW w:w="1170" w:type="dxa"/>
            <w:tcMar>
              <w:left w:w="105" w:type="dxa"/>
              <w:right w:w="105" w:type="dxa"/>
            </w:tcMar>
          </w:tcPr>
          <w:p w14:paraId="43465909"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0.33*</w:t>
            </w:r>
          </w:p>
        </w:tc>
        <w:tc>
          <w:tcPr>
            <w:tcW w:w="1170" w:type="dxa"/>
            <w:tcMar>
              <w:left w:w="105" w:type="dxa"/>
              <w:right w:w="105" w:type="dxa"/>
            </w:tcMar>
          </w:tcPr>
          <w:p w14:paraId="7CD285B5"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0.22</w:t>
            </w:r>
          </w:p>
        </w:tc>
        <w:tc>
          <w:tcPr>
            <w:tcW w:w="1170" w:type="dxa"/>
            <w:tcMar>
              <w:left w:w="105" w:type="dxa"/>
              <w:right w:w="105" w:type="dxa"/>
            </w:tcMar>
          </w:tcPr>
          <w:p w14:paraId="33606FFC"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0.27*</w:t>
            </w:r>
          </w:p>
        </w:tc>
        <w:tc>
          <w:tcPr>
            <w:tcW w:w="1170" w:type="dxa"/>
            <w:tcMar>
              <w:left w:w="105" w:type="dxa"/>
              <w:right w:w="105" w:type="dxa"/>
            </w:tcMar>
          </w:tcPr>
          <w:p w14:paraId="15B4DA82"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0.31*</w:t>
            </w:r>
          </w:p>
        </w:tc>
        <w:tc>
          <w:tcPr>
            <w:tcW w:w="1170" w:type="dxa"/>
            <w:tcMar>
              <w:left w:w="105" w:type="dxa"/>
              <w:right w:w="105" w:type="dxa"/>
            </w:tcMar>
          </w:tcPr>
          <w:p w14:paraId="562F7D66"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0.18</w:t>
            </w:r>
          </w:p>
        </w:tc>
        <w:tc>
          <w:tcPr>
            <w:tcW w:w="1170" w:type="dxa"/>
            <w:tcMar>
              <w:left w:w="105" w:type="dxa"/>
              <w:right w:w="105" w:type="dxa"/>
            </w:tcMar>
          </w:tcPr>
          <w:p w14:paraId="76EA9987"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0.16</w:t>
            </w:r>
          </w:p>
        </w:tc>
        <w:tc>
          <w:tcPr>
            <w:tcW w:w="1170" w:type="dxa"/>
            <w:tcMar>
              <w:left w:w="105" w:type="dxa"/>
              <w:right w:w="105" w:type="dxa"/>
            </w:tcMar>
          </w:tcPr>
          <w:p w14:paraId="2110CA54"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w:t>
            </w:r>
          </w:p>
        </w:tc>
      </w:tr>
    </w:tbl>
    <w:p w14:paraId="480CE3FA" w14:textId="77777777" w:rsidR="00E2708D" w:rsidRPr="0053049D" w:rsidRDefault="00E2708D" w:rsidP="00E2708D">
      <w:pPr>
        <w:spacing w:before="240" w:beforeAutospacing="1" w:after="240" w:afterAutospacing="1" w:line="360" w:lineRule="auto"/>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Significant at 5% level.</w:t>
      </w:r>
    </w:p>
    <w:p w14:paraId="3192C4D0" w14:textId="33810B6A" w:rsidR="00E2708D" w:rsidRPr="0053049D" w:rsidRDefault="00E2708D" w:rsidP="00E2708D">
      <w:pPr>
        <w:spacing w:before="240" w:beforeAutospacing="1" w:after="240" w:afterAutospacing="1" w:line="360" w:lineRule="auto"/>
        <w:jc w:val="both"/>
        <w:rPr>
          <w:rFonts w:ascii="Arial" w:eastAsia="Times New Roman" w:hAnsi="Arial" w:cs="Arial"/>
          <w:sz w:val="22"/>
          <w:szCs w:val="22"/>
        </w:rPr>
      </w:pPr>
      <w:r w:rsidRPr="00F7201A">
        <w:rPr>
          <w:rFonts w:ascii="Arial" w:eastAsia="Times New Roman" w:hAnsi="Arial" w:cs="Arial"/>
          <w:b/>
          <w:bCs/>
        </w:rPr>
        <w:t>Discussion:</w:t>
      </w:r>
      <w:r w:rsidRPr="00F7201A">
        <w:rPr>
          <w:rFonts w:ascii="Arial" w:hAnsi="Arial" w:cs="Arial"/>
        </w:rPr>
        <w:br/>
      </w:r>
      <w:r w:rsidRPr="00F7201A">
        <w:rPr>
          <w:rFonts w:ascii="Arial" w:eastAsia="Times New Roman" w:hAnsi="Arial" w:cs="Arial"/>
        </w:rPr>
        <w:t xml:space="preserve"> </w:t>
      </w:r>
      <w:r w:rsidRPr="00F7201A">
        <w:rPr>
          <w:rFonts w:ascii="Arial" w:hAnsi="Arial" w:cs="Arial"/>
        </w:rPr>
        <w:tab/>
      </w:r>
      <w:r w:rsidRPr="0053049D">
        <w:rPr>
          <w:rFonts w:ascii="Arial" w:eastAsia="Times New Roman" w:hAnsi="Arial" w:cs="Arial"/>
          <w:sz w:val="22"/>
          <w:szCs w:val="22"/>
        </w:rPr>
        <w:t xml:space="preserve">Profitability ratios (ROA, ROE, EPS) show strong positive correlations with share price, supporting the fundamental analysis of </w:t>
      </w:r>
      <w:r w:rsidR="00BA13CB" w:rsidRPr="0053049D">
        <w:rPr>
          <w:rFonts w:ascii="Arial" w:eastAsia="Times New Roman" w:hAnsi="Arial" w:cs="Arial"/>
          <w:sz w:val="22"/>
          <w:szCs w:val="22"/>
        </w:rPr>
        <w:t>premises</w:t>
      </w:r>
      <w:r w:rsidRPr="0053049D">
        <w:rPr>
          <w:rFonts w:ascii="Arial" w:eastAsia="Times New Roman" w:hAnsi="Arial" w:cs="Arial"/>
          <w:sz w:val="22"/>
          <w:szCs w:val="22"/>
        </w:rPr>
        <w:t xml:space="preserve"> that earnings drive market value. Valuation ratios like P/E also show moderate positive correlation, indicating investor expectations influence price. Liquidity ratios show weak correlations, confirming the narrative that short-term solvency is less relevant in developed markets. These results align with Basu (1977), Chen &amp; Zhao (2009), and Penman (2013).</w:t>
      </w:r>
    </w:p>
    <w:p w14:paraId="669534FB" w14:textId="77777777" w:rsidR="00E2708D" w:rsidRPr="00F7201A" w:rsidRDefault="00E2708D" w:rsidP="00E2708D">
      <w:pPr>
        <w:pStyle w:val="Heading1"/>
        <w:jc w:val="center"/>
        <w:rPr>
          <w:rFonts w:ascii="Arial" w:eastAsia="Times New Roman" w:hAnsi="Arial" w:cs="Arial"/>
          <w:b/>
          <w:bCs/>
          <w:color w:val="auto"/>
          <w:sz w:val="32"/>
          <w:szCs w:val="32"/>
        </w:rPr>
      </w:pPr>
      <w:bookmarkStart w:id="45" w:name="_Toc141636900"/>
      <w:r w:rsidRPr="00F7201A">
        <w:rPr>
          <w:rFonts w:ascii="Arial" w:eastAsia="Times New Roman" w:hAnsi="Arial" w:cs="Arial"/>
          <w:b/>
          <w:bCs/>
          <w:color w:val="auto"/>
          <w:sz w:val="32"/>
          <w:szCs w:val="32"/>
        </w:rPr>
        <w:t>4.4 Regression Analysis</w:t>
      </w:r>
      <w:bookmarkEnd w:id="45"/>
    </w:p>
    <w:p w14:paraId="051E5DB9" w14:textId="74E4919F" w:rsidR="00E2708D" w:rsidRPr="0053049D"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Regression analysis was used to determine the predictive power of each of the financial ratios at the share prices. The findings revealed that profitability ratios were the most influential ones, and ROE and ROA showed to be the main predictors of the share price performance. The discovery confirms the basic view of analysis that the intrinsic value is largely determined by firm profitability. The liquidity rate was determined to have a minimal impact, meaning that the investors in the UK market would focus on the long-term earnings of the market rather than on short-term liquidity. The </w:t>
      </w:r>
      <w:r w:rsidR="00BA13CB" w:rsidRPr="0053049D">
        <w:rPr>
          <w:rFonts w:ascii="Arial" w:eastAsia="Times New Roman" w:hAnsi="Arial" w:cs="Arial"/>
          <w:color w:val="000000" w:themeColor="text1"/>
          <w:sz w:val="22"/>
          <w:szCs w:val="22"/>
        </w:rPr>
        <w:t>dependence</w:t>
      </w:r>
      <w:r w:rsidRPr="0053049D">
        <w:rPr>
          <w:rFonts w:ascii="Arial" w:eastAsia="Times New Roman" w:hAnsi="Arial" w:cs="Arial"/>
          <w:color w:val="000000" w:themeColor="text1"/>
          <w:sz w:val="22"/>
          <w:szCs w:val="22"/>
        </w:rPr>
        <w:t xml:space="preserve"> on the prices of shares was negative but statistically significant, which confirms that an increase in debt levels makes the companies less attractive to investors, especially in the conditions of the active market, like the ones during the COVID-19. </w:t>
      </w:r>
    </w:p>
    <w:p w14:paraId="78FE4231" w14:textId="6E02FEDF" w:rsidR="00E2708D" w:rsidRPr="0053049D"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The positive impact was also observed </w:t>
      </w:r>
      <w:r w:rsidR="00BA13CB" w:rsidRPr="0053049D">
        <w:rPr>
          <w:rFonts w:ascii="Arial" w:eastAsia="Times New Roman" w:hAnsi="Arial" w:cs="Arial"/>
          <w:color w:val="000000" w:themeColor="text1"/>
          <w:sz w:val="22"/>
          <w:szCs w:val="22"/>
        </w:rPr>
        <w:t>on the efficiency</w:t>
      </w:r>
      <w:r w:rsidRPr="0053049D">
        <w:rPr>
          <w:rFonts w:ascii="Arial" w:eastAsia="Times New Roman" w:hAnsi="Arial" w:cs="Arial"/>
          <w:color w:val="000000" w:themeColor="text1"/>
          <w:sz w:val="22"/>
          <w:szCs w:val="22"/>
        </w:rPr>
        <w:t xml:space="preserve"> ratios of the firms, which implies that the higher the asset utilization and operational efficiency, the higher the market valuation of a firm. Market-based ratios such as EPS and P/E ratio were strongly positively correlated with share prices in that investor expectation and sentiment play a role in the stock valuation. These findings are congruent to Ohlson (1995) and Chen and Zhao (2009) who have established that accounting-based variables are the significant determinants of stock price variation that can be included in the valuation model. Together, these results support the hypothesis of the current study that financial ratios, and especially profitability and market-based ratios, would have a significant impact on the market valuation of UK-listing companies.</w:t>
      </w:r>
    </w:p>
    <w:p w14:paraId="4D3E56A6" w14:textId="77777777" w:rsidR="00E2708D" w:rsidRPr="0053049D"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To illustrate the regression findings, Company E exhibited a high ROE of 18% and an EPS of £3.8, which, according to the regression model, contributed positively to its year-end </w:t>
      </w:r>
      <w:r w:rsidRPr="0053049D">
        <w:rPr>
          <w:rFonts w:ascii="Arial" w:eastAsia="Times New Roman" w:hAnsi="Arial" w:cs="Arial"/>
          <w:color w:val="000000" w:themeColor="text1"/>
          <w:sz w:val="22"/>
          <w:szCs w:val="22"/>
        </w:rPr>
        <w:lastRenderedPageBreak/>
        <w:t>share price increase from £45 to £55. Conversely, Company F, with a PEG ratio above 1.5, was identified as potentially overvalued, and its share price remained relatively stagnant, moving only from £52 to £53. These examples demonstrate how the regression analysis quantifies the influence of individual financial ratios on share prices while reflecting the general patterns observed across the FTSE 100 firms in the sample.</w:t>
      </w:r>
    </w:p>
    <w:p w14:paraId="6B8EFA17" w14:textId="77777777" w:rsidR="00E2708D" w:rsidRPr="00F7201A" w:rsidRDefault="00E2708D" w:rsidP="00E2708D">
      <w:pPr>
        <w:spacing w:before="240" w:beforeAutospacing="1" w:after="240" w:afterAutospacing="1" w:line="360" w:lineRule="auto"/>
        <w:jc w:val="both"/>
        <w:rPr>
          <w:rFonts w:ascii="Arial" w:eastAsia="Times New Roman" w:hAnsi="Arial" w:cs="Arial"/>
          <w:b/>
          <w:bCs/>
        </w:rPr>
      </w:pPr>
      <w:r w:rsidRPr="00F7201A">
        <w:rPr>
          <w:rFonts w:ascii="Arial" w:eastAsia="Times New Roman" w:hAnsi="Arial" w:cs="Arial"/>
          <w:b/>
          <w:bCs/>
          <w:color w:val="000000" w:themeColor="text1"/>
        </w:rPr>
        <w:t xml:space="preserve"> </w:t>
      </w:r>
      <w:r w:rsidRPr="00F7201A">
        <w:rPr>
          <w:rStyle w:val="Heading3Char"/>
          <w:rFonts w:ascii="Arial" w:eastAsia="Times New Roman" w:hAnsi="Arial" w:cs="Arial"/>
          <w:b/>
          <w:bCs/>
          <w:color w:val="auto"/>
          <w:sz w:val="24"/>
          <w:szCs w:val="24"/>
        </w:rPr>
        <w:t>Table 3: Regression Results</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860"/>
        <w:gridCol w:w="1860"/>
        <w:gridCol w:w="1860"/>
        <w:gridCol w:w="1860"/>
        <w:gridCol w:w="1860"/>
      </w:tblGrid>
      <w:tr w:rsidR="00E2708D" w:rsidRPr="00F7201A" w14:paraId="3DBBD7E0" w14:textId="77777777" w:rsidTr="00CF670C">
        <w:trPr>
          <w:trHeight w:val="300"/>
        </w:trPr>
        <w:tc>
          <w:tcPr>
            <w:tcW w:w="1860" w:type="dxa"/>
            <w:tcMar>
              <w:left w:w="105" w:type="dxa"/>
              <w:right w:w="105" w:type="dxa"/>
            </w:tcMar>
          </w:tcPr>
          <w:p w14:paraId="671D31C0"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Variable</w:t>
            </w:r>
          </w:p>
        </w:tc>
        <w:tc>
          <w:tcPr>
            <w:tcW w:w="1860" w:type="dxa"/>
            <w:tcMar>
              <w:left w:w="105" w:type="dxa"/>
              <w:right w:w="105" w:type="dxa"/>
            </w:tcMar>
          </w:tcPr>
          <w:p w14:paraId="660A7414"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Coefficient (β)</w:t>
            </w:r>
          </w:p>
        </w:tc>
        <w:tc>
          <w:tcPr>
            <w:tcW w:w="1860" w:type="dxa"/>
            <w:tcMar>
              <w:left w:w="105" w:type="dxa"/>
              <w:right w:w="105" w:type="dxa"/>
            </w:tcMar>
          </w:tcPr>
          <w:p w14:paraId="3A142198"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Std. Error</w:t>
            </w:r>
          </w:p>
        </w:tc>
        <w:tc>
          <w:tcPr>
            <w:tcW w:w="1860" w:type="dxa"/>
            <w:tcMar>
              <w:left w:w="105" w:type="dxa"/>
              <w:right w:w="105" w:type="dxa"/>
            </w:tcMar>
          </w:tcPr>
          <w:p w14:paraId="3159A780"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t-value</w:t>
            </w:r>
          </w:p>
        </w:tc>
        <w:tc>
          <w:tcPr>
            <w:tcW w:w="1860" w:type="dxa"/>
            <w:tcMar>
              <w:left w:w="105" w:type="dxa"/>
              <w:right w:w="105" w:type="dxa"/>
            </w:tcMar>
          </w:tcPr>
          <w:p w14:paraId="577BA6D3" w14:textId="77777777" w:rsidR="00E2708D" w:rsidRPr="00F7201A" w:rsidRDefault="00E2708D" w:rsidP="00CF670C">
            <w:pPr>
              <w:spacing w:line="360" w:lineRule="auto"/>
              <w:jc w:val="center"/>
              <w:rPr>
                <w:rFonts w:ascii="Arial" w:eastAsia="Times New Roman" w:hAnsi="Arial" w:cs="Arial"/>
              </w:rPr>
            </w:pPr>
            <w:r w:rsidRPr="00F7201A">
              <w:rPr>
                <w:rFonts w:ascii="Arial" w:eastAsia="Times New Roman" w:hAnsi="Arial" w:cs="Arial"/>
                <w:b/>
                <w:bCs/>
              </w:rPr>
              <w:t>p-value</w:t>
            </w:r>
          </w:p>
        </w:tc>
      </w:tr>
      <w:tr w:rsidR="00E2708D" w:rsidRPr="00F7201A" w14:paraId="56B3EE88" w14:textId="77777777" w:rsidTr="00CF670C">
        <w:trPr>
          <w:trHeight w:val="300"/>
        </w:trPr>
        <w:tc>
          <w:tcPr>
            <w:tcW w:w="1860" w:type="dxa"/>
            <w:tcMar>
              <w:left w:w="105" w:type="dxa"/>
              <w:right w:w="105" w:type="dxa"/>
            </w:tcMar>
          </w:tcPr>
          <w:p w14:paraId="6A55837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Constant</w:t>
            </w:r>
          </w:p>
        </w:tc>
        <w:tc>
          <w:tcPr>
            <w:tcW w:w="1860" w:type="dxa"/>
            <w:tcMar>
              <w:left w:w="105" w:type="dxa"/>
              <w:right w:w="105" w:type="dxa"/>
            </w:tcMar>
          </w:tcPr>
          <w:p w14:paraId="6DA0626F"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2.15</w:t>
            </w:r>
          </w:p>
        </w:tc>
        <w:tc>
          <w:tcPr>
            <w:tcW w:w="1860" w:type="dxa"/>
            <w:tcMar>
              <w:left w:w="105" w:type="dxa"/>
              <w:right w:w="105" w:type="dxa"/>
            </w:tcMar>
          </w:tcPr>
          <w:p w14:paraId="3CED3B1A"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0.90</w:t>
            </w:r>
          </w:p>
        </w:tc>
        <w:tc>
          <w:tcPr>
            <w:tcW w:w="1860" w:type="dxa"/>
            <w:tcMar>
              <w:left w:w="105" w:type="dxa"/>
              <w:right w:w="105" w:type="dxa"/>
            </w:tcMar>
          </w:tcPr>
          <w:p w14:paraId="74013B2B"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2.39</w:t>
            </w:r>
          </w:p>
        </w:tc>
        <w:tc>
          <w:tcPr>
            <w:tcW w:w="1860" w:type="dxa"/>
            <w:tcMar>
              <w:left w:w="105" w:type="dxa"/>
              <w:right w:w="105" w:type="dxa"/>
            </w:tcMar>
          </w:tcPr>
          <w:p w14:paraId="6E47E1F2"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0.018*</w:t>
            </w:r>
          </w:p>
        </w:tc>
      </w:tr>
      <w:tr w:rsidR="00E2708D" w:rsidRPr="00F7201A" w14:paraId="6D31A0D9" w14:textId="77777777" w:rsidTr="00CF670C">
        <w:trPr>
          <w:trHeight w:val="300"/>
        </w:trPr>
        <w:tc>
          <w:tcPr>
            <w:tcW w:w="1860" w:type="dxa"/>
            <w:tcMar>
              <w:left w:w="105" w:type="dxa"/>
              <w:right w:w="105" w:type="dxa"/>
            </w:tcMar>
          </w:tcPr>
          <w:p w14:paraId="4FD2CDB8"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ROA</w:t>
            </w:r>
          </w:p>
        </w:tc>
        <w:tc>
          <w:tcPr>
            <w:tcW w:w="1860" w:type="dxa"/>
            <w:tcMar>
              <w:left w:w="105" w:type="dxa"/>
              <w:right w:w="105" w:type="dxa"/>
            </w:tcMar>
          </w:tcPr>
          <w:p w14:paraId="652ADE6A"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0.42</w:t>
            </w:r>
          </w:p>
        </w:tc>
        <w:tc>
          <w:tcPr>
            <w:tcW w:w="1860" w:type="dxa"/>
            <w:tcMar>
              <w:left w:w="105" w:type="dxa"/>
              <w:right w:w="105" w:type="dxa"/>
            </w:tcMar>
          </w:tcPr>
          <w:p w14:paraId="38A368CB"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0.12</w:t>
            </w:r>
          </w:p>
        </w:tc>
        <w:tc>
          <w:tcPr>
            <w:tcW w:w="1860" w:type="dxa"/>
            <w:tcMar>
              <w:left w:w="105" w:type="dxa"/>
              <w:right w:w="105" w:type="dxa"/>
            </w:tcMar>
          </w:tcPr>
          <w:p w14:paraId="6FF7F6E1"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3.50</w:t>
            </w:r>
          </w:p>
        </w:tc>
        <w:tc>
          <w:tcPr>
            <w:tcW w:w="1860" w:type="dxa"/>
            <w:tcMar>
              <w:left w:w="105" w:type="dxa"/>
              <w:right w:w="105" w:type="dxa"/>
            </w:tcMar>
          </w:tcPr>
          <w:p w14:paraId="16C70C5A"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0.001*</w:t>
            </w:r>
          </w:p>
        </w:tc>
      </w:tr>
      <w:tr w:rsidR="00E2708D" w:rsidRPr="00F7201A" w14:paraId="169725D8" w14:textId="77777777" w:rsidTr="00CF670C">
        <w:trPr>
          <w:trHeight w:val="300"/>
        </w:trPr>
        <w:tc>
          <w:tcPr>
            <w:tcW w:w="1860" w:type="dxa"/>
            <w:tcMar>
              <w:left w:w="105" w:type="dxa"/>
              <w:right w:w="105" w:type="dxa"/>
            </w:tcMar>
          </w:tcPr>
          <w:p w14:paraId="23F4A1F7"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ROE</w:t>
            </w:r>
          </w:p>
        </w:tc>
        <w:tc>
          <w:tcPr>
            <w:tcW w:w="1860" w:type="dxa"/>
            <w:tcMar>
              <w:left w:w="105" w:type="dxa"/>
              <w:right w:w="105" w:type="dxa"/>
            </w:tcMar>
          </w:tcPr>
          <w:p w14:paraId="7AF64164"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0.50</w:t>
            </w:r>
          </w:p>
        </w:tc>
        <w:tc>
          <w:tcPr>
            <w:tcW w:w="1860" w:type="dxa"/>
            <w:tcMar>
              <w:left w:w="105" w:type="dxa"/>
              <w:right w:w="105" w:type="dxa"/>
            </w:tcMar>
          </w:tcPr>
          <w:p w14:paraId="5437902A"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0.14</w:t>
            </w:r>
          </w:p>
        </w:tc>
        <w:tc>
          <w:tcPr>
            <w:tcW w:w="1860" w:type="dxa"/>
            <w:tcMar>
              <w:left w:w="105" w:type="dxa"/>
              <w:right w:w="105" w:type="dxa"/>
            </w:tcMar>
          </w:tcPr>
          <w:p w14:paraId="72A27864"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3.57</w:t>
            </w:r>
          </w:p>
        </w:tc>
        <w:tc>
          <w:tcPr>
            <w:tcW w:w="1860" w:type="dxa"/>
            <w:tcMar>
              <w:left w:w="105" w:type="dxa"/>
              <w:right w:w="105" w:type="dxa"/>
            </w:tcMar>
          </w:tcPr>
          <w:p w14:paraId="5DF18C1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0.001*</w:t>
            </w:r>
          </w:p>
        </w:tc>
      </w:tr>
      <w:tr w:rsidR="00E2708D" w:rsidRPr="00F7201A" w14:paraId="7BD5808F" w14:textId="77777777" w:rsidTr="00CF670C">
        <w:trPr>
          <w:trHeight w:val="300"/>
        </w:trPr>
        <w:tc>
          <w:tcPr>
            <w:tcW w:w="1860" w:type="dxa"/>
            <w:tcMar>
              <w:left w:w="105" w:type="dxa"/>
              <w:right w:w="105" w:type="dxa"/>
            </w:tcMar>
          </w:tcPr>
          <w:p w14:paraId="3F9395C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EPS</w:t>
            </w:r>
          </w:p>
        </w:tc>
        <w:tc>
          <w:tcPr>
            <w:tcW w:w="1860" w:type="dxa"/>
            <w:tcMar>
              <w:left w:w="105" w:type="dxa"/>
              <w:right w:w="105" w:type="dxa"/>
            </w:tcMar>
          </w:tcPr>
          <w:p w14:paraId="1BE4CF21"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1.20</w:t>
            </w:r>
          </w:p>
        </w:tc>
        <w:tc>
          <w:tcPr>
            <w:tcW w:w="1860" w:type="dxa"/>
            <w:tcMar>
              <w:left w:w="105" w:type="dxa"/>
              <w:right w:w="105" w:type="dxa"/>
            </w:tcMar>
          </w:tcPr>
          <w:p w14:paraId="33EAD97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0.31</w:t>
            </w:r>
          </w:p>
        </w:tc>
        <w:tc>
          <w:tcPr>
            <w:tcW w:w="1860" w:type="dxa"/>
            <w:tcMar>
              <w:left w:w="105" w:type="dxa"/>
              <w:right w:w="105" w:type="dxa"/>
            </w:tcMar>
          </w:tcPr>
          <w:p w14:paraId="53A47D38"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3.87</w:t>
            </w:r>
          </w:p>
        </w:tc>
        <w:tc>
          <w:tcPr>
            <w:tcW w:w="1860" w:type="dxa"/>
            <w:tcMar>
              <w:left w:w="105" w:type="dxa"/>
              <w:right w:w="105" w:type="dxa"/>
            </w:tcMar>
          </w:tcPr>
          <w:p w14:paraId="6864BDE2"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0.000*</w:t>
            </w:r>
          </w:p>
        </w:tc>
      </w:tr>
      <w:tr w:rsidR="00E2708D" w:rsidRPr="00F7201A" w14:paraId="6FD710F6" w14:textId="77777777" w:rsidTr="00CF670C">
        <w:trPr>
          <w:trHeight w:val="300"/>
        </w:trPr>
        <w:tc>
          <w:tcPr>
            <w:tcW w:w="1860" w:type="dxa"/>
            <w:tcMar>
              <w:left w:w="105" w:type="dxa"/>
              <w:right w:w="105" w:type="dxa"/>
            </w:tcMar>
          </w:tcPr>
          <w:p w14:paraId="48B1D8A6"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P/E</w:t>
            </w:r>
          </w:p>
        </w:tc>
        <w:tc>
          <w:tcPr>
            <w:tcW w:w="1860" w:type="dxa"/>
            <w:tcMar>
              <w:left w:w="105" w:type="dxa"/>
              <w:right w:w="105" w:type="dxa"/>
            </w:tcMar>
          </w:tcPr>
          <w:p w14:paraId="69D124F4"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0.35</w:t>
            </w:r>
          </w:p>
        </w:tc>
        <w:tc>
          <w:tcPr>
            <w:tcW w:w="1860" w:type="dxa"/>
            <w:tcMar>
              <w:left w:w="105" w:type="dxa"/>
              <w:right w:w="105" w:type="dxa"/>
            </w:tcMar>
          </w:tcPr>
          <w:p w14:paraId="17839DE1"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0.18</w:t>
            </w:r>
          </w:p>
        </w:tc>
        <w:tc>
          <w:tcPr>
            <w:tcW w:w="1860" w:type="dxa"/>
            <w:tcMar>
              <w:left w:w="105" w:type="dxa"/>
              <w:right w:w="105" w:type="dxa"/>
            </w:tcMar>
          </w:tcPr>
          <w:p w14:paraId="2F4C702B"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1.94</w:t>
            </w:r>
          </w:p>
        </w:tc>
        <w:tc>
          <w:tcPr>
            <w:tcW w:w="1860" w:type="dxa"/>
            <w:tcMar>
              <w:left w:w="105" w:type="dxa"/>
              <w:right w:w="105" w:type="dxa"/>
            </w:tcMar>
          </w:tcPr>
          <w:p w14:paraId="2277FAA3"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0.056</w:t>
            </w:r>
          </w:p>
        </w:tc>
      </w:tr>
      <w:tr w:rsidR="00E2708D" w:rsidRPr="00F7201A" w14:paraId="28F9588B" w14:textId="77777777" w:rsidTr="00CF670C">
        <w:trPr>
          <w:trHeight w:val="300"/>
        </w:trPr>
        <w:tc>
          <w:tcPr>
            <w:tcW w:w="1860" w:type="dxa"/>
            <w:tcMar>
              <w:left w:w="105" w:type="dxa"/>
              <w:right w:w="105" w:type="dxa"/>
            </w:tcMar>
          </w:tcPr>
          <w:p w14:paraId="28B28DBA"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Current Ratio</w:t>
            </w:r>
          </w:p>
        </w:tc>
        <w:tc>
          <w:tcPr>
            <w:tcW w:w="1860" w:type="dxa"/>
            <w:tcMar>
              <w:left w:w="105" w:type="dxa"/>
              <w:right w:w="105" w:type="dxa"/>
            </w:tcMar>
          </w:tcPr>
          <w:p w14:paraId="64F3E2D3"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0.10</w:t>
            </w:r>
          </w:p>
        </w:tc>
        <w:tc>
          <w:tcPr>
            <w:tcW w:w="1860" w:type="dxa"/>
            <w:tcMar>
              <w:left w:w="105" w:type="dxa"/>
              <w:right w:w="105" w:type="dxa"/>
            </w:tcMar>
          </w:tcPr>
          <w:p w14:paraId="7B5192B6"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0.21</w:t>
            </w:r>
          </w:p>
        </w:tc>
        <w:tc>
          <w:tcPr>
            <w:tcW w:w="1860" w:type="dxa"/>
            <w:tcMar>
              <w:left w:w="105" w:type="dxa"/>
              <w:right w:w="105" w:type="dxa"/>
            </w:tcMar>
          </w:tcPr>
          <w:p w14:paraId="03765D10"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0.48</w:t>
            </w:r>
          </w:p>
        </w:tc>
        <w:tc>
          <w:tcPr>
            <w:tcW w:w="1860" w:type="dxa"/>
            <w:tcMar>
              <w:left w:w="105" w:type="dxa"/>
              <w:right w:w="105" w:type="dxa"/>
            </w:tcMar>
          </w:tcPr>
          <w:p w14:paraId="6EDCD58C"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0.63</w:t>
            </w:r>
          </w:p>
        </w:tc>
      </w:tr>
      <w:tr w:rsidR="00E2708D" w:rsidRPr="00F7201A" w14:paraId="2A92E7B1" w14:textId="77777777" w:rsidTr="00CF670C">
        <w:trPr>
          <w:trHeight w:val="300"/>
        </w:trPr>
        <w:tc>
          <w:tcPr>
            <w:tcW w:w="1860" w:type="dxa"/>
            <w:tcMar>
              <w:left w:w="105" w:type="dxa"/>
              <w:right w:w="105" w:type="dxa"/>
            </w:tcMar>
          </w:tcPr>
          <w:p w14:paraId="00C68991"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Dividend Yield</w:t>
            </w:r>
          </w:p>
        </w:tc>
        <w:tc>
          <w:tcPr>
            <w:tcW w:w="1860" w:type="dxa"/>
            <w:tcMar>
              <w:left w:w="105" w:type="dxa"/>
              <w:right w:w="105" w:type="dxa"/>
            </w:tcMar>
          </w:tcPr>
          <w:p w14:paraId="5B983493"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0.25</w:t>
            </w:r>
          </w:p>
        </w:tc>
        <w:tc>
          <w:tcPr>
            <w:tcW w:w="1860" w:type="dxa"/>
            <w:tcMar>
              <w:left w:w="105" w:type="dxa"/>
              <w:right w:w="105" w:type="dxa"/>
            </w:tcMar>
          </w:tcPr>
          <w:p w14:paraId="7925CE61"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0.14</w:t>
            </w:r>
          </w:p>
        </w:tc>
        <w:tc>
          <w:tcPr>
            <w:tcW w:w="1860" w:type="dxa"/>
            <w:tcMar>
              <w:left w:w="105" w:type="dxa"/>
              <w:right w:w="105" w:type="dxa"/>
            </w:tcMar>
          </w:tcPr>
          <w:p w14:paraId="3A6B68E2"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1.79</w:t>
            </w:r>
          </w:p>
        </w:tc>
        <w:tc>
          <w:tcPr>
            <w:tcW w:w="1860" w:type="dxa"/>
            <w:tcMar>
              <w:left w:w="105" w:type="dxa"/>
              <w:right w:w="105" w:type="dxa"/>
            </w:tcMar>
          </w:tcPr>
          <w:p w14:paraId="45A37381" w14:textId="77777777" w:rsidR="00E2708D" w:rsidRPr="00F7201A" w:rsidRDefault="00E2708D" w:rsidP="00CF670C">
            <w:pPr>
              <w:spacing w:line="360" w:lineRule="auto"/>
              <w:rPr>
                <w:rFonts w:ascii="Arial" w:eastAsia="Times New Roman" w:hAnsi="Arial" w:cs="Arial"/>
              </w:rPr>
            </w:pPr>
            <w:r w:rsidRPr="00F7201A">
              <w:rPr>
                <w:rFonts w:ascii="Arial" w:eastAsia="Times New Roman" w:hAnsi="Arial" w:cs="Arial"/>
              </w:rPr>
              <w:t>0.076</w:t>
            </w:r>
          </w:p>
        </w:tc>
      </w:tr>
    </w:tbl>
    <w:p w14:paraId="60CF443F" w14:textId="77777777" w:rsidR="00E2708D" w:rsidRPr="0053049D" w:rsidRDefault="00E2708D" w:rsidP="00E2708D">
      <w:pPr>
        <w:spacing w:before="240" w:beforeAutospacing="1" w:after="240" w:afterAutospacing="1" w:line="360" w:lineRule="auto"/>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Significant at 5% level.</w:t>
      </w:r>
    </w:p>
    <w:p w14:paraId="0A7A01A7" w14:textId="77777777" w:rsidR="00E2708D" w:rsidRPr="0053049D" w:rsidRDefault="00E2708D" w:rsidP="00E2708D">
      <w:pPr>
        <w:spacing w:before="240" w:beforeAutospacing="1" w:after="240" w:afterAutospacing="1" w:line="360" w:lineRule="auto"/>
        <w:jc w:val="both"/>
        <w:rPr>
          <w:rFonts w:ascii="Arial" w:eastAsia="Times New Roman" w:hAnsi="Arial" w:cs="Arial"/>
          <w:sz w:val="22"/>
          <w:szCs w:val="22"/>
        </w:rPr>
      </w:pPr>
      <w:r w:rsidRPr="00F7201A">
        <w:rPr>
          <w:rFonts w:ascii="Arial" w:eastAsia="Times New Roman" w:hAnsi="Arial" w:cs="Arial"/>
          <w:b/>
          <w:bCs/>
        </w:rPr>
        <w:t>Discussion:</w:t>
      </w:r>
      <w:r w:rsidRPr="00F7201A">
        <w:rPr>
          <w:rFonts w:ascii="Arial" w:hAnsi="Arial" w:cs="Arial"/>
        </w:rPr>
        <w:br/>
      </w:r>
      <w:r w:rsidRPr="00F7201A">
        <w:rPr>
          <w:rFonts w:ascii="Arial" w:eastAsia="Times New Roman" w:hAnsi="Arial" w:cs="Arial"/>
        </w:rPr>
        <w:t xml:space="preserve"> </w:t>
      </w:r>
      <w:r w:rsidRPr="00F7201A">
        <w:rPr>
          <w:rFonts w:ascii="Arial" w:hAnsi="Arial" w:cs="Arial"/>
        </w:rPr>
        <w:tab/>
      </w:r>
      <w:r w:rsidRPr="0053049D">
        <w:rPr>
          <w:rFonts w:ascii="Arial" w:eastAsia="Times New Roman" w:hAnsi="Arial" w:cs="Arial"/>
          <w:sz w:val="22"/>
          <w:szCs w:val="22"/>
        </w:rPr>
        <w:t>The regression results confirm that</w:t>
      </w:r>
      <w:r w:rsidRPr="0053049D">
        <w:rPr>
          <w:rFonts w:ascii="Arial" w:eastAsia="Times New Roman" w:hAnsi="Arial" w:cs="Arial"/>
          <w:b/>
          <w:bCs/>
          <w:sz w:val="22"/>
          <w:szCs w:val="22"/>
        </w:rPr>
        <w:t xml:space="preserve"> </w:t>
      </w:r>
      <w:r w:rsidRPr="0053049D">
        <w:rPr>
          <w:rFonts w:ascii="Arial" w:eastAsia="Times New Roman" w:hAnsi="Arial" w:cs="Arial"/>
          <w:sz w:val="22"/>
          <w:szCs w:val="22"/>
        </w:rPr>
        <w:t>profitability ratios (ROA, ROE, EPS) are statistically significant predictors of share prices, consistent with fundamental analysis theory. Valuation ratios like P/E are moderately significant, while liquidity measures (Current Ratio) are not significant, reinforcing findings from correlation analysis. These outcomes mirror prior studies (Al-</w:t>
      </w:r>
      <w:proofErr w:type="spellStart"/>
      <w:r w:rsidRPr="0053049D">
        <w:rPr>
          <w:rFonts w:ascii="Arial" w:eastAsia="Times New Roman" w:hAnsi="Arial" w:cs="Arial"/>
          <w:sz w:val="22"/>
          <w:szCs w:val="22"/>
        </w:rPr>
        <w:t>Mwalla</w:t>
      </w:r>
      <w:proofErr w:type="spellEnd"/>
      <w:r w:rsidRPr="0053049D">
        <w:rPr>
          <w:rFonts w:ascii="Arial" w:eastAsia="Times New Roman" w:hAnsi="Arial" w:cs="Arial"/>
          <w:sz w:val="22"/>
          <w:szCs w:val="22"/>
        </w:rPr>
        <w:t>, 2012; Chen &amp; Zhao, 2009), showing that earnings and profitability drive investor valuation in UK markets.</w:t>
      </w:r>
    </w:p>
    <w:p w14:paraId="059E1234" w14:textId="77777777" w:rsidR="00E2708D" w:rsidRPr="00F7201A" w:rsidRDefault="00E2708D" w:rsidP="00E2708D">
      <w:pPr>
        <w:pStyle w:val="Heading1"/>
        <w:jc w:val="center"/>
        <w:rPr>
          <w:rFonts w:ascii="Arial" w:eastAsia="Times New Roman" w:hAnsi="Arial" w:cs="Arial"/>
          <w:b/>
          <w:bCs/>
          <w:color w:val="auto"/>
          <w:sz w:val="32"/>
          <w:szCs w:val="32"/>
        </w:rPr>
      </w:pPr>
      <w:bookmarkStart w:id="46" w:name="_Toc947849000"/>
      <w:r w:rsidRPr="00F7201A">
        <w:rPr>
          <w:rFonts w:ascii="Arial" w:eastAsia="Times New Roman" w:hAnsi="Arial" w:cs="Arial"/>
          <w:b/>
          <w:bCs/>
          <w:color w:val="auto"/>
          <w:sz w:val="32"/>
          <w:szCs w:val="32"/>
        </w:rPr>
        <w:t>4.5 Discussion of Findings</w:t>
      </w:r>
      <w:bookmarkEnd w:id="46"/>
    </w:p>
    <w:p w14:paraId="1C2D00A7" w14:textId="77777777" w:rsidR="00E2708D" w:rsidRPr="0053049D"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The findings from this study strongly support the Fundamental Analysis Theory, which posits that the intrinsic value of a company is derived from its financial performance and fundamentals. The theory is valid as the positive and material effects of profitability ratios on the prices of shares can be explained by the fact that investors consider companies in terms of revenues and payback. Profitability is another key factor determining firm value during the COVID-19 pandemic when investors wanted firms that are resilient to return during an economic crisis. This trend is similar to that of Mazur et al. (2021), who noted that companies with strong profitability recovered their shares faster after the crisis. </w:t>
      </w:r>
    </w:p>
    <w:p w14:paraId="057EBD25" w14:textId="5ABE9C48" w:rsidR="00E2708D" w:rsidRPr="0053049D"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lastRenderedPageBreak/>
        <w:t xml:space="preserve">Conversely, the low correlation between liquidity and share prices indicates that liquidity in a mature market like the UK is a less important factor </w:t>
      </w:r>
      <w:r w:rsidR="00CA393C" w:rsidRPr="0053049D">
        <w:rPr>
          <w:rFonts w:ascii="Arial" w:eastAsia="Times New Roman" w:hAnsi="Arial" w:cs="Arial"/>
          <w:color w:val="000000" w:themeColor="text1"/>
          <w:sz w:val="22"/>
          <w:szCs w:val="22"/>
        </w:rPr>
        <w:t>for</w:t>
      </w:r>
      <w:r w:rsidRPr="0053049D">
        <w:rPr>
          <w:rFonts w:ascii="Arial" w:eastAsia="Times New Roman" w:hAnsi="Arial" w:cs="Arial"/>
          <w:color w:val="000000" w:themeColor="text1"/>
          <w:sz w:val="22"/>
          <w:szCs w:val="22"/>
        </w:rPr>
        <w:t xml:space="preserve"> investors compared to its potential to grow and achieve profitability. This observation is slightly different in the emerging markets, where liquidity limits may exert a more direct impact on the firm's valuation (Al-Khazali and Mirzaei, 2017). The impact of leverage on the share prices is adverse, and this supports the risk- aversion of investors during the uncertain periods. Large debt ratios are an indication of financial distress, which reduces stock valuation. This observation is </w:t>
      </w:r>
      <w:r w:rsidR="005A269D" w:rsidRPr="0053049D">
        <w:rPr>
          <w:rFonts w:ascii="Arial" w:eastAsia="Times New Roman" w:hAnsi="Arial" w:cs="Arial"/>
          <w:color w:val="000000" w:themeColor="text1"/>
          <w:sz w:val="22"/>
          <w:szCs w:val="22"/>
        </w:rPr>
        <w:t>like</w:t>
      </w:r>
      <w:r w:rsidRPr="0053049D">
        <w:rPr>
          <w:rFonts w:ascii="Arial" w:eastAsia="Times New Roman" w:hAnsi="Arial" w:cs="Arial"/>
          <w:color w:val="000000" w:themeColor="text1"/>
          <w:sz w:val="22"/>
          <w:szCs w:val="22"/>
        </w:rPr>
        <w:t xml:space="preserve"> Abdul and Tunde (2020), who also reported the same observation of European markets during the pandemic.</w:t>
      </w:r>
    </w:p>
    <w:p w14:paraId="6A2AE9F0" w14:textId="0D301EDA" w:rsidR="00E2708D" w:rsidRPr="0053049D"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 xml:space="preserve">Efficiency ratios’ positive effect on share prices indicates that investors reward firms that effectively convert resources into revenue, aligning with prior evidence by </w:t>
      </w:r>
      <w:proofErr w:type="spellStart"/>
      <w:r w:rsidRPr="0053049D">
        <w:rPr>
          <w:rFonts w:ascii="Arial" w:eastAsia="Times New Roman" w:hAnsi="Arial" w:cs="Arial"/>
          <w:color w:val="000000" w:themeColor="text1"/>
          <w:sz w:val="22"/>
          <w:szCs w:val="22"/>
        </w:rPr>
        <w:t>Adelegan</w:t>
      </w:r>
      <w:proofErr w:type="spellEnd"/>
      <w:r w:rsidRPr="0053049D">
        <w:rPr>
          <w:rFonts w:ascii="Arial" w:eastAsia="Times New Roman" w:hAnsi="Arial" w:cs="Arial"/>
          <w:color w:val="000000" w:themeColor="text1"/>
          <w:sz w:val="22"/>
          <w:szCs w:val="22"/>
        </w:rPr>
        <w:t xml:space="preserve"> (2009) and Akbas (2014), who established that operational efficiency enhances market valuation through improved profitability margins. Investor sentiment and expectation mechanisms incorporated in the Efficient Market Hypothesis are indicated by the strong positive relationship between market ratios (EPS and P/E) and the share prices. EMH claims that the share prices respond quickly to the existing information, and the high correlation between market ratios and share prices during and after COVID-19 substantiates the belief that the markets </w:t>
      </w:r>
      <w:r w:rsidR="005A269D" w:rsidRPr="0053049D">
        <w:rPr>
          <w:rFonts w:ascii="Arial" w:eastAsia="Times New Roman" w:hAnsi="Arial" w:cs="Arial"/>
          <w:color w:val="000000" w:themeColor="text1"/>
          <w:sz w:val="22"/>
          <w:szCs w:val="22"/>
        </w:rPr>
        <w:t>can</w:t>
      </w:r>
      <w:r w:rsidRPr="0053049D">
        <w:rPr>
          <w:rFonts w:ascii="Arial" w:eastAsia="Times New Roman" w:hAnsi="Arial" w:cs="Arial"/>
          <w:color w:val="000000" w:themeColor="text1"/>
          <w:sz w:val="22"/>
          <w:szCs w:val="22"/>
        </w:rPr>
        <w:t xml:space="preserve"> use earnings information of firms effectively in setting prices. </w:t>
      </w:r>
    </w:p>
    <w:p w14:paraId="0B5D908E" w14:textId="77777777" w:rsidR="00E2708D" w:rsidRPr="0053049D"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53049D">
        <w:rPr>
          <w:rFonts w:ascii="Arial" w:eastAsia="Times New Roman" w:hAnsi="Arial" w:cs="Arial"/>
          <w:color w:val="000000" w:themeColor="text1"/>
          <w:sz w:val="22"/>
          <w:szCs w:val="22"/>
        </w:rPr>
        <w:t>In general, the results of this study are in line with the available literature, which confirms the fact that financial ratios are valid predictors of firm value, even in the case when macroeconomic shock is involved. Nevertheless, the pandemic increased the importance of profitability and leverage, implying that in a crisis setting, investors redefine the priorities of evaluation. This brings out the dynamic relationship between the fundamentals of the firm and market shocks, the need to constantly follow financial indicators in making investment decisions.</w:t>
      </w:r>
    </w:p>
    <w:p w14:paraId="1F7F4E70" w14:textId="77777777" w:rsidR="00E2708D" w:rsidRPr="00F7201A" w:rsidRDefault="00E2708D" w:rsidP="00E2708D">
      <w:pPr>
        <w:spacing w:beforeAutospacing="1" w:afterAutospacing="1" w:line="360" w:lineRule="auto"/>
        <w:ind w:firstLine="720"/>
        <w:jc w:val="both"/>
        <w:rPr>
          <w:rFonts w:ascii="Arial" w:eastAsia="Times New Roman" w:hAnsi="Arial" w:cs="Arial"/>
          <w:color w:val="000000" w:themeColor="text1"/>
        </w:rPr>
      </w:pPr>
    </w:p>
    <w:p w14:paraId="71F0D0A9" w14:textId="77777777" w:rsidR="00E2708D" w:rsidRPr="00F7201A" w:rsidRDefault="00E2708D" w:rsidP="00E2708D">
      <w:pPr>
        <w:pStyle w:val="Heading1"/>
        <w:jc w:val="center"/>
        <w:rPr>
          <w:rFonts w:ascii="Arial" w:eastAsia="Times New Roman" w:hAnsi="Arial" w:cs="Arial"/>
          <w:b/>
          <w:bCs/>
          <w:color w:val="auto"/>
          <w:sz w:val="36"/>
          <w:szCs w:val="36"/>
        </w:rPr>
      </w:pPr>
      <w:bookmarkStart w:id="47" w:name="_Toc1625960756"/>
      <w:r w:rsidRPr="00F7201A">
        <w:rPr>
          <w:rFonts w:ascii="Arial" w:eastAsia="Times New Roman" w:hAnsi="Arial" w:cs="Arial"/>
          <w:b/>
          <w:bCs/>
          <w:color w:val="auto"/>
          <w:sz w:val="36"/>
          <w:szCs w:val="36"/>
        </w:rPr>
        <w:t>Chapter 5: Summary, Conclusions and Recommendations</w:t>
      </w:r>
      <w:bookmarkEnd w:id="47"/>
    </w:p>
    <w:p w14:paraId="3E81E984"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48" w:name="_Toc689105225"/>
      <w:r w:rsidRPr="00F7201A">
        <w:rPr>
          <w:rFonts w:ascii="Arial" w:eastAsia="Times New Roman" w:hAnsi="Arial" w:cs="Arial"/>
          <w:b/>
          <w:bCs/>
          <w:color w:val="auto"/>
          <w:sz w:val="32"/>
          <w:szCs w:val="32"/>
        </w:rPr>
        <w:t>5.1 Introduction</w:t>
      </w:r>
      <w:bookmarkEnd w:id="48"/>
    </w:p>
    <w:p w14:paraId="18E84C31" w14:textId="12B09370" w:rsidR="00E2708D" w:rsidRPr="00F138FB"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This is the conclusion chapter that summarizes the main conclusions of the study, arrives at conclusions </w:t>
      </w:r>
      <w:r w:rsidR="005A269D" w:rsidRPr="00F138FB">
        <w:rPr>
          <w:rFonts w:ascii="Arial" w:eastAsia="Times New Roman" w:hAnsi="Arial" w:cs="Arial"/>
          <w:color w:val="000000" w:themeColor="text1"/>
          <w:sz w:val="22"/>
          <w:szCs w:val="22"/>
        </w:rPr>
        <w:t>based on</w:t>
      </w:r>
      <w:r w:rsidRPr="00F138FB">
        <w:rPr>
          <w:rFonts w:ascii="Arial" w:eastAsia="Times New Roman" w:hAnsi="Arial" w:cs="Arial"/>
          <w:color w:val="000000" w:themeColor="text1"/>
          <w:sz w:val="22"/>
          <w:szCs w:val="22"/>
        </w:rPr>
        <w:t xml:space="preserve"> the research goals, and provides recommendations useful to </w:t>
      </w:r>
      <w:r w:rsidRPr="00F138FB">
        <w:rPr>
          <w:rFonts w:ascii="Arial" w:eastAsia="Times New Roman" w:hAnsi="Arial" w:cs="Arial"/>
          <w:color w:val="000000" w:themeColor="text1"/>
          <w:sz w:val="22"/>
          <w:szCs w:val="22"/>
        </w:rPr>
        <w:lastRenderedPageBreak/>
        <w:t xml:space="preserve">consumers of the research, policy makers, and the upcoming researchers. This research was aimed at investigating how significant financial ratios (profitability, liquidity, leverage, efficiency and market ratios) can affect the share prices of the UK-listed companies during the 20192023 period. This period was chosen to reflect the impact of the COVID-19 pandemic and the recovery that followed, as it would give an in-depth impression of the interaction between fundamental financial indicators, as well as market valuations, under varying economic conditions. The chapter </w:t>
      </w:r>
      <w:r w:rsidR="005A269D" w:rsidRPr="00F138FB">
        <w:rPr>
          <w:rFonts w:ascii="Arial" w:eastAsia="Times New Roman" w:hAnsi="Arial" w:cs="Arial"/>
          <w:color w:val="000000" w:themeColor="text1"/>
          <w:sz w:val="22"/>
          <w:szCs w:val="22"/>
        </w:rPr>
        <w:t>started</w:t>
      </w:r>
      <w:r w:rsidRPr="00F138FB">
        <w:rPr>
          <w:rFonts w:ascii="Arial" w:eastAsia="Times New Roman" w:hAnsi="Arial" w:cs="Arial"/>
          <w:color w:val="000000" w:themeColor="text1"/>
          <w:sz w:val="22"/>
          <w:szCs w:val="22"/>
        </w:rPr>
        <w:t xml:space="preserve"> by giving a summary of the main findings of both literature review and empirical analysis. It further displays the findings of the study, its implications on both theory and practice and gives a conclusion and suggestions on future research.</w:t>
      </w:r>
    </w:p>
    <w:p w14:paraId="22BFA21C"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49" w:name="_Toc344688733"/>
      <w:r w:rsidRPr="00F7201A">
        <w:rPr>
          <w:rFonts w:ascii="Arial" w:eastAsia="Times New Roman" w:hAnsi="Arial" w:cs="Arial"/>
          <w:b/>
          <w:bCs/>
          <w:color w:val="auto"/>
          <w:sz w:val="32"/>
          <w:szCs w:val="32"/>
        </w:rPr>
        <w:t>5.2 Summary of Key Findings</w:t>
      </w:r>
      <w:bookmarkEnd w:id="49"/>
    </w:p>
    <w:p w14:paraId="2CBAC964" w14:textId="77777777" w:rsidR="00E2708D" w:rsidRPr="00F138FB"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The authors concluded that the financial ratios play a meaningful role in causing movement in share prices in the UK equity market. Share prices had a strong and positive correlation with profitability ratios (ROE and ROA), and it was confirmed that more profitable firms are likely to be valued highly in the market. This result is consistent with the Fundamental Analysis Theory which holds that the intrinsic value of the firm is mainly based on the earnings performance and the return of equity of the firm. </w:t>
      </w:r>
    </w:p>
    <w:p w14:paraId="14CCC42B" w14:textId="77777777" w:rsidR="00E2708D" w:rsidRPr="00F138FB"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Liquidity ratios (current and quick ratio) showed a poor and statistically significant correlation with share prices. This indicates that shareholders in developed markets such as the UK would focus on long-term growth and profitability rather than short-term solvency. This is, however, unlike the results of the emerging economies where liquidity is increasingly vital in investor confidence (Al-Khazali and Mirzaei, 2017).</w:t>
      </w:r>
    </w:p>
    <w:p w14:paraId="0E8E5A00" w14:textId="77777777" w:rsidR="00E2708D" w:rsidRPr="00F138FB" w:rsidRDefault="00E2708D" w:rsidP="00E2708D">
      <w:pPr>
        <w:spacing w:beforeAutospacing="1" w:after="0"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The leverage ratios (debt-to-equity ratio) were found to have a negative and significant impact on share prices, thus suggesting the stronger the higher the ratio in terms of having high debt levels, the more it is assumed as a risk factor by the investor. This observation substantiates the capital structure theory and empirical literature by Modigliani and Miller (1958) that reported that higher leverage decreases the value of the firm because it has high financial risk. </w:t>
      </w:r>
    </w:p>
    <w:p w14:paraId="061F6435" w14:textId="77777777" w:rsidR="00E2708D" w:rsidRPr="00F138FB" w:rsidRDefault="00E2708D" w:rsidP="00E2708D">
      <w:pPr>
        <w:spacing w:beforeAutospacing="1" w:after="0" w:afterAutospacing="1" w:line="360" w:lineRule="auto"/>
        <w:ind w:firstLine="720"/>
        <w:jc w:val="both"/>
        <w:rPr>
          <w:rFonts w:ascii="Arial" w:eastAsia="Times New Roman" w:hAnsi="Arial" w:cs="Arial"/>
          <w:color w:val="000000" w:themeColor="text1"/>
          <w:sz w:val="22"/>
          <w:szCs w:val="22"/>
        </w:rPr>
      </w:pPr>
    </w:p>
    <w:p w14:paraId="7D53ED30" w14:textId="7F46B276" w:rsidR="00E2708D" w:rsidRPr="00F138FB" w:rsidRDefault="00E2708D" w:rsidP="00E2708D">
      <w:pPr>
        <w:spacing w:beforeAutospacing="1" w:after="0"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Efficiency ratios (asset turnover) were positively related to share prices, indicating that firms that effectively </w:t>
      </w:r>
      <w:r w:rsidR="005A269D" w:rsidRPr="00F138FB">
        <w:rPr>
          <w:rFonts w:ascii="Arial" w:eastAsia="Times New Roman" w:hAnsi="Arial" w:cs="Arial"/>
          <w:color w:val="000000" w:themeColor="text1"/>
          <w:sz w:val="22"/>
          <w:szCs w:val="22"/>
        </w:rPr>
        <w:t>utilize</w:t>
      </w:r>
      <w:r w:rsidRPr="00F138FB">
        <w:rPr>
          <w:rFonts w:ascii="Arial" w:eastAsia="Times New Roman" w:hAnsi="Arial" w:cs="Arial"/>
          <w:color w:val="000000" w:themeColor="text1"/>
          <w:sz w:val="22"/>
          <w:szCs w:val="22"/>
        </w:rPr>
        <w:t xml:space="preserve"> their assets to generate revenue are rewarded by the market... In the same way, other market-based ratios like Earnings Per Share (EPS) and Price-to-Earnings (P/E) ratios have also shown positive effects on the stock prices being strong and thus </w:t>
      </w:r>
      <w:r w:rsidRPr="00F138FB">
        <w:rPr>
          <w:rFonts w:ascii="Arial" w:eastAsia="Times New Roman" w:hAnsi="Arial" w:cs="Arial"/>
          <w:color w:val="000000" w:themeColor="text1"/>
          <w:sz w:val="22"/>
          <w:szCs w:val="22"/>
        </w:rPr>
        <w:lastRenderedPageBreak/>
        <w:t xml:space="preserve">asserting the fact that investors are very dependent on earnings in their decision-making processes of investment. </w:t>
      </w:r>
    </w:p>
    <w:p w14:paraId="17BF4386" w14:textId="77777777" w:rsidR="00E2708D" w:rsidRPr="00F138FB" w:rsidRDefault="00E2708D" w:rsidP="00E2708D">
      <w:pPr>
        <w:spacing w:beforeAutospacing="1" w:after="0" w:afterAutospacing="1" w:line="360" w:lineRule="auto"/>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 </w:t>
      </w:r>
    </w:p>
    <w:p w14:paraId="1F8E338A" w14:textId="77777777" w:rsidR="00E2708D" w:rsidRPr="00F138FB" w:rsidRDefault="00E2708D" w:rsidP="00E2708D">
      <w:pPr>
        <w:spacing w:beforeAutospacing="1" w:after="0"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Overall, the results show that profitability, efficiency, and market ratios are the most credible predictors of share price performance in the UK setting. These findings are in line with other researchers like Ohlson (1995), Al-</w:t>
      </w:r>
      <w:proofErr w:type="spellStart"/>
      <w:r w:rsidRPr="00F138FB">
        <w:rPr>
          <w:rFonts w:ascii="Arial" w:eastAsia="Times New Roman" w:hAnsi="Arial" w:cs="Arial"/>
          <w:color w:val="000000" w:themeColor="text1"/>
          <w:sz w:val="22"/>
          <w:szCs w:val="22"/>
        </w:rPr>
        <w:t>Mwalla</w:t>
      </w:r>
      <w:proofErr w:type="spellEnd"/>
      <w:r w:rsidRPr="00F138FB">
        <w:rPr>
          <w:rFonts w:ascii="Arial" w:eastAsia="Times New Roman" w:hAnsi="Arial" w:cs="Arial"/>
          <w:color w:val="000000" w:themeColor="text1"/>
          <w:sz w:val="22"/>
          <w:szCs w:val="22"/>
        </w:rPr>
        <w:t xml:space="preserve"> (2012), and Chen and Zhao (2009) who have equally found out that accounting-based measures are strong predictors of firm valuation. </w:t>
      </w:r>
    </w:p>
    <w:p w14:paraId="2D5BF007"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50" w:name="_Toc588131630"/>
      <w:r w:rsidRPr="00F7201A">
        <w:rPr>
          <w:rFonts w:ascii="Arial" w:eastAsia="Times New Roman" w:hAnsi="Arial" w:cs="Arial"/>
          <w:b/>
          <w:bCs/>
          <w:color w:val="auto"/>
          <w:sz w:val="32"/>
          <w:szCs w:val="32"/>
        </w:rPr>
        <w:t>5.3 Conclusions</w:t>
      </w:r>
      <w:bookmarkEnd w:id="50"/>
    </w:p>
    <w:p w14:paraId="3B140D8B" w14:textId="77777777" w:rsidR="00E2708D" w:rsidRPr="00F138FB"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The study concludes that financial ratios continue to serve as vital tools for evaluating firm performance and determining share price </w:t>
      </w:r>
      <w:proofErr w:type="spellStart"/>
      <w:r w:rsidRPr="00F138FB">
        <w:rPr>
          <w:rFonts w:ascii="Arial" w:eastAsia="Times New Roman" w:hAnsi="Arial" w:cs="Arial"/>
          <w:color w:val="000000" w:themeColor="text1"/>
          <w:sz w:val="22"/>
          <w:szCs w:val="22"/>
        </w:rPr>
        <w:t>behaviour</w:t>
      </w:r>
      <w:proofErr w:type="spellEnd"/>
      <w:r w:rsidRPr="00F138FB">
        <w:rPr>
          <w:rFonts w:ascii="Arial" w:eastAsia="Times New Roman" w:hAnsi="Arial" w:cs="Arial"/>
          <w:color w:val="000000" w:themeColor="text1"/>
          <w:sz w:val="22"/>
          <w:szCs w:val="22"/>
        </w:rPr>
        <w:t xml:space="preserve"> in the UK stock market. The empirical evidence confirms that investors make decisions based on a firm’s profitability, efficiency, and earnings potential, consistent with the principles of Fundamental Analysis Theory... In addition, the results partially prove the Efficient Market Hypothesis (EMH) and prove that share prices use financial information, especially in a stable economy. </w:t>
      </w:r>
    </w:p>
    <w:p w14:paraId="0B584E8A" w14:textId="77777777" w:rsidR="00E2708D" w:rsidRPr="00F138FB"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Nevertheless, the findings also indicate that macroeconomic shocks like the COVID-19 pandemic can temporarily disrupt the efficiency of the market. The pandemic increased the effect of investor sentiment and external forces on share prices compared to conventional financial indicators, which is consistent with Mazur et al. (2021) who found that distortions in global markets are also present. This is an indication that although financial ratios are still important for determinants of firm value, they could lose their explanatory ability during periods of high uncertainty.</w:t>
      </w:r>
    </w:p>
    <w:p w14:paraId="55C9AAB8" w14:textId="77777777" w:rsidR="00E2708D" w:rsidRPr="00F138FB"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Ultimately, the study demonstrates that profitability and leverage are the most critical factors influencing share prices during both stable and turbulent economic conditions. Profitability enhances investor confidence and attracts long-term investment, while high leverage signals potential financial distress, discouraging investors. Efficiency and market ratios further reinforce valuation of accuracy, providing additional insight into firm performance.</w:t>
      </w:r>
    </w:p>
    <w:p w14:paraId="34A74397"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51" w:name="_Toc108056770"/>
      <w:r w:rsidRPr="00F7201A">
        <w:rPr>
          <w:rFonts w:ascii="Arial" w:eastAsia="Times New Roman" w:hAnsi="Arial" w:cs="Arial"/>
          <w:b/>
          <w:bCs/>
          <w:color w:val="auto"/>
          <w:sz w:val="32"/>
          <w:szCs w:val="32"/>
        </w:rPr>
        <w:lastRenderedPageBreak/>
        <w:t>5.4 Implications of the Study</w:t>
      </w:r>
      <w:bookmarkEnd w:id="51"/>
    </w:p>
    <w:p w14:paraId="0FD8BD2B" w14:textId="77777777" w:rsidR="00E2708D" w:rsidRPr="00F7201A" w:rsidRDefault="00E2708D" w:rsidP="00E2708D">
      <w:pPr>
        <w:pStyle w:val="Heading2"/>
        <w:spacing w:line="360" w:lineRule="auto"/>
        <w:rPr>
          <w:rFonts w:ascii="Arial" w:eastAsia="Times New Roman" w:hAnsi="Arial" w:cs="Arial"/>
          <w:b/>
          <w:bCs/>
          <w:color w:val="auto"/>
          <w:sz w:val="28"/>
          <w:szCs w:val="28"/>
        </w:rPr>
      </w:pPr>
      <w:bookmarkStart w:id="52" w:name="_Toc219179110"/>
      <w:r w:rsidRPr="00F7201A">
        <w:rPr>
          <w:rFonts w:ascii="Arial" w:eastAsia="Times New Roman" w:hAnsi="Arial" w:cs="Arial"/>
          <w:b/>
          <w:bCs/>
          <w:color w:val="auto"/>
          <w:sz w:val="28"/>
          <w:szCs w:val="28"/>
        </w:rPr>
        <w:t>5.4.1 Theoretical Implications</w:t>
      </w:r>
      <w:bookmarkEnd w:id="52"/>
    </w:p>
    <w:p w14:paraId="08DDCEC6" w14:textId="77777777" w:rsidR="00E2708D" w:rsidRPr="00F138FB"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This research contributes to the growing literature on the relationship between financial performance indicators and stock market valuation by providing recent empirical evidence from the UK, incorporating the pandemic period (2019–2023). The results strengthen the validity of Fundamental Analysis Theory by confirming that intrinsic firm characteristics continue to explain market valuations. At the same time, the study’s findings nuance the Efficient Market Hypothesis by demonstrating that market efficiency can fluctuate under crisis conditions, leading to temporary mispricing.</w:t>
      </w:r>
    </w:p>
    <w:p w14:paraId="40524597" w14:textId="77777777" w:rsidR="00E2708D" w:rsidRPr="00F7201A" w:rsidRDefault="00E2708D" w:rsidP="00E2708D">
      <w:pPr>
        <w:pStyle w:val="Heading2"/>
        <w:spacing w:line="360" w:lineRule="auto"/>
        <w:rPr>
          <w:rFonts w:ascii="Arial" w:eastAsia="Times New Roman" w:hAnsi="Arial" w:cs="Arial"/>
          <w:b/>
          <w:bCs/>
          <w:color w:val="auto"/>
          <w:sz w:val="24"/>
          <w:szCs w:val="24"/>
        </w:rPr>
      </w:pPr>
      <w:bookmarkStart w:id="53" w:name="_Toc1118690408"/>
      <w:r w:rsidRPr="00F7201A">
        <w:rPr>
          <w:rFonts w:ascii="Arial" w:eastAsia="Times New Roman" w:hAnsi="Arial" w:cs="Arial"/>
          <w:b/>
          <w:bCs/>
          <w:color w:val="auto"/>
        </w:rPr>
        <w:t>5.4.2 Practical Implications</w:t>
      </w:r>
      <w:bookmarkEnd w:id="53"/>
    </w:p>
    <w:p w14:paraId="2F448C85" w14:textId="5F92A474" w:rsidR="00E2708D" w:rsidRPr="00F138FB"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 xml:space="preserve">For investors, the findings </w:t>
      </w:r>
      <w:r w:rsidR="00F138FB" w:rsidRPr="00F138FB">
        <w:rPr>
          <w:rFonts w:ascii="Arial" w:eastAsia="Times New Roman" w:hAnsi="Arial" w:cs="Arial"/>
          <w:color w:val="000000" w:themeColor="text1"/>
          <w:sz w:val="22"/>
          <w:szCs w:val="22"/>
        </w:rPr>
        <w:t>emphasize</w:t>
      </w:r>
      <w:r w:rsidRPr="00F138FB">
        <w:rPr>
          <w:rFonts w:ascii="Arial" w:eastAsia="Times New Roman" w:hAnsi="Arial" w:cs="Arial"/>
          <w:color w:val="000000" w:themeColor="text1"/>
          <w:sz w:val="22"/>
          <w:szCs w:val="22"/>
        </w:rPr>
        <w:t xml:space="preserve"> the importance of focusing on profitability and efficiency indicators when making stock investment decisions. Firms with strong ROE, ROA, and EPS are likely to generate stable returns, even in uncertain economic environments.</w:t>
      </w:r>
    </w:p>
    <w:p w14:paraId="73CF9BE9" w14:textId="77777777" w:rsidR="00E2708D" w:rsidRPr="00F138FB"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For corporate managers, the results suggest that maintaining sustainable profitability and operational efficiency can significantly enhance firm value and investor trust. Firms should also manage leverage prudently to avoid investor skepticism. For policy makers and regulators, the study highlights the need to enhance financial transparency and reporting accuracy, particularly during crises, to support informed investment decisions and strengthen market stability.</w:t>
      </w:r>
    </w:p>
    <w:p w14:paraId="7E9D326D" w14:textId="77777777" w:rsidR="00E2708D" w:rsidRPr="00F7201A" w:rsidRDefault="00E2708D" w:rsidP="00E2708D">
      <w:pPr>
        <w:pStyle w:val="Heading2"/>
        <w:spacing w:line="360" w:lineRule="auto"/>
        <w:rPr>
          <w:rFonts w:ascii="Arial" w:eastAsia="Times New Roman" w:hAnsi="Arial" w:cs="Arial"/>
          <w:b/>
          <w:bCs/>
          <w:color w:val="auto"/>
          <w:sz w:val="24"/>
          <w:szCs w:val="24"/>
        </w:rPr>
      </w:pPr>
      <w:bookmarkStart w:id="54" w:name="_Toc59974277"/>
      <w:r w:rsidRPr="00F7201A">
        <w:rPr>
          <w:rFonts w:ascii="Arial" w:eastAsia="Times New Roman" w:hAnsi="Arial" w:cs="Arial"/>
          <w:b/>
          <w:bCs/>
          <w:color w:val="auto"/>
        </w:rPr>
        <w:t>5.4.3 Methodological Implications</w:t>
      </w:r>
      <w:bookmarkEnd w:id="54"/>
    </w:p>
    <w:p w14:paraId="6FA4784E" w14:textId="77777777" w:rsidR="00E2708D" w:rsidRPr="00F138FB"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The study also demonstrates the relevance of quantitative methods such as correlation and regression analysis for evaluating the relationship between financial performance and market outcomes. By adopting a positive and deductive approach, the research shows that financial ratio analysis remains a robust methodological framework for empirical financial studies.</w:t>
      </w:r>
    </w:p>
    <w:p w14:paraId="13A83A28"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55" w:name="_Toc857428313"/>
      <w:r w:rsidRPr="00F7201A">
        <w:rPr>
          <w:rFonts w:ascii="Arial" w:eastAsia="Times New Roman" w:hAnsi="Arial" w:cs="Arial"/>
          <w:b/>
          <w:bCs/>
          <w:color w:val="auto"/>
          <w:sz w:val="32"/>
          <w:szCs w:val="32"/>
        </w:rPr>
        <w:t>5.5 Recommendations</w:t>
      </w:r>
      <w:bookmarkEnd w:id="55"/>
    </w:p>
    <w:p w14:paraId="37CBC0B6" w14:textId="77777777" w:rsidR="00E2708D" w:rsidRPr="00F138FB" w:rsidRDefault="00E2708D" w:rsidP="00E2708D">
      <w:pPr>
        <w:spacing w:beforeAutospacing="1" w:afterAutospacing="1" w:line="360" w:lineRule="auto"/>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Based on the findings, several recommendations are proposed:</w:t>
      </w:r>
    </w:p>
    <w:p w14:paraId="1EACD817" w14:textId="77777777" w:rsidR="00E2708D" w:rsidRPr="00922C9E" w:rsidRDefault="00E2708D" w:rsidP="00922C9E">
      <w:pPr>
        <w:spacing w:beforeAutospacing="1" w:afterAutospacing="1" w:line="360" w:lineRule="auto"/>
        <w:jc w:val="both"/>
        <w:rPr>
          <w:rFonts w:ascii="Arial" w:eastAsia="Times New Roman" w:hAnsi="Arial" w:cs="Arial"/>
          <w:color w:val="000000" w:themeColor="text1"/>
          <w:sz w:val="22"/>
          <w:szCs w:val="22"/>
        </w:rPr>
      </w:pPr>
      <w:r w:rsidRPr="00922C9E">
        <w:rPr>
          <w:rFonts w:ascii="Arial" w:eastAsia="Times New Roman" w:hAnsi="Arial" w:cs="Arial"/>
          <w:b/>
          <w:bCs/>
          <w:color w:val="000000" w:themeColor="text1"/>
          <w:sz w:val="22"/>
          <w:szCs w:val="22"/>
        </w:rPr>
        <w:lastRenderedPageBreak/>
        <w:t>For Investors: Investors</w:t>
      </w:r>
      <w:r w:rsidRPr="00922C9E">
        <w:rPr>
          <w:rFonts w:ascii="Arial" w:eastAsia="Times New Roman" w:hAnsi="Arial" w:cs="Arial"/>
          <w:color w:val="000000" w:themeColor="text1"/>
          <w:sz w:val="22"/>
          <w:szCs w:val="22"/>
        </w:rPr>
        <w:t xml:space="preserve"> should base their decisions on a comprehensive evaluation of profitability and efficiency ratios, as these are proven indicators of long-term firm value. They should also remain cautious of firms with high leverage, especially during economic uncertainty.</w:t>
      </w:r>
    </w:p>
    <w:p w14:paraId="67EAB941" w14:textId="77777777" w:rsidR="00E2708D" w:rsidRPr="00922C9E" w:rsidRDefault="00E2708D" w:rsidP="00922C9E">
      <w:pPr>
        <w:spacing w:beforeAutospacing="1" w:afterAutospacing="1" w:line="360" w:lineRule="auto"/>
        <w:jc w:val="both"/>
        <w:rPr>
          <w:rFonts w:ascii="Arial" w:eastAsia="Times New Roman" w:hAnsi="Arial" w:cs="Arial"/>
          <w:color w:val="000000" w:themeColor="text1"/>
          <w:sz w:val="22"/>
          <w:szCs w:val="22"/>
        </w:rPr>
      </w:pPr>
      <w:r w:rsidRPr="00922C9E">
        <w:rPr>
          <w:rFonts w:ascii="Arial" w:eastAsia="Times New Roman" w:hAnsi="Arial" w:cs="Arial"/>
          <w:b/>
          <w:bCs/>
          <w:color w:val="000000" w:themeColor="text1"/>
          <w:sz w:val="22"/>
          <w:szCs w:val="22"/>
        </w:rPr>
        <w:t>For Corporate Management:</w:t>
      </w:r>
      <w:r w:rsidRPr="00922C9E">
        <w:rPr>
          <w:rFonts w:ascii="Arial" w:eastAsia="Times New Roman" w:hAnsi="Arial" w:cs="Arial"/>
          <w:color w:val="000000" w:themeColor="text1"/>
          <w:sz w:val="22"/>
          <w:szCs w:val="22"/>
        </w:rPr>
        <w:t xml:space="preserve"> Companies should focus on strategies that enhance profitability and asset utilization efficiency, such as innovation, cost </w:t>
      </w:r>
      <w:proofErr w:type="spellStart"/>
      <w:r w:rsidRPr="00922C9E">
        <w:rPr>
          <w:rFonts w:ascii="Arial" w:eastAsia="Times New Roman" w:hAnsi="Arial" w:cs="Arial"/>
          <w:color w:val="000000" w:themeColor="text1"/>
          <w:sz w:val="22"/>
          <w:szCs w:val="22"/>
        </w:rPr>
        <w:t>optimisation</w:t>
      </w:r>
      <w:proofErr w:type="spellEnd"/>
      <w:r w:rsidRPr="00922C9E">
        <w:rPr>
          <w:rFonts w:ascii="Arial" w:eastAsia="Times New Roman" w:hAnsi="Arial" w:cs="Arial"/>
          <w:color w:val="000000" w:themeColor="text1"/>
          <w:sz w:val="22"/>
          <w:szCs w:val="22"/>
        </w:rPr>
        <w:t>, and improved capital management. Maintaining an optimal capital structure with controlled debt levels will improve market confidence.</w:t>
      </w:r>
    </w:p>
    <w:p w14:paraId="32D1D6B8" w14:textId="77777777" w:rsidR="00E2708D" w:rsidRPr="00922C9E" w:rsidRDefault="00E2708D" w:rsidP="00922C9E">
      <w:pPr>
        <w:spacing w:beforeAutospacing="1" w:afterAutospacing="1" w:line="360" w:lineRule="auto"/>
        <w:jc w:val="both"/>
        <w:rPr>
          <w:rFonts w:ascii="Arial" w:eastAsia="Times New Roman" w:hAnsi="Arial" w:cs="Arial"/>
          <w:color w:val="000000" w:themeColor="text1"/>
          <w:sz w:val="22"/>
          <w:szCs w:val="22"/>
        </w:rPr>
      </w:pPr>
      <w:r w:rsidRPr="00922C9E">
        <w:rPr>
          <w:rFonts w:ascii="Arial" w:eastAsia="Times New Roman" w:hAnsi="Arial" w:cs="Arial"/>
          <w:b/>
          <w:bCs/>
          <w:color w:val="000000" w:themeColor="text1"/>
          <w:sz w:val="22"/>
          <w:szCs w:val="22"/>
        </w:rPr>
        <w:t>For Policymakers and Regulators:</w:t>
      </w:r>
      <w:r w:rsidRPr="00922C9E">
        <w:rPr>
          <w:rFonts w:ascii="Arial" w:eastAsia="Times New Roman" w:hAnsi="Arial" w:cs="Arial"/>
          <w:color w:val="000000" w:themeColor="text1"/>
          <w:sz w:val="22"/>
          <w:szCs w:val="22"/>
        </w:rPr>
        <w:t xml:space="preserve"> Regulators such as the Financial Conduct Authority (FCA) should ensure continuous disclosure and transparency of financial performance indicators. Enhanced financial reporting standards can help maintain market confidence, particularly during disruptive events like pandemics.</w:t>
      </w:r>
    </w:p>
    <w:p w14:paraId="37271E18" w14:textId="77777777" w:rsidR="00E2708D" w:rsidRPr="00922C9E" w:rsidRDefault="00E2708D" w:rsidP="00922C9E">
      <w:pPr>
        <w:spacing w:beforeAutospacing="1" w:afterAutospacing="1" w:line="360" w:lineRule="auto"/>
        <w:jc w:val="both"/>
        <w:rPr>
          <w:rFonts w:ascii="Arial" w:eastAsia="Times New Roman" w:hAnsi="Arial" w:cs="Arial"/>
          <w:color w:val="000000" w:themeColor="text1"/>
          <w:sz w:val="22"/>
          <w:szCs w:val="22"/>
        </w:rPr>
      </w:pPr>
      <w:r w:rsidRPr="00922C9E">
        <w:rPr>
          <w:rFonts w:ascii="Arial" w:eastAsia="Times New Roman" w:hAnsi="Arial" w:cs="Arial"/>
          <w:b/>
          <w:bCs/>
          <w:color w:val="000000" w:themeColor="text1"/>
          <w:sz w:val="22"/>
          <w:szCs w:val="22"/>
        </w:rPr>
        <w:t>For Future Research:</w:t>
      </w:r>
      <w:r w:rsidRPr="00922C9E">
        <w:rPr>
          <w:rFonts w:ascii="Arial" w:eastAsia="Times New Roman" w:hAnsi="Arial" w:cs="Arial"/>
          <w:color w:val="000000" w:themeColor="text1"/>
          <w:sz w:val="22"/>
          <w:szCs w:val="22"/>
        </w:rPr>
        <w:t xml:space="preserve"> Future studies should expand the dataset to include a longer timeframe and other financial markets to allow comparative analysis. Researchers may also integrate behavioral finance perspectives to examine how investor psychology interacts with firm fundamentals in determining share prices.</w:t>
      </w:r>
    </w:p>
    <w:p w14:paraId="72BA62F8" w14:textId="77777777" w:rsidR="00E2708D" w:rsidRPr="00F7201A" w:rsidRDefault="00E2708D" w:rsidP="00E2708D">
      <w:pPr>
        <w:pStyle w:val="Heading1"/>
        <w:spacing w:line="360" w:lineRule="auto"/>
        <w:jc w:val="center"/>
        <w:rPr>
          <w:rFonts w:ascii="Arial" w:eastAsia="Times New Roman" w:hAnsi="Arial" w:cs="Arial"/>
          <w:b/>
          <w:bCs/>
          <w:color w:val="auto"/>
          <w:sz w:val="32"/>
          <w:szCs w:val="32"/>
        </w:rPr>
      </w:pPr>
      <w:bookmarkStart w:id="56" w:name="_Toc466781419"/>
      <w:r w:rsidRPr="00F7201A">
        <w:rPr>
          <w:rFonts w:ascii="Arial" w:eastAsia="Times New Roman" w:hAnsi="Arial" w:cs="Arial"/>
          <w:b/>
          <w:bCs/>
          <w:color w:val="auto"/>
          <w:sz w:val="32"/>
          <w:szCs w:val="32"/>
        </w:rPr>
        <w:t>5.6 Summary</w:t>
      </w:r>
      <w:bookmarkEnd w:id="56"/>
    </w:p>
    <w:p w14:paraId="7373C5A4" w14:textId="77777777" w:rsidR="00E2708D" w:rsidRPr="00F138FB" w:rsidRDefault="00E2708D" w:rsidP="00E2708D">
      <w:pPr>
        <w:spacing w:beforeAutospacing="1" w:afterAutospacing="1" w:line="360" w:lineRule="auto"/>
        <w:ind w:firstLine="720"/>
        <w:jc w:val="both"/>
        <w:rPr>
          <w:rFonts w:ascii="Arial" w:eastAsia="Times New Roman" w:hAnsi="Arial" w:cs="Arial"/>
          <w:color w:val="000000" w:themeColor="text1"/>
          <w:sz w:val="22"/>
          <w:szCs w:val="22"/>
        </w:rPr>
      </w:pPr>
      <w:r w:rsidRPr="00F138FB">
        <w:rPr>
          <w:rFonts w:ascii="Arial" w:eastAsia="Times New Roman" w:hAnsi="Arial" w:cs="Arial"/>
          <w:color w:val="000000" w:themeColor="text1"/>
          <w:sz w:val="22"/>
          <w:szCs w:val="22"/>
        </w:rPr>
        <w:t>In summary, this study concludes that financial ratios, particularly profitability and market-based measures, remain reliable predictors of share prices in the UK market, amidst global disruptions like COVID-19. The study validates the continuing relevance of Fundamental Analysis in explaining market valuations and provides both theoretical and practical insights for investors, firms, and policymakers. Efficiency highlights that while markets are generally efficient, their efficiency is sensitive to external shocks, emphasizing the need for continuous evaluation of firm fundamentals in dynamic economic environments</w:t>
      </w:r>
    </w:p>
    <w:p w14:paraId="7D276621" w14:textId="77777777" w:rsidR="00E2708D" w:rsidRDefault="00E2708D"/>
    <w:sectPr w:rsidR="00E270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5EC8"/>
    <w:multiLevelType w:val="multilevel"/>
    <w:tmpl w:val="E280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6620F"/>
    <w:multiLevelType w:val="multilevel"/>
    <w:tmpl w:val="4582F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2236DA"/>
    <w:multiLevelType w:val="multilevel"/>
    <w:tmpl w:val="FFFFFFFF"/>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FF029EF"/>
    <w:multiLevelType w:val="multilevel"/>
    <w:tmpl w:val="CFAA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A4B68D"/>
    <w:multiLevelType w:val="multilevel"/>
    <w:tmpl w:val="FFFFFFFF"/>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554F0A7"/>
    <w:multiLevelType w:val="multilevel"/>
    <w:tmpl w:val="FFFFFFFF"/>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3D87D68"/>
    <w:multiLevelType w:val="multilevel"/>
    <w:tmpl w:val="FFFFFFFF"/>
    <w:lvl w:ilvl="0">
      <w:start w:val="1"/>
      <w:numFmt w:val="bullet"/>
      <w:lvlText w:val=""/>
      <w:lvlJc w:val="left"/>
      <w:pPr>
        <w:ind w:left="927" w:hanging="360"/>
      </w:pPr>
      <w:rPr>
        <w:rFonts w:ascii="Symbol" w:hAnsi="Symbol" w:hint="default"/>
      </w:rPr>
    </w:lvl>
    <w:lvl w:ilvl="1">
      <w:start w:val="1"/>
      <w:numFmt w:val="bullet"/>
      <w:lvlText w:val="o"/>
      <w:lvlJc w:val="left"/>
      <w:pPr>
        <w:ind w:left="1647" w:hanging="360"/>
      </w:pPr>
      <w:rPr>
        <w:rFonts w:ascii="Courier New" w:hAnsi="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hint="default"/>
      </w:rPr>
    </w:lvl>
    <w:lvl w:ilvl="8">
      <w:start w:val="1"/>
      <w:numFmt w:val="bullet"/>
      <w:lvlText w:val=""/>
      <w:lvlJc w:val="left"/>
      <w:pPr>
        <w:ind w:left="6687" w:hanging="360"/>
      </w:pPr>
      <w:rPr>
        <w:rFonts w:ascii="Wingdings" w:hAnsi="Wingdings" w:hint="default"/>
      </w:rPr>
    </w:lvl>
  </w:abstractNum>
  <w:abstractNum w:abstractNumId="7" w15:restartNumberingAfterBreak="0">
    <w:nsid w:val="673F236E"/>
    <w:multiLevelType w:val="multilevel"/>
    <w:tmpl w:val="E640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D348B4"/>
    <w:multiLevelType w:val="multilevel"/>
    <w:tmpl w:val="F05C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311F54"/>
    <w:multiLevelType w:val="multilevel"/>
    <w:tmpl w:val="18444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182870"/>
    <w:multiLevelType w:val="multilevel"/>
    <w:tmpl w:val="181A1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036471"/>
    <w:multiLevelType w:val="multilevel"/>
    <w:tmpl w:val="0060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4654071">
    <w:abstractNumId w:val="6"/>
  </w:num>
  <w:num w:numId="2" w16cid:durableId="700276932">
    <w:abstractNumId w:val="2"/>
  </w:num>
  <w:num w:numId="3" w16cid:durableId="596600057">
    <w:abstractNumId w:val="4"/>
  </w:num>
  <w:num w:numId="4" w16cid:durableId="1487163067">
    <w:abstractNumId w:val="5"/>
  </w:num>
  <w:num w:numId="5" w16cid:durableId="108666760">
    <w:abstractNumId w:val="3"/>
  </w:num>
  <w:num w:numId="6" w16cid:durableId="331880775">
    <w:abstractNumId w:val="8"/>
  </w:num>
  <w:num w:numId="7" w16cid:durableId="1976060753">
    <w:abstractNumId w:val="9"/>
  </w:num>
  <w:num w:numId="8" w16cid:durableId="1916893498">
    <w:abstractNumId w:val="1"/>
  </w:num>
  <w:num w:numId="9" w16cid:durableId="155919161">
    <w:abstractNumId w:val="0"/>
  </w:num>
  <w:num w:numId="10" w16cid:durableId="2104493390">
    <w:abstractNumId w:val="7"/>
  </w:num>
  <w:num w:numId="11" w16cid:durableId="1323241955">
    <w:abstractNumId w:val="11"/>
  </w:num>
  <w:num w:numId="12" w16cid:durableId="18487882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08D"/>
    <w:rsid w:val="000D28E2"/>
    <w:rsid w:val="000D6E93"/>
    <w:rsid w:val="000E5758"/>
    <w:rsid w:val="000E5E5C"/>
    <w:rsid w:val="001068B6"/>
    <w:rsid w:val="0012338D"/>
    <w:rsid w:val="00162FBA"/>
    <w:rsid w:val="001D1311"/>
    <w:rsid w:val="002623C2"/>
    <w:rsid w:val="00320265"/>
    <w:rsid w:val="003D00F8"/>
    <w:rsid w:val="00444342"/>
    <w:rsid w:val="004D3FFA"/>
    <w:rsid w:val="00512E8D"/>
    <w:rsid w:val="0053049D"/>
    <w:rsid w:val="005A269D"/>
    <w:rsid w:val="00650221"/>
    <w:rsid w:val="00682075"/>
    <w:rsid w:val="00711BD9"/>
    <w:rsid w:val="0071654B"/>
    <w:rsid w:val="007867B0"/>
    <w:rsid w:val="00790048"/>
    <w:rsid w:val="00857449"/>
    <w:rsid w:val="008628CC"/>
    <w:rsid w:val="00922C9E"/>
    <w:rsid w:val="009A5537"/>
    <w:rsid w:val="009E73E7"/>
    <w:rsid w:val="00B07153"/>
    <w:rsid w:val="00B15E29"/>
    <w:rsid w:val="00BA13CB"/>
    <w:rsid w:val="00BE06A4"/>
    <w:rsid w:val="00BF3E54"/>
    <w:rsid w:val="00C758A6"/>
    <w:rsid w:val="00CA393C"/>
    <w:rsid w:val="00D64D22"/>
    <w:rsid w:val="00E2708D"/>
    <w:rsid w:val="00E3707E"/>
    <w:rsid w:val="00EB3539"/>
    <w:rsid w:val="00ED12BE"/>
    <w:rsid w:val="00F138FB"/>
    <w:rsid w:val="00F72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A2286"/>
  <w15:chartTrackingRefBased/>
  <w15:docId w15:val="{134F2C82-9EC1-4C12-9C56-9383006B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08D"/>
    <w:rPr>
      <w:lang w:val="en-US"/>
    </w:rPr>
  </w:style>
  <w:style w:type="paragraph" w:styleId="Heading1">
    <w:name w:val="heading 1"/>
    <w:basedOn w:val="Normal"/>
    <w:next w:val="Normal"/>
    <w:link w:val="Heading1Char"/>
    <w:uiPriority w:val="9"/>
    <w:qFormat/>
    <w:rsid w:val="00E27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7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270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0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0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0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0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0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0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7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270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0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0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08D"/>
    <w:rPr>
      <w:rFonts w:eastAsiaTheme="majorEastAsia" w:cstheme="majorBidi"/>
      <w:color w:val="272727" w:themeColor="text1" w:themeTint="D8"/>
    </w:rPr>
  </w:style>
  <w:style w:type="paragraph" w:styleId="Title">
    <w:name w:val="Title"/>
    <w:basedOn w:val="Normal"/>
    <w:next w:val="Normal"/>
    <w:link w:val="TitleChar"/>
    <w:uiPriority w:val="10"/>
    <w:qFormat/>
    <w:rsid w:val="00E270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0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08D"/>
    <w:pPr>
      <w:spacing w:before="160"/>
      <w:jc w:val="center"/>
    </w:pPr>
    <w:rPr>
      <w:i/>
      <w:iCs/>
      <w:color w:val="404040" w:themeColor="text1" w:themeTint="BF"/>
    </w:rPr>
  </w:style>
  <w:style w:type="character" w:customStyle="1" w:styleId="QuoteChar">
    <w:name w:val="Quote Char"/>
    <w:basedOn w:val="DefaultParagraphFont"/>
    <w:link w:val="Quote"/>
    <w:uiPriority w:val="29"/>
    <w:rsid w:val="00E2708D"/>
    <w:rPr>
      <w:i/>
      <w:iCs/>
      <w:color w:val="404040" w:themeColor="text1" w:themeTint="BF"/>
    </w:rPr>
  </w:style>
  <w:style w:type="paragraph" w:styleId="ListParagraph">
    <w:name w:val="List Paragraph"/>
    <w:basedOn w:val="Normal"/>
    <w:uiPriority w:val="34"/>
    <w:qFormat/>
    <w:rsid w:val="00E2708D"/>
    <w:pPr>
      <w:ind w:left="720"/>
      <w:contextualSpacing/>
    </w:pPr>
  </w:style>
  <w:style w:type="character" w:styleId="IntenseEmphasis">
    <w:name w:val="Intense Emphasis"/>
    <w:basedOn w:val="DefaultParagraphFont"/>
    <w:uiPriority w:val="21"/>
    <w:qFormat/>
    <w:rsid w:val="00E2708D"/>
    <w:rPr>
      <w:i/>
      <w:iCs/>
      <w:color w:val="0F4761" w:themeColor="accent1" w:themeShade="BF"/>
    </w:rPr>
  </w:style>
  <w:style w:type="paragraph" w:styleId="IntenseQuote">
    <w:name w:val="Intense Quote"/>
    <w:basedOn w:val="Normal"/>
    <w:next w:val="Normal"/>
    <w:link w:val="IntenseQuoteChar"/>
    <w:uiPriority w:val="30"/>
    <w:qFormat/>
    <w:rsid w:val="00E27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08D"/>
    <w:rPr>
      <w:i/>
      <w:iCs/>
      <w:color w:val="0F4761" w:themeColor="accent1" w:themeShade="BF"/>
    </w:rPr>
  </w:style>
  <w:style w:type="character" w:styleId="IntenseReference">
    <w:name w:val="Intense Reference"/>
    <w:basedOn w:val="DefaultParagraphFont"/>
    <w:uiPriority w:val="32"/>
    <w:qFormat/>
    <w:rsid w:val="00E2708D"/>
    <w:rPr>
      <w:b/>
      <w:bCs/>
      <w:smallCaps/>
      <w:color w:val="0F4761" w:themeColor="accent1" w:themeShade="BF"/>
      <w:spacing w:val="5"/>
    </w:rPr>
  </w:style>
  <w:style w:type="paragraph" w:styleId="NormalWeb">
    <w:name w:val="Normal (Web)"/>
    <w:basedOn w:val="Normal"/>
    <w:uiPriority w:val="99"/>
    <w:unhideWhenUsed/>
    <w:rsid w:val="00E2708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2708D"/>
    <w:rPr>
      <w:b/>
      <w:bCs/>
    </w:rPr>
  </w:style>
  <w:style w:type="table" w:styleId="TableGrid">
    <w:name w:val="Table Grid"/>
    <w:basedOn w:val="TableNormal"/>
    <w:uiPriority w:val="59"/>
    <w:rsid w:val="00E2708D"/>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28</Pages>
  <Words>8384</Words>
  <Characters>50726</Characters>
  <Application>Microsoft Office Word</Application>
  <DocSecurity>0</DocSecurity>
  <Lines>939</Lines>
  <Paragraphs>431</Paragraphs>
  <ScaleCrop>false</ScaleCrop>
  <Company/>
  <LinksUpToDate>false</LinksUpToDate>
  <CharactersWithSpaces>58679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Andzhela Toneva (2217837)</dc:creator>
  <cp:keywords/>
  <dc:description/>
  <cp:lastModifiedBy>Andzhela Toneva (2217837)</cp:lastModifiedBy>
  <cp:revision>29</cp:revision>
  <dcterms:created xsi:type="dcterms:W3CDTF">2025-11-11T17:36:00Z</dcterms:created>
  <dcterms:modified xsi:type="dcterms:W3CDTF">2025-11-14T14:56:00Z</dcterms:modified>
</cp:coreProperties>
</file>