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0C559DB" w14:textId="77777777" w:rsidR="000C2202" w:rsidRDefault="00DA46A9">
      <w:pPr>
        <w:spacing w:after="1280" w:line="240" w:lineRule="auto"/>
        <w:jc w:val="center"/>
      </w:pPr>
      <w:r>
        <w:rPr>
          <w:rFonts w:ascii="Times New Roman" w:eastAsia="Calibri" w:hAnsi="Times New Roman"/>
          <w:b/>
          <w:noProof/>
          <w:kern w:val="0"/>
          <w:sz w:val="28"/>
          <w:szCs w:val="22"/>
          <w:lang w:val="en-US"/>
        </w:rPr>
        <w:drawing>
          <wp:inline distT="0" distB="0" distL="0" distR="0" wp14:anchorId="692B851F" wp14:editId="459EEDB3">
            <wp:extent cx="2798521" cy="1530815"/>
            <wp:effectExtent l="0" t="0" r="1829" b="0"/>
            <wp:docPr id="1293296245"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798521" cy="1530815"/>
                    </a:xfrm>
                    <a:prstGeom prst="rect">
                      <a:avLst/>
                    </a:prstGeom>
                    <a:noFill/>
                    <a:ln>
                      <a:noFill/>
                      <a:prstDash/>
                    </a:ln>
                  </pic:spPr>
                </pic:pic>
              </a:graphicData>
            </a:graphic>
          </wp:inline>
        </w:drawing>
      </w:r>
    </w:p>
    <w:p w14:paraId="0E1500ED" w14:textId="77777777" w:rsidR="000C2202" w:rsidRDefault="00DA46A9">
      <w:pPr>
        <w:spacing w:after="1280" w:line="240" w:lineRule="auto"/>
        <w:jc w:val="center"/>
        <w:rPr>
          <w:rFonts w:ascii="Arial" w:eastAsia="Arial" w:hAnsi="Arial"/>
          <w:kern w:val="0"/>
          <w:szCs w:val="22"/>
        </w:rPr>
      </w:pPr>
      <w:r>
        <w:rPr>
          <w:rFonts w:ascii="Arial" w:eastAsia="Arial" w:hAnsi="Arial"/>
          <w:kern w:val="0"/>
          <w:szCs w:val="22"/>
        </w:rPr>
        <w:t>LCBB6014 — Dissertation (Component 2, 90%)</w:t>
      </w:r>
    </w:p>
    <w:p w14:paraId="56D139D2" w14:textId="77777777" w:rsidR="000C2202" w:rsidRDefault="00DA46A9">
      <w:pPr>
        <w:spacing w:after="960" w:line="240" w:lineRule="auto"/>
        <w:jc w:val="center"/>
      </w:pPr>
      <w:r>
        <w:rPr>
          <w:rFonts w:ascii="Arial" w:eastAsia="Arial" w:hAnsi="Arial"/>
          <w:b/>
          <w:kern w:val="0"/>
          <w:szCs w:val="22"/>
        </w:rPr>
        <w:t>Evaluating the Impact of AI-Powered Customer Service Chatbots on Customer Satisfaction in the UK Supermarket Sector: Tesco as a Case Study</w:t>
      </w:r>
    </w:p>
    <w:p w14:paraId="33A41032" w14:textId="77777777" w:rsidR="000C2202" w:rsidRDefault="00DA46A9">
      <w:pPr>
        <w:spacing w:after="1280" w:line="240" w:lineRule="auto"/>
        <w:jc w:val="center"/>
      </w:pPr>
      <w:r>
        <w:rPr>
          <w:rFonts w:ascii="Arial" w:eastAsia="Arial" w:hAnsi="Arial"/>
          <w:i/>
          <w:kern w:val="0"/>
          <w:szCs w:val="22"/>
        </w:rPr>
        <w:t>A dissertation submitted in partial fulfilment of the requirements for the degree of BA (Hons) Business Management.</w:t>
      </w:r>
    </w:p>
    <w:p w14:paraId="380E1F03" w14:textId="77777777" w:rsidR="000C2202" w:rsidRDefault="00DA46A9">
      <w:pPr>
        <w:spacing w:after="80" w:line="240" w:lineRule="auto"/>
        <w:jc w:val="center"/>
      </w:pPr>
      <w:r>
        <w:rPr>
          <w:rFonts w:ascii="Arial" w:eastAsia="Arial" w:hAnsi="Arial"/>
          <w:b/>
          <w:kern w:val="0"/>
          <w:szCs w:val="22"/>
        </w:rPr>
        <w:t xml:space="preserve">Student Name:  </w:t>
      </w:r>
      <w:r>
        <w:rPr>
          <w:rFonts w:ascii="Arial" w:eastAsia="Arial" w:hAnsi="Arial"/>
          <w:kern w:val="0"/>
          <w:szCs w:val="22"/>
        </w:rPr>
        <w:t>Adrian Daniel Roman</w:t>
      </w:r>
    </w:p>
    <w:p w14:paraId="10C88F8F" w14:textId="77777777" w:rsidR="000C2202" w:rsidRDefault="00DA46A9">
      <w:pPr>
        <w:spacing w:after="80" w:line="240" w:lineRule="auto"/>
        <w:jc w:val="center"/>
      </w:pPr>
      <w:r>
        <w:rPr>
          <w:rFonts w:ascii="Arial" w:eastAsia="Arial" w:hAnsi="Arial"/>
          <w:b/>
          <w:kern w:val="0"/>
          <w:szCs w:val="22"/>
        </w:rPr>
        <w:t xml:space="preserve">Student ID: </w:t>
      </w:r>
      <w:r>
        <w:rPr>
          <w:rFonts w:ascii="Arial" w:eastAsia="Arial" w:hAnsi="Arial"/>
          <w:kern w:val="0"/>
          <w:szCs w:val="22"/>
        </w:rPr>
        <w:t>2312879</w:t>
      </w:r>
    </w:p>
    <w:p w14:paraId="79380FC7" w14:textId="77777777" w:rsidR="000C2202" w:rsidRDefault="00DA46A9">
      <w:pPr>
        <w:spacing w:after="80" w:line="240" w:lineRule="auto"/>
        <w:jc w:val="center"/>
      </w:pPr>
      <w:r>
        <w:rPr>
          <w:rFonts w:ascii="Arial" w:eastAsia="Arial" w:hAnsi="Arial"/>
          <w:b/>
          <w:kern w:val="0"/>
          <w:szCs w:val="22"/>
        </w:rPr>
        <w:t xml:space="preserve">Module Code:  </w:t>
      </w:r>
      <w:r>
        <w:rPr>
          <w:rFonts w:ascii="Arial" w:eastAsia="Arial" w:hAnsi="Arial"/>
          <w:kern w:val="0"/>
          <w:szCs w:val="22"/>
        </w:rPr>
        <w:t>LCBB6014</w:t>
      </w:r>
    </w:p>
    <w:p w14:paraId="76C23349" w14:textId="77777777" w:rsidR="000C2202" w:rsidRDefault="00DA46A9">
      <w:pPr>
        <w:spacing w:after="80" w:line="240" w:lineRule="auto"/>
        <w:jc w:val="center"/>
      </w:pPr>
      <w:r>
        <w:rPr>
          <w:rFonts w:ascii="Arial" w:eastAsia="Arial" w:hAnsi="Arial"/>
          <w:b/>
          <w:kern w:val="0"/>
          <w:szCs w:val="22"/>
        </w:rPr>
        <w:t xml:space="preserve">Module Title:  </w:t>
      </w:r>
      <w:r>
        <w:rPr>
          <w:rFonts w:ascii="Arial" w:eastAsia="Arial" w:hAnsi="Arial"/>
          <w:kern w:val="0"/>
          <w:szCs w:val="22"/>
        </w:rPr>
        <w:t>Dissertation</w:t>
      </w:r>
    </w:p>
    <w:p w14:paraId="13366A3D" w14:textId="77777777" w:rsidR="000C2202" w:rsidRDefault="00DA46A9">
      <w:pPr>
        <w:spacing w:after="80" w:line="240" w:lineRule="auto"/>
        <w:jc w:val="center"/>
      </w:pPr>
      <w:r>
        <w:rPr>
          <w:rFonts w:ascii="Arial" w:eastAsia="Arial" w:hAnsi="Arial"/>
          <w:b/>
          <w:kern w:val="0"/>
          <w:szCs w:val="22"/>
        </w:rPr>
        <w:t xml:space="preserve">Internal Verifier:  </w:t>
      </w:r>
      <w:r>
        <w:rPr>
          <w:rFonts w:ascii="Arial" w:eastAsia="Arial" w:hAnsi="Arial"/>
          <w:kern w:val="0"/>
          <w:szCs w:val="22"/>
        </w:rPr>
        <w:t>Dr Anupam Mazumdar</w:t>
      </w:r>
    </w:p>
    <w:p w14:paraId="29965D3C" w14:textId="77777777" w:rsidR="000C2202" w:rsidRDefault="000C2202">
      <w:pPr>
        <w:spacing w:after="80" w:line="240" w:lineRule="auto"/>
        <w:jc w:val="center"/>
        <w:rPr>
          <w:rFonts w:ascii="Arial" w:eastAsia="Arial" w:hAnsi="Arial"/>
          <w:b/>
          <w:kern w:val="0"/>
          <w:szCs w:val="22"/>
        </w:rPr>
      </w:pPr>
    </w:p>
    <w:p w14:paraId="08838DAF" w14:textId="77777777" w:rsidR="000C2202" w:rsidRDefault="00DA46A9">
      <w:pPr>
        <w:spacing w:after="80" w:line="240" w:lineRule="auto"/>
        <w:jc w:val="center"/>
      </w:pPr>
      <w:r>
        <w:rPr>
          <w:rFonts w:ascii="Arial" w:eastAsia="Arial" w:hAnsi="Arial"/>
          <w:b/>
          <w:kern w:val="0"/>
          <w:szCs w:val="22"/>
        </w:rPr>
        <w:t xml:space="preserve">Submission Deadline:  </w:t>
      </w:r>
      <w:r>
        <w:rPr>
          <w:rFonts w:ascii="Arial" w:eastAsia="Arial" w:hAnsi="Arial"/>
          <w:kern w:val="0"/>
          <w:szCs w:val="22"/>
        </w:rPr>
        <w:t>26 July 2026, before 14:00</w:t>
      </w:r>
    </w:p>
    <w:p w14:paraId="39DF1F9B" w14:textId="77777777" w:rsidR="000C2202" w:rsidRDefault="000C2202">
      <w:pPr>
        <w:spacing w:after="80" w:line="240" w:lineRule="auto"/>
        <w:jc w:val="center"/>
        <w:rPr>
          <w:rFonts w:ascii="Arial" w:eastAsia="Arial" w:hAnsi="Arial"/>
          <w:b/>
          <w:kern w:val="0"/>
          <w:szCs w:val="22"/>
        </w:rPr>
      </w:pPr>
    </w:p>
    <w:p w14:paraId="3FCC5D84" w14:textId="77777777" w:rsidR="000C2202" w:rsidRDefault="00DA46A9">
      <w:pPr>
        <w:spacing w:after="80" w:line="240" w:lineRule="auto"/>
        <w:jc w:val="center"/>
      </w:pPr>
      <w:r>
        <w:rPr>
          <w:rFonts w:ascii="Arial" w:eastAsia="Arial" w:hAnsi="Arial"/>
          <w:b/>
          <w:kern w:val="0"/>
          <w:szCs w:val="22"/>
        </w:rPr>
        <w:t>Total Word Count (main body): 6597 words</w:t>
      </w:r>
    </w:p>
    <w:p w14:paraId="1E2C737C" w14:textId="77777777" w:rsidR="000C2202" w:rsidRDefault="000C2202">
      <w:pPr>
        <w:spacing w:after="80" w:line="240" w:lineRule="auto"/>
        <w:jc w:val="center"/>
        <w:rPr>
          <w:rFonts w:ascii="Arial" w:eastAsia="Arial" w:hAnsi="Arial"/>
          <w:b/>
          <w:kern w:val="0"/>
          <w:szCs w:val="22"/>
        </w:rPr>
      </w:pPr>
    </w:p>
    <w:p w14:paraId="2A57306B" w14:textId="77777777" w:rsidR="000C2202" w:rsidRDefault="00DA46A9">
      <w:pPr>
        <w:spacing w:after="80" w:line="240" w:lineRule="auto"/>
        <w:jc w:val="center"/>
      </w:pPr>
      <w:r>
        <w:rPr>
          <w:rFonts w:ascii="Arial" w:eastAsia="Arial" w:hAnsi="Arial"/>
          <w:b/>
          <w:kern w:val="0"/>
          <w:szCs w:val="22"/>
        </w:rPr>
        <w:t xml:space="preserve">Academic Year:  </w:t>
      </w:r>
      <w:r>
        <w:rPr>
          <w:rFonts w:ascii="Arial" w:eastAsia="Arial" w:hAnsi="Arial"/>
          <w:kern w:val="0"/>
          <w:szCs w:val="22"/>
        </w:rPr>
        <w:t>2025 — 2026</w:t>
      </w:r>
    </w:p>
    <w:p w14:paraId="6DE94093" w14:textId="77777777" w:rsidR="000C2202" w:rsidRDefault="000C2202">
      <w:pPr>
        <w:spacing w:after="80" w:line="240" w:lineRule="auto"/>
        <w:jc w:val="center"/>
        <w:rPr>
          <w:rFonts w:ascii="Arial" w:eastAsia="Arial" w:hAnsi="Arial"/>
          <w:kern w:val="0"/>
          <w:szCs w:val="22"/>
        </w:rPr>
      </w:pPr>
    </w:p>
    <w:p w14:paraId="285F4116" w14:textId="77777777" w:rsidR="000C2202" w:rsidRDefault="000C2202">
      <w:pPr>
        <w:spacing w:after="80" w:line="240" w:lineRule="auto"/>
        <w:jc w:val="center"/>
        <w:rPr>
          <w:rFonts w:ascii="Arial" w:eastAsia="Arial" w:hAnsi="Arial"/>
          <w:kern w:val="0"/>
          <w:szCs w:val="22"/>
        </w:rPr>
      </w:pPr>
    </w:p>
    <w:p w14:paraId="6950C23B" w14:textId="77777777" w:rsidR="000C2202" w:rsidRDefault="000C2202">
      <w:pPr>
        <w:spacing w:after="80" w:line="240" w:lineRule="auto"/>
        <w:jc w:val="center"/>
        <w:rPr>
          <w:rFonts w:ascii="Arial" w:eastAsia="Arial" w:hAnsi="Arial"/>
          <w:kern w:val="0"/>
          <w:szCs w:val="22"/>
        </w:rPr>
      </w:pPr>
    </w:p>
    <w:p w14:paraId="5A383816" w14:textId="77777777" w:rsidR="000C2202" w:rsidRDefault="00DA46A9">
      <w:pPr>
        <w:keepNext/>
        <w:keepLines/>
        <w:spacing w:before="480" w:after="0" w:line="360" w:lineRule="auto"/>
        <w:jc w:val="center"/>
        <w:outlineLvl w:val="0"/>
      </w:pPr>
      <w:bookmarkStart w:id="0" w:name="_Toc235807027"/>
      <w:r>
        <w:rPr>
          <w:rFonts w:ascii="Calibri" w:eastAsia="MS Gothic" w:hAnsi="Calibri"/>
          <w:b/>
          <w:bCs/>
          <w:color w:val="365F91"/>
          <w:kern w:val="0"/>
          <w:sz w:val="32"/>
          <w:szCs w:val="28"/>
        </w:rPr>
        <w:t>Declaration of Originality</w:t>
      </w:r>
      <w:bookmarkEnd w:id="0"/>
    </w:p>
    <w:p w14:paraId="39CC77FD" w14:textId="77777777" w:rsidR="000C2202" w:rsidRDefault="00DA46A9">
      <w:pPr>
        <w:spacing w:after="120" w:line="360" w:lineRule="auto"/>
        <w:jc w:val="both"/>
        <w:rPr>
          <w:rFonts w:ascii="Arial" w:eastAsia="Arial" w:hAnsi="Arial"/>
          <w:kern w:val="0"/>
        </w:rPr>
      </w:pPr>
      <w:r>
        <w:rPr>
          <w:rFonts w:ascii="Arial" w:eastAsia="Arial" w:hAnsi="Arial"/>
          <w:kern w:val="0"/>
        </w:rPr>
        <w:t>I declare that this dissertation is my own original work and that it has not been copied or plagiarised in whole or in part from any other sources. It has not been awarded, in part or full, to another degree, diploma or professional qualification in this or any other institution.</w:t>
      </w:r>
    </w:p>
    <w:p w14:paraId="7423F023" w14:textId="77777777" w:rsidR="000C2202" w:rsidRDefault="00DA46A9">
      <w:pPr>
        <w:spacing w:after="120" w:line="360" w:lineRule="auto"/>
        <w:jc w:val="both"/>
        <w:rPr>
          <w:rFonts w:ascii="Arial" w:eastAsia="Arial" w:hAnsi="Arial"/>
          <w:kern w:val="0"/>
        </w:rPr>
      </w:pPr>
      <w:r>
        <w:rPr>
          <w:rFonts w:ascii="Arial" w:eastAsia="Arial" w:hAnsi="Arial"/>
          <w:kern w:val="0"/>
        </w:rPr>
        <w:t>All sources cited directly in this dissertation are acknowledged in the main body and recorded in the References section. The broader analytical body of work, comprising anonymised publicly available customer reviews, is included in the evidence-management workbook and is summarised in the appendixes. Direct quotations are clearly identified, and paraphrased material is referenced in the Harvard referencing style (Cite Them Right, 12th edition).</w:t>
      </w:r>
    </w:p>
    <w:p w14:paraId="21C056A4" w14:textId="77777777" w:rsidR="000C2202" w:rsidRDefault="00DA46A9">
      <w:pPr>
        <w:spacing w:after="120" w:line="360" w:lineRule="auto"/>
        <w:jc w:val="both"/>
        <w:rPr>
          <w:rFonts w:ascii="Arial" w:eastAsia="Arial" w:hAnsi="Arial"/>
          <w:kern w:val="0"/>
        </w:rPr>
      </w:pPr>
      <w:r>
        <w:rPr>
          <w:rFonts w:ascii="Arial" w:eastAsia="Arial" w:hAnsi="Arial"/>
          <w:kern w:val="0"/>
        </w:rPr>
        <w:t>Generative AI tools were only used within the defined categories of research support, structural planning, proofreading and creative materials, as stated in the Use of Generative AI in Assessment statement in Appendix GA36c of the module handbook. No generative AI was used for writing text for submission or to create programming code, consistent with the module's Category B stance on this assessment.</w:t>
      </w:r>
    </w:p>
    <w:p w14:paraId="6AC8A904" w14:textId="77777777" w:rsidR="000C2202" w:rsidRDefault="00DA46A9">
      <w:pPr>
        <w:spacing w:after="120" w:line="360" w:lineRule="auto"/>
        <w:jc w:val="both"/>
        <w:rPr>
          <w:rFonts w:ascii="Arial" w:eastAsia="Arial" w:hAnsi="Arial"/>
          <w:kern w:val="0"/>
        </w:rPr>
      </w:pPr>
      <w:r>
        <w:rPr>
          <w:rFonts w:ascii="Arial" w:eastAsia="Arial" w:hAnsi="Arial"/>
          <w:kern w:val="0"/>
        </w:rPr>
        <w:t>I understand that any material found to have been produced by another person or by an unpermitted use of generative AI, and presented without appropriate credit, may result in disciplinary action under the University’s academic honesty policy.</w:t>
      </w:r>
    </w:p>
    <w:p w14:paraId="2F08FDAF" w14:textId="77777777" w:rsidR="000C2202" w:rsidRDefault="00DA46A9">
      <w:pPr>
        <w:spacing w:after="960" w:line="360" w:lineRule="auto"/>
        <w:rPr>
          <w:rFonts w:ascii="Arial" w:eastAsia="Arial" w:hAnsi="Arial"/>
          <w:kern w:val="0"/>
        </w:rPr>
      </w:pPr>
      <w:r>
        <w:rPr>
          <w:rFonts w:ascii="Arial" w:eastAsia="Arial" w:hAnsi="Arial"/>
          <w:kern w:val="0"/>
        </w:rPr>
        <w:t xml:space="preserve"> </w:t>
      </w:r>
    </w:p>
    <w:p w14:paraId="06F8E663" w14:textId="77777777" w:rsidR="000C2202" w:rsidRDefault="00DA46A9">
      <w:pPr>
        <w:spacing w:after="480" w:line="360" w:lineRule="auto"/>
        <w:rPr>
          <w:rFonts w:ascii="Arial" w:eastAsia="Arial" w:hAnsi="Arial"/>
          <w:kern w:val="0"/>
        </w:rPr>
      </w:pPr>
      <w:r>
        <w:rPr>
          <w:rFonts w:ascii="Arial" w:eastAsia="Arial" w:hAnsi="Arial"/>
          <w:kern w:val="0"/>
        </w:rPr>
        <w:t>Signed:  __________________________________________</w:t>
      </w:r>
    </w:p>
    <w:p w14:paraId="15AB2634" w14:textId="77777777" w:rsidR="000C2202" w:rsidRDefault="00DA46A9">
      <w:pPr>
        <w:spacing w:after="480" w:line="360" w:lineRule="auto"/>
        <w:rPr>
          <w:rFonts w:ascii="Arial" w:eastAsia="Arial" w:hAnsi="Arial"/>
          <w:kern w:val="0"/>
        </w:rPr>
      </w:pPr>
      <w:r>
        <w:rPr>
          <w:rFonts w:ascii="Arial" w:eastAsia="Arial" w:hAnsi="Arial"/>
          <w:kern w:val="0"/>
        </w:rPr>
        <w:t>Name (in print):  ADRIAN DANIEL ROMAN</w:t>
      </w:r>
    </w:p>
    <w:p w14:paraId="61E5623E" w14:textId="77777777" w:rsidR="000C2202" w:rsidRDefault="00DA46A9">
      <w:pPr>
        <w:spacing w:after="480" w:line="360" w:lineRule="auto"/>
        <w:rPr>
          <w:rFonts w:ascii="Arial" w:eastAsia="Arial" w:hAnsi="Arial"/>
          <w:kern w:val="0"/>
        </w:rPr>
      </w:pPr>
      <w:r>
        <w:rPr>
          <w:rFonts w:ascii="Arial" w:eastAsia="Arial" w:hAnsi="Arial"/>
          <w:kern w:val="0"/>
        </w:rPr>
        <w:t>Date:  25-07-2026</w:t>
      </w:r>
    </w:p>
    <w:p w14:paraId="37F6DE0F" w14:textId="77777777" w:rsidR="000C2202" w:rsidRDefault="000C2202">
      <w:pPr>
        <w:pageBreakBefore/>
        <w:spacing w:after="120" w:line="360" w:lineRule="auto"/>
        <w:rPr>
          <w:rFonts w:ascii="Arial" w:eastAsia="Arial" w:hAnsi="Arial"/>
          <w:kern w:val="0"/>
        </w:rPr>
      </w:pPr>
    </w:p>
    <w:p w14:paraId="14B1B0C1" w14:textId="77777777" w:rsidR="000C2202" w:rsidRDefault="00DA46A9">
      <w:pPr>
        <w:keepNext/>
        <w:keepLines/>
        <w:spacing w:before="480" w:after="0" w:line="360" w:lineRule="auto"/>
        <w:jc w:val="center"/>
        <w:outlineLvl w:val="0"/>
      </w:pPr>
      <w:bookmarkStart w:id="1" w:name="_Toc235807028"/>
      <w:r>
        <w:rPr>
          <w:rFonts w:ascii="Calibri" w:eastAsia="MS Gothic" w:hAnsi="Calibri"/>
          <w:b/>
          <w:bCs/>
          <w:color w:val="365F91"/>
          <w:kern w:val="0"/>
          <w:sz w:val="32"/>
          <w:szCs w:val="28"/>
        </w:rPr>
        <w:t>Abstract</w:t>
      </w:r>
      <w:bookmarkEnd w:id="1"/>
    </w:p>
    <w:p w14:paraId="7FD6A4A4" w14:textId="77777777" w:rsidR="000C2202" w:rsidRDefault="00DA46A9">
      <w:pPr>
        <w:spacing w:after="120" w:line="360" w:lineRule="auto"/>
        <w:jc w:val="both"/>
        <w:rPr>
          <w:rFonts w:ascii="Arial" w:eastAsia="Arial" w:hAnsi="Arial"/>
          <w:kern w:val="0"/>
        </w:rPr>
      </w:pPr>
      <w:r>
        <w:rPr>
          <w:rFonts w:ascii="Arial" w:eastAsia="Arial" w:hAnsi="Arial"/>
          <w:kern w:val="0"/>
        </w:rPr>
        <w:t>This dissertation evaluates the impact of AI-powered customer service chatbots on customer satisfaction in the UK supermarket sector, using Tesco as a case study. It responds to a gap in the peer-reviewed literature, in which chatbot–satisfaction relationships have been extensively examined in banking, hospitality, and general e-commerce but remain empirically under-examined in UK grocery — a sector whose query topology (delivery slots, substitutions, refunds, Clubcard adjustments) differs materially from those contexts.</w:t>
      </w:r>
    </w:p>
    <w:p w14:paraId="6877212F" w14:textId="77777777" w:rsidR="000C2202" w:rsidRDefault="00DA46A9">
      <w:pPr>
        <w:spacing w:after="120" w:line="360" w:lineRule="auto"/>
        <w:jc w:val="both"/>
        <w:rPr>
          <w:rFonts w:ascii="Arial" w:eastAsia="Arial" w:hAnsi="Arial"/>
          <w:kern w:val="0"/>
        </w:rPr>
      </w:pPr>
      <w:r>
        <w:rPr>
          <w:rFonts w:ascii="Arial" w:eastAsia="Arial" w:hAnsi="Arial"/>
          <w:kern w:val="0"/>
        </w:rPr>
        <w:t>The study adopts an interpretivist philosophy, an inductive approach, and a single-case design centred on Tesco. It applies reflexive thematic analysis (Braun and Clarke, 2019) to a qualitative secondary corpus of seventy-five sources drawn from peer-reviewed journal articles (2018–2026), industry and market reports, Tesco corporate publications, and anonymised customer reviews from Trustpilot and Reevoo. The analysis is framed against the SERVQUAL model, the Technology Acceptance Model, and a query-complexity-fit pathway derived critically from the reviewed literature.</w:t>
      </w:r>
    </w:p>
    <w:p w14:paraId="3D4100C9" w14:textId="77777777" w:rsidR="000C2202" w:rsidRDefault="00DA46A9">
      <w:pPr>
        <w:spacing w:after="120" w:line="360" w:lineRule="auto"/>
        <w:jc w:val="both"/>
        <w:rPr>
          <w:rFonts w:ascii="Arial" w:eastAsia="Arial" w:hAnsi="Arial"/>
          <w:kern w:val="0"/>
        </w:rPr>
      </w:pPr>
      <w:r>
        <w:rPr>
          <w:rFonts w:ascii="Arial" w:eastAsia="Arial" w:hAnsi="Arial"/>
          <w:kern w:val="0"/>
        </w:rPr>
        <w:t>Five themes are generated: response time and 24/7 availability; accuracy, reliability and query complexity; trust, data privacy and perceived empathy; human handover and escalation friction; and personalisation and the generative-AI shift. The findings show that chatbot impact on satisfaction is conditional, not uniform: gains concentrate in transactional speed and personalisation, while limitations concentrate in complex-query handling, escalation friction, and empathy-signal authenticity, and are structural rather than incidental.</w:t>
      </w:r>
    </w:p>
    <w:p w14:paraId="01C7EA67" w14:textId="77777777" w:rsidR="000C2202" w:rsidRDefault="00DA46A9">
      <w:pPr>
        <w:spacing w:after="120" w:line="360" w:lineRule="auto"/>
        <w:jc w:val="both"/>
        <w:rPr>
          <w:rFonts w:ascii="Arial" w:eastAsia="Arial" w:hAnsi="Arial"/>
          <w:kern w:val="0"/>
        </w:rPr>
      </w:pPr>
      <w:r>
        <w:rPr>
          <w:rFonts w:ascii="Arial" w:eastAsia="Arial" w:hAnsi="Arial"/>
          <w:kern w:val="0"/>
        </w:rPr>
        <w:t>The study contributes a re-specification of the SERVQUAL trust dimension into three empirically distinct channels — accuracy, data-handling, and empathy signal — and identifies query topology as the primary moderating variable in UK grocery chatbot satisfaction. It recommends that Tesco treat handover architecture as the first-order design variable in the current deployment stage.</w:t>
      </w:r>
    </w:p>
    <w:p w14:paraId="6D781A8D" w14:textId="77777777" w:rsidR="000C2202" w:rsidRDefault="00DA46A9">
      <w:pPr>
        <w:spacing w:after="120" w:line="360" w:lineRule="auto"/>
        <w:rPr>
          <w:rFonts w:ascii="Arial" w:eastAsia="Arial" w:hAnsi="Arial"/>
          <w:kern w:val="0"/>
        </w:rPr>
      </w:pPr>
      <w:r>
        <w:rPr>
          <w:rFonts w:ascii="Arial" w:eastAsia="Arial" w:hAnsi="Arial"/>
          <w:kern w:val="0"/>
        </w:rPr>
        <w:t xml:space="preserve"> </w:t>
      </w:r>
    </w:p>
    <w:p w14:paraId="339F88B7" w14:textId="77777777" w:rsidR="000C2202" w:rsidRDefault="00DA46A9">
      <w:pPr>
        <w:spacing w:after="120" w:line="360" w:lineRule="auto"/>
      </w:pPr>
      <w:r>
        <w:rPr>
          <w:rFonts w:ascii="Arial" w:eastAsia="Arial" w:hAnsi="Arial"/>
          <w:b/>
          <w:kern w:val="0"/>
        </w:rPr>
        <w:t xml:space="preserve">Keywords:  </w:t>
      </w:r>
      <w:r>
        <w:rPr>
          <w:rFonts w:ascii="Arial" w:eastAsia="Arial" w:hAnsi="Arial"/>
          <w:i/>
          <w:kern w:val="0"/>
        </w:rPr>
        <w:t>AI chatbots; customer satisfaction; UK supermarket; Tesco; SERVQUAL; TAM; reflexive thematic analysis; qualitative secondary research.</w:t>
      </w:r>
    </w:p>
    <w:p w14:paraId="0A4C97B2" w14:textId="77777777" w:rsidR="000C2202" w:rsidRDefault="000C2202">
      <w:pPr>
        <w:pageBreakBefore/>
        <w:spacing w:after="120" w:line="360" w:lineRule="auto"/>
        <w:rPr>
          <w:rFonts w:ascii="Arial" w:eastAsia="Arial" w:hAnsi="Arial"/>
          <w:kern w:val="0"/>
        </w:rPr>
      </w:pPr>
    </w:p>
    <w:p w14:paraId="37643885" w14:textId="77777777" w:rsidR="000C2202" w:rsidRDefault="00DA46A9">
      <w:pPr>
        <w:keepNext/>
        <w:keepLines/>
        <w:spacing w:before="480" w:after="0" w:line="360" w:lineRule="auto"/>
        <w:jc w:val="center"/>
        <w:outlineLvl w:val="0"/>
      </w:pPr>
      <w:bookmarkStart w:id="2" w:name="_Toc235807029"/>
      <w:r>
        <w:rPr>
          <w:rFonts w:ascii="Calibri" w:eastAsia="MS Gothic" w:hAnsi="Calibri"/>
          <w:b/>
          <w:bCs/>
          <w:color w:val="365F91"/>
          <w:kern w:val="0"/>
          <w:sz w:val="32"/>
          <w:szCs w:val="28"/>
        </w:rPr>
        <w:t>Acknowledgements</w:t>
      </w:r>
      <w:bookmarkEnd w:id="2"/>
    </w:p>
    <w:p w14:paraId="1AD90A47" w14:textId="77777777" w:rsidR="000C2202" w:rsidRDefault="00DA46A9">
      <w:pPr>
        <w:spacing w:after="120" w:line="360" w:lineRule="auto"/>
        <w:jc w:val="both"/>
        <w:rPr>
          <w:rFonts w:ascii="Arial" w:eastAsia="Arial" w:hAnsi="Arial"/>
          <w:kern w:val="0"/>
        </w:rPr>
      </w:pPr>
      <w:r>
        <w:rPr>
          <w:rFonts w:ascii="Arial" w:eastAsia="Arial" w:hAnsi="Arial"/>
          <w:kern w:val="0"/>
        </w:rPr>
        <w:t>I would like to thank Dr Anupam Mazumdar for his role as internal verifier of this dissertation and for the methodological guidance offered at the proposal stage. I am grateful to my supervisor for constructive feedback across the drafting process, and to the LCBB module team at the University of Wales Trinity Saint David for the academic framework and support that made this study possible.</w:t>
      </w:r>
    </w:p>
    <w:p w14:paraId="136C15F8" w14:textId="77777777" w:rsidR="000C2202" w:rsidRDefault="00DA46A9">
      <w:pPr>
        <w:spacing w:after="120" w:line="360" w:lineRule="auto"/>
        <w:jc w:val="both"/>
        <w:rPr>
          <w:rFonts w:ascii="Arial" w:eastAsia="Arial" w:hAnsi="Arial"/>
          <w:kern w:val="0"/>
        </w:rPr>
      </w:pPr>
      <w:r>
        <w:rPr>
          <w:rFonts w:ascii="Arial" w:eastAsia="Arial" w:hAnsi="Arial"/>
          <w:kern w:val="0"/>
        </w:rPr>
        <w:t>I also thank my family and friends for their patience and encouragement throughout the research window, and the wider student cohort at the University of Wales Trinity Saint David for the collaborative environment in which this work was completed.</w:t>
      </w:r>
    </w:p>
    <w:p w14:paraId="34938C35" w14:textId="77777777" w:rsidR="000C2202" w:rsidRDefault="000C2202">
      <w:pPr>
        <w:spacing w:after="80" w:line="360" w:lineRule="auto"/>
        <w:jc w:val="center"/>
        <w:rPr>
          <w:rFonts w:ascii="Arial" w:eastAsia="Arial" w:hAnsi="Arial"/>
          <w:b/>
          <w:kern w:val="0"/>
          <w:sz w:val="28"/>
        </w:rPr>
      </w:pPr>
    </w:p>
    <w:p w14:paraId="1B76A12D" w14:textId="77777777" w:rsidR="000C2202" w:rsidRDefault="000C2202">
      <w:pPr>
        <w:spacing w:after="80" w:line="360" w:lineRule="auto"/>
        <w:jc w:val="center"/>
        <w:rPr>
          <w:rFonts w:ascii="Arial" w:eastAsia="Arial" w:hAnsi="Arial"/>
          <w:b/>
          <w:kern w:val="0"/>
          <w:sz w:val="28"/>
        </w:rPr>
      </w:pPr>
    </w:p>
    <w:p w14:paraId="3111FF9C" w14:textId="77777777" w:rsidR="000C2202" w:rsidRDefault="000C2202">
      <w:pPr>
        <w:spacing w:after="80" w:line="360" w:lineRule="auto"/>
        <w:jc w:val="center"/>
        <w:rPr>
          <w:rFonts w:ascii="Arial" w:eastAsia="Arial" w:hAnsi="Arial"/>
          <w:b/>
          <w:kern w:val="0"/>
          <w:sz w:val="28"/>
        </w:rPr>
      </w:pPr>
    </w:p>
    <w:p w14:paraId="1A87C95C" w14:textId="77777777" w:rsidR="000C2202" w:rsidRDefault="000C2202">
      <w:pPr>
        <w:spacing w:after="80" w:line="360" w:lineRule="auto"/>
        <w:jc w:val="center"/>
        <w:rPr>
          <w:rFonts w:ascii="Arial" w:eastAsia="Arial" w:hAnsi="Arial"/>
          <w:b/>
          <w:kern w:val="0"/>
          <w:sz w:val="28"/>
        </w:rPr>
      </w:pPr>
    </w:p>
    <w:p w14:paraId="66447F0C" w14:textId="77777777" w:rsidR="000C2202" w:rsidRDefault="000C2202">
      <w:pPr>
        <w:spacing w:after="80" w:line="360" w:lineRule="auto"/>
        <w:jc w:val="center"/>
        <w:rPr>
          <w:rFonts w:ascii="Arial" w:eastAsia="Arial" w:hAnsi="Arial"/>
          <w:b/>
          <w:kern w:val="0"/>
          <w:sz w:val="28"/>
        </w:rPr>
      </w:pPr>
    </w:p>
    <w:p w14:paraId="6CCAEB23" w14:textId="77777777" w:rsidR="000C2202" w:rsidRDefault="000C2202">
      <w:pPr>
        <w:spacing w:after="80" w:line="360" w:lineRule="auto"/>
        <w:jc w:val="center"/>
        <w:rPr>
          <w:rFonts w:ascii="Arial" w:eastAsia="Arial" w:hAnsi="Arial"/>
          <w:b/>
          <w:kern w:val="0"/>
          <w:sz w:val="28"/>
        </w:rPr>
      </w:pPr>
    </w:p>
    <w:p w14:paraId="3FABA09D" w14:textId="77777777" w:rsidR="000C2202" w:rsidRDefault="000C2202">
      <w:pPr>
        <w:spacing w:after="80" w:line="360" w:lineRule="auto"/>
        <w:jc w:val="center"/>
        <w:rPr>
          <w:rFonts w:ascii="Arial" w:eastAsia="Arial" w:hAnsi="Arial"/>
          <w:b/>
          <w:kern w:val="0"/>
          <w:sz w:val="28"/>
        </w:rPr>
      </w:pPr>
    </w:p>
    <w:p w14:paraId="363D8D77" w14:textId="77777777" w:rsidR="000C2202" w:rsidRDefault="000C2202">
      <w:pPr>
        <w:spacing w:after="80" w:line="360" w:lineRule="auto"/>
        <w:jc w:val="center"/>
        <w:rPr>
          <w:rFonts w:ascii="Arial" w:eastAsia="Arial" w:hAnsi="Arial"/>
          <w:b/>
          <w:kern w:val="0"/>
          <w:sz w:val="28"/>
        </w:rPr>
      </w:pPr>
    </w:p>
    <w:p w14:paraId="7268CD51" w14:textId="77777777" w:rsidR="000C2202" w:rsidRDefault="000C2202">
      <w:pPr>
        <w:spacing w:after="80" w:line="360" w:lineRule="auto"/>
        <w:jc w:val="center"/>
        <w:rPr>
          <w:rFonts w:ascii="Arial" w:eastAsia="Arial" w:hAnsi="Arial"/>
          <w:b/>
          <w:kern w:val="0"/>
          <w:sz w:val="28"/>
        </w:rPr>
      </w:pPr>
    </w:p>
    <w:p w14:paraId="39999A62" w14:textId="77777777" w:rsidR="000C2202" w:rsidRDefault="000C2202">
      <w:pPr>
        <w:spacing w:after="80" w:line="360" w:lineRule="auto"/>
        <w:jc w:val="center"/>
        <w:rPr>
          <w:rFonts w:ascii="Arial" w:eastAsia="Arial" w:hAnsi="Arial"/>
          <w:b/>
          <w:kern w:val="0"/>
          <w:sz w:val="28"/>
        </w:rPr>
      </w:pPr>
    </w:p>
    <w:p w14:paraId="54C4621D" w14:textId="77777777" w:rsidR="000C2202" w:rsidRDefault="000C2202">
      <w:pPr>
        <w:spacing w:after="80" w:line="360" w:lineRule="auto"/>
        <w:jc w:val="center"/>
        <w:rPr>
          <w:rFonts w:ascii="Arial" w:eastAsia="Arial" w:hAnsi="Arial"/>
          <w:b/>
          <w:kern w:val="0"/>
          <w:sz w:val="28"/>
        </w:rPr>
      </w:pPr>
    </w:p>
    <w:p w14:paraId="0CF4DB70" w14:textId="77777777" w:rsidR="000C2202" w:rsidRDefault="000C2202">
      <w:pPr>
        <w:spacing w:after="80" w:line="360" w:lineRule="auto"/>
        <w:jc w:val="center"/>
        <w:rPr>
          <w:rFonts w:ascii="Arial" w:eastAsia="Arial" w:hAnsi="Arial"/>
          <w:b/>
          <w:kern w:val="0"/>
          <w:sz w:val="28"/>
        </w:rPr>
      </w:pPr>
    </w:p>
    <w:p w14:paraId="2893168E" w14:textId="77777777" w:rsidR="000C2202" w:rsidRDefault="000C2202">
      <w:pPr>
        <w:spacing w:after="80" w:line="360" w:lineRule="auto"/>
        <w:jc w:val="center"/>
        <w:rPr>
          <w:rFonts w:ascii="Arial" w:eastAsia="Arial" w:hAnsi="Arial"/>
          <w:b/>
          <w:kern w:val="0"/>
          <w:sz w:val="28"/>
        </w:rPr>
      </w:pPr>
    </w:p>
    <w:p w14:paraId="2DD50846" w14:textId="77777777" w:rsidR="000C2202" w:rsidRDefault="000C2202">
      <w:pPr>
        <w:spacing w:after="80" w:line="360" w:lineRule="auto"/>
        <w:jc w:val="center"/>
        <w:rPr>
          <w:rFonts w:ascii="Arial" w:eastAsia="Arial" w:hAnsi="Arial"/>
          <w:b/>
          <w:kern w:val="0"/>
          <w:sz w:val="28"/>
        </w:rPr>
      </w:pPr>
    </w:p>
    <w:p w14:paraId="60AB323B" w14:textId="77777777" w:rsidR="000C2202" w:rsidRDefault="000C2202">
      <w:pPr>
        <w:spacing w:after="80" w:line="360" w:lineRule="auto"/>
        <w:jc w:val="center"/>
        <w:rPr>
          <w:rFonts w:ascii="Arial" w:eastAsia="Arial" w:hAnsi="Arial"/>
          <w:b/>
          <w:kern w:val="0"/>
          <w:sz w:val="28"/>
        </w:rPr>
      </w:pPr>
    </w:p>
    <w:p w14:paraId="22B2E23E" w14:textId="77777777" w:rsidR="000C2202" w:rsidRDefault="00DA46A9">
      <w:pPr>
        <w:keepNext/>
        <w:keepLines/>
        <w:spacing w:before="480" w:after="0" w:line="360" w:lineRule="auto"/>
        <w:jc w:val="center"/>
      </w:pPr>
      <w:r>
        <w:rPr>
          <w:rFonts w:ascii="Calibri" w:eastAsia="MS Gothic" w:hAnsi="Calibri"/>
          <w:b/>
          <w:bCs/>
          <w:color w:val="365F91"/>
          <w:kern w:val="0"/>
          <w:sz w:val="32"/>
          <w:szCs w:val="32"/>
        </w:rPr>
        <w:t>Table of Contents</w:t>
      </w:r>
    </w:p>
    <w:p w14:paraId="439E3213" w14:textId="77777777" w:rsidR="000C2202" w:rsidRDefault="00DA46A9">
      <w:pPr>
        <w:tabs>
          <w:tab w:val="right" w:leader="dot" w:pos="9350"/>
        </w:tabs>
        <w:spacing w:after="100" w:line="360" w:lineRule="auto"/>
      </w:pPr>
      <w:r>
        <w:fldChar w:fldCharType="begin"/>
      </w:r>
      <w:r>
        <w:instrText xml:space="preserve"> TOC \o "1-3" \u \h </w:instrText>
      </w:r>
      <w:r>
        <w:fldChar w:fldCharType="separate"/>
      </w:r>
      <w:hyperlink w:anchor="_Toc235807027" w:history="1">
        <w:r>
          <w:rPr>
            <w:rFonts w:ascii="Arial" w:eastAsia="Arial" w:hAnsi="Arial"/>
            <w:color w:val="0000FF"/>
            <w:kern w:val="0"/>
            <w:szCs w:val="22"/>
            <w:u w:val="single"/>
          </w:rPr>
          <w:t>Declaration of Originality</w:t>
        </w:r>
        <w:r>
          <w:rPr>
            <w:rFonts w:ascii="Arial" w:eastAsia="Arial" w:hAnsi="Arial"/>
            <w:kern w:val="0"/>
            <w:szCs w:val="22"/>
          </w:rPr>
          <w:tab/>
          <w:t>2</w:t>
        </w:r>
      </w:hyperlink>
    </w:p>
    <w:p w14:paraId="26F3DCAB" w14:textId="77777777" w:rsidR="000C2202" w:rsidRDefault="00DA46A9">
      <w:pPr>
        <w:tabs>
          <w:tab w:val="right" w:leader="dot" w:pos="9350"/>
        </w:tabs>
        <w:spacing w:after="100" w:line="360" w:lineRule="auto"/>
      </w:pPr>
      <w:hyperlink w:anchor="_Toc235807028" w:history="1">
        <w:r>
          <w:rPr>
            <w:rFonts w:ascii="Arial" w:eastAsia="Arial" w:hAnsi="Arial"/>
            <w:color w:val="0000FF"/>
            <w:kern w:val="0"/>
            <w:szCs w:val="22"/>
            <w:u w:val="single"/>
          </w:rPr>
          <w:t>Abstract</w:t>
        </w:r>
        <w:r>
          <w:rPr>
            <w:rFonts w:ascii="Arial" w:eastAsia="Arial" w:hAnsi="Arial"/>
            <w:kern w:val="0"/>
            <w:szCs w:val="22"/>
          </w:rPr>
          <w:tab/>
          <w:t>3</w:t>
        </w:r>
      </w:hyperlink>
    </w:p>
    <w:p w14:paraId="746556D2" w14:textId="77777777" w:rsidR="000C2202" w:rsidRDefault="00DA46A9">
      <w:pPr>
        <w:tabs>
          <w:tab w:val="right" w:leader="dot" w:pos="9350"/>
        </w:tabs>
        <w:spacing w:after="100" w:line="360" w:lineRule="auto"/>
      </w:pPr>
      <w:hyperlink w:anchor="_Toc235807029" w:history="1">
        <w:r>
          <w:rPr>
            <w:rFonts w:ascii="Arial" w:eastAsia="Arial" w:hAnsi="Arial"/>
            <w:color w:val="0000FF"/>
            <w:kern w:val="0"/>
            <w:szCs w:val="22"/>
            <w:u w:val="single"/>
          </w:rPr>
          <w:t>Acknowledgements</w:t>
        </w:r>
        <w:r>
          <w:rPr>
            <w:rFonts w:ascii="Arial" w:eastAsia="Arial" w:hAnsi="Arial"/>
            <w:kern w:val="0"/>
            <w:szCs w:val="22"/>
          </w:rPr>
          <w:tab/>
          <w:t>5</w:t>
        </w:r>
      </w:hyperlink>
    </w:p>
    <w:p w14:paraId="6EC0BA29" w14:textId="77777777" w:rsidR="000C2202" w:rsidRDefault="00DA46A9">
      <w:pPr>
        <w:tabs>
          <w:tab w:val="right" w:leader="dot" w:pos="9350"/>
        </w:tabs>
        <w:spacing w:after="100" w:line="360" w:lineRule="auto"/>
      </w:pPr>
      <w:hyperlink w:anchor="_Toc235807030" w:history="1">
        <w:r>
          <w:rPr>
            <w:rFonts w:ascii="Arial" w:eastAsia="Arial" w:hAnsi="Arial"/>
            <w:color w:val="0000FF"/>
            <w:kern w:val="0"/>
            <w:szCs w:val="22"/>
            <w:u w:val="single"/>
          </w:rPr>
          <w:t>List of Figures</w:t>
        </w:r>
        <w:r>
          <w:rPr>
            <w:rFonts w:ascii="Arial" w:eastAsia="Arial" w:hAnsi="Arial"/>
            <w:kern w:val="0"/>
            <w:szCs w:val="22"/>
          </w:rPr>
          <w:tab/>
          <w:t>9</w:t>
        </w:r>
      </w:hyperlink>
    </w:p>
    <w:p w14:paraId="72B2AB1B" w14:textId="77777777" w:rsidR="000C2202" w:rsidRDefault="00DA46A9">
      <w:pPr>
        <w:tabs>
          <w:tab w:val="right" w:leader="dot" w:pos="9350"/>
        </w:tabs>
        <w:spacing w:after="100" w:line="360" w:lineRule="auto"/>
      </w:pPr>
      <w:hyperlink w:anchor="_Toc235807031" w:history="1">
        <w:r>
          <w:rPr>
            <w:rFonts w:ascii="Arial" w:eastAsia="Arial" w:hAnsi="Arial"/>
            <w:color w:val="0000FF"/>
            <w:kern w:val="0"/>
            <w:szCs w:val="22"/>
            <w:u w:val="single"/>
          </w:rPr>
          <w:t>List of Tables</w:t>
        </w:r>
        <w:r>
          <w:rPr>
            <w:rFonts w:ascii="Arial" w:eastAsia="Arial" w:hAnsi="Arial"/>
            <w:kern w:val="0"/>
            <w:szCs w:val="22"/>
          </w:rPr>
          <w:tab/>
          <w:t>10</w:t>
        </w:r>
      </w:hyperlink>
    </w:p>
    <w:p w14:paraId="4B5B2085" w14:textId="77777777" w:rsidR="000C2202" w:rsidRDefault="00DA46A9">
      <w:pPr>
        <w:tabs>
          <w:tab w:val="right" w:leader="dot" w:pos="9350"/>
        </w:tabs>
        <w:spacing w:after="100" w:line="360" w:lineRule="auto"/>
      </w:pPr>
      <w:hyperlink w:anchor="_Toc235807032" w:history="1">
        <w:r>
          <w:rPr>
            <w:rFonts w:ascii="Arial" w:eastAsia="Arial" w:hAnsi="Arial"/>
            <w:color w:val="0000FF"/>
            <w:kern w:val="0"/>
            <w:szCs w:val="22"/>
            <w:u w:val="single"/>
          </w:rPr>
          <w:t>List of Abbreviations</w:t>
        </w:r>
        <w:r>
          <w:rPr>
            <w:rFonts w:ascii="Arial" w:eastAsia="Arial" w:hAnsi="Arial"/>
            <w:kern w:val="0"/>
            <w:szCs w:val="22"/>
          </w:rPr>
          <w:tab/>
          <w:t>11</w:t>
        </w:r>
      </w:hyperlink>
    </w:p>
    <w:p w14:paraId="01FB75F2" w14:textId="77777777" w:rsidR="000C2202" w:rsidRDefault="00DA46A9">
      <w:pPr>
        <w:tabs>
          <w:tab w:val="right" w:leader="dot" w:pos="9350"/>
        </w:tabs>
        <w:spacing w:after="100" w:line="360" w:lineRule="auto"/>
      </w:pPr>
      <w:hyperlink w:anchor="_Toc235807033" w:history="1">
        <w:r>
          <w:rPr>
            <w:rFonts w:ascii="Arial" w:eastAsia="Arial" w:hAnsi="Arial"/>
            <w:color w:val="0000FF"/>
            <w:kern w:val="0"/>
            <w:szCs w:val="22"/>
            <w:u w:val="single"/>
          </w:rPr>
          <w:t>Chapter 1: Introduction</w:t>
        </w:r>
        <w:r>
          <w:rPr>
            <w:rFonts w:ascii="Arial" w:eastAsia="Arial" w:hAnsi="Arial"/>
            <w:kern w:val="0"/>
            <w:szCs w:val="22"/>
          </w:rPr>
          <w:tab/>
          <w:t>12</w:t>
        </w:r>
      </w:hyperlink>
    </w:p>
    <w:p w14:paraId="26E88069" w14:textId="77777777" w:rsidR="000C2202" w:rsidRDefault="00DA46A9">
      <w:pPr>
        <w:tabs>
          <w:tab w:val="right" w:leader="dot" w:pos="9350"/>
        </w:tabs>
        <w:spacing w:after="100" w:line="360" w:lineRule="auto"/>
        <w:ind w:left="220"/>
      </w:pPr>
      <w:hyperlink w:anchor="_Toc235807034" w:history="1">
        <w:r>
          <w:rPr>
            <w:rFonts w:ascii="Arial" w:eastAsia="Arial" w:hAnsi="Arial"/>
            <w:color w:val="0000FF"/>
            <w:kern w:val="0"/>
            <w:szCs w:val="22"/>
            <w:u w:val="single"/>
          </w:rPr>
          <w:t>1.1 Background of the Study</w:t>
        </w:r>
        <w:r>
          <w:rPr>
            <w:rFonts w:ascii="Arial" w:eastAsia="Arial" w:hAnsi="Arial"/>
            <w:kern w:val="0"/>
            <w:szCs w:val="22"/>
          </w:rPr>
          <w:tab/>
          <w:t>12</w:t>
        </w:r>
      </w:hyperlink>
    </w:p>
    <w:p w14:paraId="4092F82A" w14:textId="77777777" w:rsidR="000C2202" w:rsidRDefault="00DA46A9">
      <w:pPr>
        <w:tabs>
          <w:tab w:val="right" w:leader="dot" w:pos="9350"/>
        </w:tabs>
        <w:spacing w:after="100" w:line="360" w:lineRule="auto"/>
        <w:ind w:left="220"/>
      </w:pPr>
      <w:hyperlink w:anchor="_Toc235807035" w:history="1">
        <w:r>
          <w:rPr>
            <w:rFonts w:ascii="Arial" w:eastAsia="Arial" w:hAnsi="Arial"/>
            <w:color w:val="0000FF"/>
            <w:kern w:val="0"/>
            <w:szCs w:val="22"/>
            <w:u w:val="single"/>
          </w:rPr>
          <w:t>1.2 Problem Statement</w:t>
        </w:r>
        <w:r>
          <w:rPr>
            <w:rFonts w:ascii="Arial" w:eastAsia="Arial" w:hAnsi="Arial"/>
            <w:kern w:val="0"/>
            <w:szCs w:val="22"/>
          </w:rPr>
          <w:tab/>
          <w:t>13</w:t>
        </w:r>
      </w:hyperlink>
    </w:p>
    <w:p w14:paraId="614740B1" w14:textId="77777777" w:rsidR="000C2202" w:rsidRDefault="00DA46A9">
      <w:pPr>
        <w:tabs>
          <w:tab w:val="right" w:leader="dot" w:pos="9350"/>
        </w:tabs>
        <w:spacing w:after="100" w:line="360" w:lineRule="auto"/>
        <w:ind w:left="220"/>
      </w:pPr>
      <w:hyperlink w:anchor="_Toc235807036" w:history="1">
        <w:r>
          <w:rPr>
            <w:rFonts w:ascii="Arial" w:eastAsia="Arial" w:hAnsi="Arial"/>
            <w:color w:val="0000FF"/>
            <w:kern w:val="0"/>
            <w:szCs w:val="22"/>
            <w:u w:val="single"/>
          </w:rPr>
          <w:t>1.3 Research Aim</w:t>
        </w:r>
        <w:r>
          <w:rPr>
            <w:rFonts w:ascii="Arial" w:eastAsia="Arial" w:hAnsi="Arial"/>
            <w:kern w:val="0"/>
            <w:szCs w:val="22"/>
          </w:rPr>
          <w:tab/>
          <w:t>13</w:t>
        </w:r>
      </w:hyperlink>
    </w:p>
    <w:p w14:paraId="0589B38D" w14:textId="77777777" w:rsidR="000C2202" w:rsidRDefault="00DA46A9">
      <w:pPr>
        <w:tabs>
          <w:tab w:val="right" w:leader="dot" w:pos="9350"/>
        </w:tabs>
        <w:spacing w:after="100" w:line="360" w:lineRule="auto"/>
        <w:ind w:left="220"/>
      </w:pPr>
      <w:hyperlink w:anchor="_Toc235807037" w:history="1">
        <w:r>
          <w:rPr>
            <w:rFonts w:ascii="Arial" w:eastAsia="Arial" w:hAnsi="Arial"/>
            <w:color w:val="0000FF"/>
            <w:kern w:val="0"/>
            <w:szCs w:val="22"/>
            <w:u w:val="single"/>
          </w:rPr>
          <w:t>1.4 Research Objectives</w:t>
        </w:r>
        <w:r>
          <w:rPr>
            <w:rFonts w:ascii="Arial" w:eastAsia="Arial" w:hAnsi="Arial"/>
            <w:kern w:val="0"/>
            <w:szCs w:val="22"/>
          </w:rPr>
          <w:tab/>
          <w:t>13</w:t>
        </w:r>
      </w:hyperlink>
    </w:p>
    <w:p w14:paraId="0EB9D542" w14:textId="77777777" w:rsidR="000C2202" w:rsidRDefault="00DA46A9">
      <w:pPr>
        <w:tabs>
          <w:tab w:val="right" w:leader="dot" w:pos="9350"/>
        </w:tabs>
        <w:spacing w:after="100" w:line="360" w:lineRule="auto"/>
        <w:ind w:left="220"/>
      </w:pPr>
      <w:hyperlink w:anchor="_Toc235807038" w:history="1">
        <w:r>
          <w:rPr>
            <w:rFonts w:ascii="Arial" w:eastAsia="Arial" w:hAnsi="Arial"/>
            <w:color w:val="0000FF"/>
            <w:kern w:val="0"/>
            <w:szCs w:val="22"/>
            <w:u w:val="single"/>
          </w:rPr>
          <w:t>1.5 Research Questions</w:t>
        </w:r>
        <w:r>
          <w:rPr>
            <w:rFonts w:ascii="Arial" w:eastAsia="Arial" w:hAnsi="Arial"/>
            <w:kern w:val="0"/>
            <w:szCs w:val="22"/>
          </w:rPr>
          <w:tab/>
          <w:t>13</w:t>
        </w:r>
      </w:hyperlink>
    </w:p>
    <w:p w14:paraId="0A36FED3" w14:textId="77777777" w:rsidR="000C2202" w:rsidRDefault="00DA46A9">
      <w:pPr>
        <w:tabs>
          <w:tab w:val="right" w:leader="dot" w:pos="9350"/>
        </w:tabs>
        <w:spacing w:after="100" w:line="360" w:lineRule="auto"/>
        <w:ind w:left="220"/>
      </w:pPr>
      <w:hyperlink w:anchor="_Toc235807039" w:history="1">
        <w:r>
          <w:rPr>
            <w:rFonts w:ascii="Arial" w:eastAsia="Arial" w:hAnsi="Arial"/>
            <w:color w:val="0000FF"/>
            <w:kern w:val="0"/>
            <w:szCs w:val="22"/>
            <w:u w:val="single"/>
          </w:rPr>
          <w:t>1.6 Significance and Rationale</w:t>
        </w:r>
        <w:r>
          <w:rPr>
            <w:rFonts w:ascii="Arial" w:eastAsia="Arial" w:hAnsi="Arial"/>
            <w:kern w:val="0"/>
            <w:szCs w:val="22"/>
          </w:rPr>
          <w:tab/>
          <w:t>14</w:t>
        </w:r>
      </w:hyperlink>
    </w:p>
    <w:p w14:paraId="7ADAA0D1" w14:textId="77777777" w:rsidR="000C2202" w:rsidRDefault="00DA46A9">
      <w:pPr>
        <w:tabs>
          <w:tab w:val="right" w:leader="dot" w:pos="9350"/>
        </w:tabs>
        <w:spacing w:after="100" w:line="360" w:lineRule="auto"/>
        <w:ind w:left="220"/>
      </w:pPr>
      <w:hyperlink w:anchor="_Toc235807040" w:history="1">
        <w:r>
          <w:rPr>
            <w:rFonts w:ascii="Arial" w:eastAsia="Arial" w:hAnsi="Arial"/>
            <w:color w:val="0000FF"/>
            <w:kern w:val="0"/>
            <w:szCs w:val="22"/>
            <w:u w:val="single"/>
          </w:rPr>
          <w:t>1.7 Scope and Delimitations</w:t>
        </w:r>
        <w:r>
          <w:rPr>
            <w:rFonts w:ascii="Arial" w:eastAsia="Arial" w:hAnsi="Arial"/>
            <w:kern w:val="0"/>
            <w:szCs w:val="22"/>
          </w:rPr>
          <w:tab/>
          <w:t>14</w:t>
        </w:r>
      </w:hyperlink>
    </w:p>
    <w:p w14:paraId="30586CA9" w14:textId="77777777" w:rsidR="000C2202" w:rsidRDefault="00DA46A9">
      <w:pPr>
        <w:tabs>
          <w:tab w:val="right" w:leader="dot" w:pos="9350"/>
        </w:tabs>
        <w:spacing w:after="100" w:line="360" w:lineRule="auto"/>
        <w:ind w:left="220"/>
      </w:pPr>
      <w:hyperlink w:anchor="_Toc235807041" w:history="1">
        <w:r>
          <w:rPr>
            <w:rFonts w:ascii="Arial" w:eastAsia="Arial" w:hAnsi="Arial"/>
            <w:color w:val="0000FF"/>
            <w:kern w:val="0"/>
            <w:szCs w:val="22"/>
            <w:u w:val="single"/>
          </w:rPr>
          <w:t>1.8 Structure of the Dissertation</w:t>
        </w:r>
        <w:r>
          <w:rPr>
            <w:rFonts w:ascii="Arial" w:eastAsia="Arial" w:hAnsi="Arial"/>
            <w:kern w:val="0"/>
            <w:szCs w:val="22"/>
          </w:rPr>
          <w:tab/>
          <w:t>14</w:t>
        </w:r>
      </w:hyperlink>
    </w:p>
    <w:p w14:paraId="4B4D571A" w14:textId="77777777" w:rsidR="000C2202" w:rsidRDefault="00DA46A9">
      <w:pPr>
        <w:tabs>
          <w:tab w:val="right" w:leader="dot" w:pos="9350"/>
        </w:tabs>
        <w:spacing w:after="100" w:line="360" w:lineRule="auto"/>
      </w:pPr>
      <w:hyperlink w:anchor="_Toc235807042" w:history="1">
        <w:r>
          <w:rPr>
            <w:rFonts w:ascii="Arial" w:eastAsia="Arial" w:hAnsi="Arial"/>
            <w:color w:val="0000FF"/>
            <w:kern w:val="0"/>
            <w:szCs w:val="22"/>
            <w:u w:val="single"/>
          </w:rPr>
          <w:t>Chapter 2 Literature Review</w:t>
        </w:r>
        <w:r>
          <w:rPr>
            <w:rFonts w:ascii="Arial" w:eastAsia="Arial" w:hAnsi="Arial"/>
            <w:kern w:val="0"/>
            <w:szCs w:val="22"/>
          </w:rPr>
          <w:tab/>
          <w:t>15</w:t>
        </w:r>
      </w:hyperlink>
    </w:p>
    <w:p w14:paraId="711353C3" w14:textId="77777777" w:rsidR="000C2202" w:rsidRDefault="00DA46A9">
      <w:pPr>
        <w:tabs>
          <w:tab w:val="right" w:leader="dot" w:pos="9350"/>
        </w:tabs>
        <w:spacing w:after="100" w:line="360" w:lineRule="auto"/>
        <w:ind w:left="220"/>
      </w:pPr>
      <w:hyperlink w:anchor="_Toc235807043" w:history="1">
        <w:r>
          <w:rPr>
            <w:rFonts w:ascii="Arial" w:eastAsia="Arial" w:hAnsi="Arial"/>
            <w:color w:val="0000FF"/>
            <w:kern w:val="0"/>
            <w:szCs w:val="22"/>
            <w:u w:val="single"/>
          </w:rPr>
          <w:t>2.1 Introduction</w:t>
        </w:r>
        <w:r>
          <w:rPr>
            <w:rFonts w:ascii="Arial" w:eastAsia="Arial" w:hAnsi="Arial"/>
            <w:kern w:val="0"/>
            <w:szCs w:val="22"/>
          </w:rPr>
          <w:tab/>
          <w:t>15</w:t>
        </w:r>
      </w:hyperlink>
    </w:p>
    <w:p w14:paraId="0D815F72" w14:textId="77777777" w:rsidR="000C2202" w:rsidRDefault="00DA46A9">
      <w:pPr>
        <w:tabs>
          <w:tab w:val="right" w:leader="dot" w:pos="9350"/>
        </w:tabs>
        <w:spacing w:after="100" w:line="360" w:lineRule="auto"/>
        <w:ind w:left="220"/>
      </w:pPr>
      <w:hyperlink w:anchor="_Toc235807044" w:history="1">
        <w:r>
          <w:rPr>
            <w:rFonts w:ascii="Arial" w:eastAsia="Arial" w:hAnsi="Arial"/>
            <w:color w:val="0000FF"/>
            <w:kern w:val="0"/>
            <w:szCs w:val="22"/>
            <w:u w:val="single"/>
          </w:rPr>
          <w:t>2.2 AI Chatbots in Retail Service — Definitional Fragmentation</w:t>
        </w:r>
        <w:r>
          <w:rPr>
            <w:rFonts w:ascii="Arial" w:eastAsia="Arial" w:hAnsi="Arial"/>
            <w:kern w:val="0"/>
            <w:szCs w:val="22"/>
          </w:rPr>
          <w:tab/>
          <w:t>15</w:t>
        </w:r>
      </w:hyperlink>
    </w:p>
    <w:p w14:paraId="373758C7" w14:textId="77777777" w:rsidR="000C2202" w:rsidRDefault="00DA46A9">
      <w:pPr>
        <w:tabs>
          <w:tab w:val="right" w:leader="dot" w:pos="9350"/>
        </w:tabs>
        <w:spacing w:after="100" w:line="360" w:lineRule="auto"/>
        <w:ind w:left="220"/>
      </w:pPr>
      <w:hyperlink w:anchor="_Toc235807045" w:history="1">
        <w:r>
          <w:rPr>
            <w:rFonts w:ascii="Arial" w:eastAsia="Arial" w:hAnsi="Arial"/>
            <w:color w:val="0000FF"/>
            <w:kern w:val="0"/>
            <w:szCs w:val="22"/>
            <w:u w:val="single"/>
          </w:rPr>
          <w:t>2.3 Customer Satisfaction Theory in Chatbot Encounters</w:t>
        </w:r>
        <w:r>
          <w:rPr>
            <w:rFonts w:ascii="Arial" w:eastAsia="Arial" w:hAnsi="Arial"/>
            <w:kern w:val="0"/>
            <w:szCs w:val="22"/>
          </w:rPr>
          <w:tab/>
          <w:t>16</w:t>
        </w:r>
      </w:hyperlink>
    </w:p>
    <w:p w14:paraId="6155A541" w14:textId="77777777" w:rsidR="000C2202" w:rsidRDefault="00DA46A9">
      <w:pPr>
        <w:tabs>
          <w:tab w:val="right" w:leader="dot" w:pos="9350"/>
        </w:tabs>
        <w:spacing w:after="100" w:line="360" w:lineRule="auto"/>
        <w:ind w:left="220"/>
      </w:pPr>
      <w:hyperlink w:anchor="_Toc235807046" w:history="1">
        <w:r>
          <w:rPr>
            <w:rFonts w:ascii="Arial" w:eastAsia="Arial" w:hAnsi="Arial"/>
            <w:color w:val="0000FF"/>
            <w:kern w:val="0"/>
            <w:szCs w:val="22"/>
            <w:u w:val="single"/>
          </w:rPr>
          <w:t>2.4 SERVQUAL and Its Contested Fit to Automated Service</w:t>
        </w:r>
        <w:r>
          <w:rPr>
            <w:rFonts w:ascii="Arial" w:eastAsia="Arial" w:hAnsi="Arial"/>
            <w:kern w:val="0"/>
            <w:szCs w:val="22"/>
          </w:rPr>
          <w:tab/>
          <w:t>16</w:t>
        </w:r>
      </w:hyperlink>
    </w:p>
    <w:p w14:paraId="2DB19C16" w14:textId="77777777" w:rsidR="000C2202" w:rsidRDefault="00DA46A9">
      <w:pPr>
        <w:tabs>
          <w:tab w:val="right" w:leader="dot" w:pos="9350"/>
        </w:tabs>
        <w:spacing w:after="100" w:line="360" w:lineRule="auto"/>
        <w:ind w:left="220"/>
      </w:pPr>
      <w:hyperlink w:anchor="_Toc235807047" w:history="1">
        <w:r>
          <w:rPr>
            <w:rFonts w:ascii="Arial" w:eastAsia="Arial" w:hAnsi="Arial"/>
            <w:color w:val="0000FF"/>
            <w:kern w:val="0"/>
            <w:szCs w:val="22"/>
            <w:u w:val="single"/>
          </w:rPr>
          <w:t>2.5 Technology Acceptance Model — Insufficient for AI Agents</w:t>
        </w:r>
        <w:r>
          <w:rPr>
            <w:rFonts w:ascii="Arial" w:eastAsia="Arial" w:hAnsi="Arial"/>
            <w:kern w:val="0"/>
            <w:szCs w:val="22"/>
          </w:rPr>
          <w:tab/>
          <w:t>17</w:t>
        </w:r>
      </w:hyperlink>
    </w:p>
    <w:p w14:paraId="11BDB9EF" w14:textId="77777777" w:rsidR="000C2202" w:rsidRDefault="00DA46A9">
      <w:pPr>
        <w:tabs>
          <w:tab w:val="right" w:leader="dot" w:pos="9350"/>
        </w:tabs>
        <w:spacing w:after="100" w:line="360" w:lineRule="auto"/>
        <w:ind w:left="220"/>
      </w:pPr>
      <w:hyperlink w:anchor="_Toc235807048" w:history="1">
        <w:r>
          <w:rPr>
            <w:rFonts w:ascii="Arial" w:eastAsia="Arial" w:hAnsi="Arial"/>
            <w:color w:val="0000FF"/>
            <w:kern w:val="0"/>
            <w:szCs w:val="22"/>
            <w:u w:val="single"/>
          </w:rPr>
          <w:t>2.6 Empirical Evidence — Conflicting Findings in Retail</w:t>
        </w:r>
        <w:r>
          <w:rPr>
            <w:rFonts w:ascii="Arial" w:eastAsia="Arial" w:hAnsi="Arial"/>
            <w:kern w:val="0"/>
            <w:szCs w:val="22"/>
          </w:rPr>
          <w:tab/>
          <w:t>17</w:t>
        </w:r>
      </w:hyperlink>
    </w:p>
    <w:p w14:paraId="3692B34E" w14:textId="77777777" w:rsidR="000C2202" w:rsidRDefault="00DA46A9">
      <w:pPr>
        <w:tabs>
          <w:tab w:val="right" w:leader="dot" w:pos="9350"/>
        </w:tabs>
        <w:spacing w:after="100" w:line="360" w:lineRule="auto"/>
        <w:ind w:left="220"/>
      </w:pPr>
      <w:hyperlink w:anchor="_Toc235807049" w:history="1">
        <w:r>
          <w:rPr>
            <w:rFonts w:ascii="Arial" w:eastAsia="Arial" w:hAnsi="Arial"/>
            <w:color w:val="0000FF"/>
            <w:kern w:val="0"/>
            <w:szCs w:val="22"/>
            <w:u w:val="single"/>
          </w:rPr>
          <w:t>2.7 The UK Grocery Chatbot Context — A Sectoral Blind Spot</w:t>
        </w:r>
        <w:r>
          <w:rPr>
            <w:rFonts w:ascii="Arial" w:eastAsia="Arial" w:hAnsi="Arial"/>
            <w:kern w:val="0"/>
            <w:szCs w:val="22"/>
          </w:rPr>
          <w:tab/>
          <w:t>18</w:t>
        </w:r>
      </w:hyperlink>
    </w:p>
    <w:p w14:paraId="34F59AFE" w14:textId="77777777" w:rsidR="000C2202" w:rsidRDefault="00DA46A9">
      <w:pPr>
        <w:tabs>
          <w:tab w:val="right" w:leader="dot" w:pos="9350"/>
        </w:tabs>
        <w:spacing w:after="100" w:line="360" w:lineRule="auto"/>
        <w:ind w:left="220"/>
      </w:pPr>
      <w:hyperlink w:anchor="_Toc235807050" w:history="1">
        <w:r>
          <w:rPr>
            <w:rFonts w:ascii="Arial" w:eastAsia="Arial" w:hAnsi="Arial"/>
            <w:color w:val="0000FF"/>
            <w:kern w:val="0"/>
            <w:szCs w:val="22"/>
            <w:u w:val="single"/>
          </w:rPr>
          <w:t>2.8 Conceptual Framework and Research Gap</w:t>
        </w:r>
        <w:r>
          <w:rPr>
            <w:rFonts w:ascii="Arial" w:eastAsia="Arial" w:hAnsi="Arial"/>
            <w:kern w:val="0"/>
            <w:szCs w:val="22"/>
          </w:rPr>
          <w:tab/>
          <w:t>18</w:t>
        </w:r>
      </w:hyperlink>
    </w:p>
    <w:p w14:paraId="4D47CC14" w14:textId="77777777" w:rsidR="000C2202" w:rsidRDefault="00DA46A9">
      <w:pPr>
        <w:tabs>
          <w:tab w:val="right" w:leader="dot" w:pos="9350"/>
        </w:tabs>
        <w:spacing w:after="100" w:line="360" w:lineRule="auto"/>
      </w:pPr>
      <w:hyperlink w:anchor="_Toc235807051" w:history="1">
        <w:r>
          <w:rPr>
            <w:rFonts w:ascii="Arial" w:eastAsia="Arial" w:hAnsi="Arial"/>
            <w:color w:val="0000FF"/>
            <w:kern w:val="0"/>
            <w:szCs w:val="22"/>
            <w:u w:val="single"/>
          </w:rPr>
          <w:t>Chapter 3 Research Methodology</w:t>
        </w:r>
        <w:r>
          <w:rPr>
            <w:rFonts w:ascii="Arial" w:eastAsia="Arial" w:hAnsi="Arial"/>
            <w:kern w:val="0"/>
            <w:szCs w:val="22"/>
          </w:rPr>
          <w:tab/>
          <w:t>20</w:t>
        </w:r>
      </w:hyperlink>
    </w:p>
    <w:p w14:paraId="566CF1E2" w14:textId="77777777" w:rsidR="000C2202" w:rsidRDefault="00DA46A9">
      <w:pPr>
        <w:tabs>
          <w:tab w:val="right" w:leader="dot" w:pos="9350"/>
        </w:tabs>
        <w:spacing w:after="100" w:line="360" w:lineRule="auto"/>
        <w:ind w:left="220"/>
      </w:pPr>
      <w:hyperlink w:anchor="_Toc235807052" w:history="1">
        <w:r>
          <w:rPr>
            <w:rFonts w:ascii="Arial" w:eastAsia="Arial" w:hAnsi="Arial"/>
            <w:color w:val="0000FF"/>
            <w:kern w:val="0"/>
            <w:szCs w:val="22"/>
            <w:u w:val="single"/>
          </w:rPr>
          <w:t>3.1 Introduction</w:t>
        </w:r>
        <w:r>
          <w:rPr>
            <w:rFonts w:ascii="Arial" w:eastAsia="Arial" w:hAnsi="Arial"/>
            <w:kern w:val="0"/>
            <w:szCs w:val="22"/>
          </w:rPr>
          <w:tab/>
          <w:t>20</w:t>
        </w:r>
      </w:hyperlink>
    </w:p>
    <w:p w14:paraId="2C88440B" w14:textId="77777777" w:rsidR="000C2202" w:rsidRDefault="00DA46A9">
      <w:pPr>
        <w:tabs>
          <w:tab w:val="right" w:leader="dot" w:pos="9350"/>
        </w:tabs>
        <w:spacing w:after="100" w:line="360" w:lineRule="auto"/>
        <w:ind w:left="220"/>
      </w:pPr>
      <w:hyperlink w:anchor="_Toc235807053" w:history="1">
        <w:r>
          <w:rPr>
            <w:rFonts w:ascii="Arial" w:eastAsia="Arial" w:hAnsi="Arial"/>
            <w:color w:val="0000FF"/>
            <w:kern w:val="0"/>
            <w:szCs w:val="22"/>
            <w:u w:val="single"/>
          </w:rPr>
          <w:t>3.2 Research Philosophy — Interpretivism</w:t>
        </w:r>
        <w:r>
          <w:rPr>
            <w:rFonts w:ascii="Arial" w:eastAsia="Arial" w:hAnsi="Arial"/>
            <w:kern w:val="0"/>
            <w:szCs w:val="22"/>
          </w:rPr>
          <w:tab/>
          <w:t>20</w:t>
        </w:r>
      </w:hyperlink>
    </w:p>
    <w:p w14:paraId="02A724C7" w14:textId="77777777" w:rsidR="000C2202" w:rsidRDefault="00DA46A9">
      <w:pPr>
        <w:tabs>
          <w:tab w:val="right" w:leader="dot" w:pos="9350"/>
        </w:tabs>
        <w:spacing w:after="100" w:line="360" w:lineRule="auto"/>
        <w:ind w:left="220"/>
      </w:pPr>
      <w:hyperlink w:anchor="_Toc235807054" w:history="1">
        <w:r>
          <w:rPr>
            <w:rFonts w:ascii="Arial" w:eastAsia="Arial" w:hAnsi="Arial"/>
            <w:color w:val="0000FF"/>
            <w:kern w:val="0"/>
            <w:szCs w:val="22"/>
            <w:u w:val="single"/>
          </w:rPr>
          <w:t>3.3 Research Approach — Inductive</w:t>
        </w:r>
        <w:r>
          <w:rPr>
            <w:rFonts w:ascii="Arial" w:eastAsia="Arial" w:hAnsi="Arial"/>
            <w:kern w:val="0"/>
            <w:szCs w:val="22"/>
          </w:rPr>
          <w:tab/>
          <w:t>20</w:t>
        </w:r>
      </w:hyperlink>
    </w:p>
    <w:p w14:paraId="613AA468" w14:textId="77777777" w:rsidR="000C2202" w:rsidRDefault="00DA46A9">
      <w:pPr>
        <w:tabs>
          <w:tab w:val="right" w:leader="dot" w:pos="9350"/>
        </w:tabs>
        <w:spacing w:after="100" w:line="360" w:lineRule="auto"/>
        <w:ind w:left="220"/>
      </w:pPr>
      <w:hyperlink w:anchor="_Toc235807055" w:history="1">
        <w:r>
          <w:rPr>
            <w:rFonts w:ascii="Arial" w:eastAsia="Arial" w:hAnsi="Arial"/>
            <w:color w:val="0000FF"/>
            <w:kern w:val="0"/>
            <w:szCs w:val="22"/>
            <w:u w:val="single"/>
          </w:rPr>
          <w:t>3.4 Research Strategy — Single Case Study of Tesco</w:t>
        </w:r>
        <w:r>
          <w:rPr>
            <w:rFonts w:ascii="Arial" w:eastAsia="Arial" w:hAnsi="Arial"/>
            <w:kern w:val="0"/>
            <w:szCs w:val="22"/>
          </w:rPr>
          <w:tab/>
          <w:t>21</w:t>
        </w:r>
      </w:hyperlink>
    </w:p>
    <w:p w14:paraId="21C219E1" w14:textId="77777777" w:rsidR="000C2202" w:rsidRDefault="00DA46A9">
      <w:pPr>
        <w:tabs>
          <w:tab w:val="right" w:leader="dot" w:pos="9350"/>
        </w:tabs>
        <w:spacing w:after="100" w:line="360" w:lineRule="auto"/>
        <w:ind w:left="220"/>
      </w:pPr>
      <w:hyperlink w:anchor="_Toc235807056" w:history="1">
        <w:r>
          <w:rPr>
            <w:rFonts w:ascii="Arial" w:eastAsia="Arial" w:hAnsi="Arial"/>
            <w:color w:val="0000FF"/>
            <w:kern w:val="0"/>
            <w:szCs w:val="22"/>
            <w:u w:val="single"/>
          </w:rPr>
          <w:t>3.5 Research Design — Qualitative Secondary Research</w:t>
        </w:r>
        <w:r>
          <w:rPr>
            <w:rFonts w:ascii="Arial" w:eastAsia="Arial" w:hAnsi="Arial"/>
            <w:kern w:val="0"/>
            <w:szCs w:val="22"/>
          </w:rPr>
          <w:tab/>
          <w:t>21</w:t>
        </w:r>
      </w:hyperlink>
    </w:p>
    <w:p w14:paraId="2E678D07" w14:textId="77777777" w:rsidR="000C2202" w:rsidRDefault="00DA46A9">
      <w:pPr>
        <w:tabs>
          <w:tab w:val="right" w:leader="dot" w:pos="9350"/>
        </w:tabs>
        <w:spacing w:after="100" w:line="360" w:lineRule="auto"/>
        <w:ind w:left="220"/>
      </w:pPr>
      <w:hyperlink w:anchor="_Toc235807057" w:history="1">
        <w:r>
          <w:rPr>
            <w:rFonts w:ascii="Arial" w:eastAsia="Arial" w:hAnsi="Arial"/>
            <w:color w:val="0000FF"/>
            <w:kern w:val="0"/>
            <w:szCs w:val="22"/>
            <w:u w:val="single"/>
          </w:rPr>
          <w:t>3.6 Data Collection Tools and Techniques</w:t>
        </w:r>
        <w:r>
          <w:rPr>
            <w:rFonts w:ascii="Arial" w:eastAsia="Arial" w:hAnsi="Arial"/>
            <w:kern w:val="0"/>
            <w:szCs w:val="22"/>
          </w:rPr>
          <w:tab/>
          <w:t>21</w:t>
        </w:r>
      </w:hyperlink>
    </w:p>
    <w:p w14:paraId="559A1989" w14:textId="77777777" w:rsidR="000C2202" w:rsidRDefault="00DA46A9">
      <w:pPr>
        <w:tabs>
          <w:tab w:val="right" w:leader="dot" w:pos="9350"/>
        </w:tabs>
        <w:spacing w:after="100" w:line="360" w:lineRule="auto"/>
        <w:ind w:left="220"/>
      </w:pPr>
      <w:hyperlink w:anchor="_Toc235807058" w:history="1">
        <w:r>
          <w:rPr>
            <w:rFonts w:ascii="Arial" w:eastAsia="Arial" w:hAnsi="Arial"/>
            <w:color w:val="0000FF"/>
            <w:kern w:val="0"/>
            <w:szCs w:val="22"/>
            <w:u w:val="single"/>
          </w:rPr>
          <w:t>3.7 Sampling Technique — Purposive Document Sampling</w:t>
        </w:r>
        <w:r>
          <w:rPr>
            <w:rFonts w:ascii="Arial" w:eastAsia="Arial" w:hAnsi="Arial"/>
            <w:kern w:val="0"/>
            <w:szCs w:val="22"/>
          </w:rPr>
          <w:tab/>
          <w:t>22</w:t>
        </w:r>
      </w:hyperlink>
    </w:p>
    <w:p w14:paraId="13D28E5D" w14:textId="77777777" w:rsidR="000C2202" w:rsidRDefault="00DA46A9">
      <w:pPr>
        <w:tabs>
          <w:tab w:val="right" w:leader="dot" w:pos="9350"/>
        </w:tabs>
        <w:spacing w:after="100" w:line="360" w:lineRule="auto"/>
        <w:ind w:left="220"/>
      </w:pPr>
      <w:hyperlink w:anchor="_Toc235807059" w:history="1">
        <w:r>
          <w:rPr>
            <w:rFonts w:ascii="Arial" w:eastAsia="Arial" w:hAnsi="Arial"/>
            <w:color w:val="0000FF"/>
            <w:kern w:val="0"/>
            <w:szCs w:val="22"/>
            <w:u w:val="single"/>
          </w:rPr>
          <w:t>3.8 Data Analysis Tools — Reflexive Thematic Analysis</w:t>
        </w:r>
        <w:r>
          <w:rPr>
            <w:rFonts w:ascii="Arial" w:eastAsia="Arial" w:hAnsi="Arial"/>
            <w:kern w:val="0"/>
            <w:szCs w:val="22"/>
          </w:rPr>
          <w:tab/>
          <w:t>23</w:t>
        </w:r>
      </w:hyperlink>
    </w:p>
    <w:p w14:paraId="0FAC475A" w14:textId="77777777" w:rsidR="000C2202" w:rsidRDefault="00DA46A9">
      <w:pPr>
        <w:tabs>
          <w:tab w:val="right" w:leader="dot" w:pos="9350"/>
        </w:tabs>
        <w:spacing w:after="100" w:line="360" w:lineRule="auto"/>
        <w:ind w:left="220"/>
      </w:pPr>
      <w:hyperlink w:anchor="_Toc235807060" w:history="1">
        <w:r>
          <w:rPr>
            <w:rFonts w:ascii="Arial" w:eastAsia="Arial" w:hAnsi="Arial"/>
            <w:color w:val="0000FF"/>
            <w:kern w:val="0"/>
            <w:szCs w:val="22"/>
            <w:u w:val="single"/>
          </w:rPr>
          <w:t>3.9 Reliability, Validity and Trustworthiness</w:t>
        </w:r>
        <w:r>
          <w:rPr>
            <w:rFonts w:ascii="Arial" w:eastAsia="Arial" w:hAnsi="Arial"/>
            <w:kern w:val="0"/>
            <w:szCs w:val="22"/>
          </w:rPr>
          <w:tab/>
          <w:t>23</w:t>
        </w:r>
      </w:hyperlink>
    </w:p>
    <w:p w14:paraId="5F39F8B2" w14:textId="77777777" w:rsidR="000C2202" w:rsidRDefault="00DA46A9">
      <w:pPr>
        <w:tabs>
          <w:tab w:val="right" w:leader="dot" w:pos="9350"/>
        </w:tabs>
        <w:spacing w:after="100" w:line="360" w:lineRule="auto"/>
        <w:ind w:left="220"/>
      </w:pPr>
      <w:hyperlink w:anchor="_Toc235807061" w:history="1">
        <w:r>
          <w:rPr>
            <w:rFonts w:ascii="Arial" w:eastAsia="Arial" w:hAnsi="Arial"/>
            <w:color w:val="0000FF"/>
            <w:kern w:val="0"/>
            <w:szCs w:val="22"/>
            <w:u w:val="single"/>
          </w:rPr>
          <w:t>3.10 Ethical Considerations</w:t>
        </w:r>
        <w:r>
          <w:rPr>
            <w:rFonts w:ascii="Arial" w:eastAsia="Arial" w:hAnsi="Arial"/>
            <w:kern w:val="0"/>
            <w:szCs w:val="22"/>
          </w:rPr>
          <w:tab/>
          <w:t>23</w:t>
        </w:r>
      </w:hyperlink>
    </w:p>
    <w:p w14:paraId="4E06BCEC" w14:textId="77777777" w:rsidR="000C2202" w:rsidRDefault="00DA46A9">
      <w:pPr>
        <w:tabs>
          <w:tab w:val="right" w:leader="dot" w:pos="9350"/>
        </w:tabs>
        <w:spacing w:after="100" w:line="360" w:lineRule="auto"/>
        <w:ind w:left="220"/>
      </w:pPr>
      <w:hyperlink w:anchor="_Toc235807062" w:history="1">
        <w:r>
          <w:rPr>
            <w:rFonts w:ascii="Arial" w:eastAsia="Arial" w:hAnsi="Arial"/>
            <w:color w:val="0000FF"/>
            <w:kern w:val="0"/>
            <w:szCs w:val="22"/>
            <w:u w:val="single"/>
          </w:rPr>
          <w:t>3.11 Research Time Frame</w:t>
        </w:r>
        <w:r>
          <w:rPr>
            <w:rFonts w:ascii="Arial" w:eastAsia="Arial" w:hAnsi="Arial"/>
            <w:kern w:val="0"/>
            <w:szCs w:val="22"/>
          </w:rPr>
          <w:tab/>
          <w:t>24</w:t>
        </w:r>
      </w:hyperlink>
    </w:p>
    <w:p w14:paraId="738A9807" w14:textId="77777777" w:rsidR="000C2202" w:rsidRDefault="00DA46A9">
      <w:pPr>
        <w:tabs>
          <w:tab w:val="right" w:leader="dot" w:pos="9350"/>
        </w:tabs>
        <w:spacing w:after="100" w:line="360" w:lineRule="auto"/>
        <w:ind w:left="220"/>
      </w:pPr>
      <w:hyperlink w:anchor="_Toc235807063" w:history="1">
        <w:r>
          <w:rPr>
            <w:rFonts w:ascii="Arial" w:eastAsia="Arial" w:hAnsi="Arial"/>
            <w:color w:val="0000FF"/>
            <w:kern w:val="0"/>
            <w:szCs w:val="22"/>
            <w:u w:val="single"/>
          </w:rPr>
          <w:t>3.12 Chapter Summary</w:t>
        </w:r>
        <w:r>
          <w:rPr>
            <w:rFonts w:ascii="Arial" w:eastAsia="Arial" w:hAnsi="Arial"/>
            <w:kern w:val="0"/>
            <w:szCs w:val="22"/>
          </w:rPr>
          <w:tab/>
          <w:t>24</w:t>
        </w:r>
      </w:hyperlink>
    </w:p>
    <w:p w14:paraId="26F72CC5" w14:textId="77777777" w:rsidR="000C2202" w:rsidRDefault="00DA46A9">
      <w:pPr>
        <w:tabs>
          <w:tab w:val="right" w:leader="dot" w:pos="9350"/>
        </w:tabs>
        <w:spacing w:after="100" w:line="360" w:lineRule="auto"/>
      </w:pPr>
      <w:hyperlink w:anchor="_Toc235807064" w:history="1">
        <w:r>
          <w:rPr>
            <w:rFonts w:ascii="Arial" w:eastAsia="Arial" w:hAnsi="Arial"/>
            <w:color w:val="0000FF"/>
            <w:kern w:val="0"/>
            <w:szCs w:val="22"/>
            <w:u w:val="single"/>
          </w:rPr>
          <w:t>Chapter 4 Analysis, Findings and Discussion</w:t>
        </w:r>
        <w:r>
          <w:rPr>
            <w:rFonts w:ascii="Arial" w:eastAsia="Arial" w:hAnsi="Arial"/>
            <w:kern w:val="0"/>
            <w:szCs w:val="22"/>
          </w:rPr>
          <w:tab/>
          <w:t>26</w:t>
        </w:r>
      </w:hyperlink>
    </w:p>
    <w:p w14:paraId="737D4E84" w14:textId="77777777" w:rsidR="000C2202" w:rsidRDefault="00DA46A9">
      <w:pPr>
        <w:tabs>
          <w:tab w:val="right" w:leader="dot" w:pos="9350"/>
        </w:tabs>
        <w:spacing w:after="100" w:line="360" w:lineRule="auto"/>
        <w:ind w:left="220"/>
      </w:pPr>
      <w:hyperlink w:anchor="_Toc235807065" w:history="1">
        <w:r>
          <w:rPr>
            <w:rFonts w:ascii="Arial" w:eastAsia="Arial" w:hAnsi="Arial"/>
            <w:color w:val="0000FF"/>
            <w:kern w:val="0"/>
            <w:szCs w:val="22"/>
            <w:u w:val="single"/>
          </w:rPr>
          <w:t>4.1 Introduction</w:t>
        </w:r>
        <w:r>
          <w:rPr>
            <w:rFonts w:ascii="Arial" w:eastAsia="Arial" w:hAnsi="Arial"/>
            <w:kern w:val="0"/>
            <w:szCs w:val="22"/>
          </w:rPr>
          <w:tab/>
          <w:t>26</w:t>
        </w:r>
      </w:hyperlink>
    </w:p>
    <w:p w14:paraId="293A0CB3" w14:textId="77777777" w:rsidR="000C2202" w:rsidRDefault="00DA46A9">
      <w:pPr>
        <w:tabs>
          <w:tab w:val="right" w:leader="dot" w:pos="9350"/>
        </w:tabs>
        <w:spacing w:after="100" w:line="360" w:lineRule="auto"/>
        <w:ind w:left="220"/>
      </w:pPr>
      <w:hyperlink w:anchor="_Toc235807066" w:history="1">
        <w:r>
          <w:rPr>
            <w:rFonts w:ascii="Arial" w:eastAsia="Arial" w:hAnsi="Arial"/>
            <w:color w:val="0000FF"/>
            <w:kern w:val="0"/>
            <w:szCs w:val="22"/>
            <w:u w:val="single"/>
          </w:rPr>
          <w:t>4.2 Overview of the Evidence Base</w:t>
        </w:r>
        <w:r>
          <w:rPr>
            <w:rFonts w:ascii="Arial" w:eastAsia="Arial" w:hAnsi="Arial"/>
            <w:kern w:val="0"/>
            <w:szCs w:val="22"/>
          </w:rPr>
          <w:tab/>
          <w:t>26</w:t>
        </w:r>
      </w:hyperlink>
    </w:p>
    <w:p w14:paraId="3305F456" w14:textId="77777777" w:rsidR="000C2202" w:rsidRDefault="00DA46A9">
      <w:pPr>
        <w:tabs>
          <w:tab w:val="right" w:leader="dot" w:pos="9350"/>
        </w:tabs>
        <w:spacing w:after="100" w:line="360" w:lineRule="auto"/>
        <w:ind w:left="220"/>
      </w:pPr>
      <w:hyperlink w:anchor="_Toc235807067" w:history="1">
        <w:r>
          <w:rPr>
            <w:rFonts w:ascii="Arial" w:eastAsia="Arial" w:hAnsi="Arial"/>
            <w:color w:val="0000FF"/>
            <w:kern w:val="0"/>
            <w:szCs w:val="22"/>
            <w:u w:val="single"/>
          </w:rPr>
          <w:t>4.3 Theme 1 — Response Time and 24/7 Availability</w:t>
        </w:r>
        <w:r>
          <w:rPr>
            <w:rFonts w:ascii="Arial" w:eastAsia="Arial" w:hAnsi="Arial"/>
            <w:kern w:val="0"/>
            <w:szCs w:val="22"/>
          </w:rPr>
          <w:tab/>
          <w:t>27</w:t>
        </w:r>
      </w:hyperlink>
    </w:p>
    <w:p w14:paraId="067B61C2" w14:textId="77777777" w:rsidR="000C2202" w:rsidRDefault="00DA46A9">
      <w:pPr>
        <w:tabs>
          <w:tab w:val="right" w:leader="dot" w:pos="9350"/>
        </w:tabs>
        <w:spacing w:after="100" w:line="360" w:lineRule="auto"/>
        <w:ind w:left="220"/>
      </w:pPr>
      <w:hyperlink w:anchor="_Toc235807068" w:history="1">
        <w:r>
          <w:rPr>
            <w:rFonts w:ascii="Arial" w:eastAsia="Arial" w:hAnsi="Arial"/>
            <w:color w:val="0000FF"/>
            <w:kern w:val="0"/>
            <w:szCs w:val="22"/>
            <w:u w:val="single"/>
          </w:rPr>
          <w:t>4.4 Theme 2 — Accuracy, Reliability and Query Complexity</w:t>
        </w:r>
        <w:r>
          <w:rPr>
            <w:rFonts w:ascii="Arial" w:eastAsia="Arial" w:hAnsi="Arial"/>
            <w:kern w:val="0"/>
            <w:szCs w:val="22"/>
          </w:rPr>
          <w:tab/>
          <w:t>28</w:t>
        </w:r>
      </w:hyperlink>
    </w:p>
    <w:p w14:paraId="46621323" w14:textId="77777777" w:rsidR="000C2202" w:rsidRDefault="00DA46A9">
      <w:pPr>
        <w:tabs>
          <w:tab w:val="right" w:leader="dot" w:pos="9350"/>
        </w:tabs>
        <w:spacing w:after="100" w:line="360" w:lineRule="auto"/>
        <w:ind w:left="220"/>
      </w:pPr>
      <w:hyperlink w:anchor="_Toc235807069" w:history="1">
        <w:r>
          <w:rPr>
            <w:rFonts w:ascii="Arial" w:eastAsia="Arial" w:hAnsi="Arial"/>
            <w:color w:val="0000FF"/>
            <w:kern w:val="0"/>
            <w:szCs w:val="22"/>
            <w:u w:val="single"/>
          </w:rPr>
          <w:t>4.5 Theme 3 — Trust, Data Privacy and Perceived Empathy</w:t>
        </w:r>
        <w:r>
          <w:rPr>
            <w:rFonts w:ascii="Arial" w:eastAsia="Arial" w:hAnsi="Arial"/>
            <w:kern w:val="0"/>
            <w:szCs w:val="22"/>
          </w:rPr>
          <w:tab/>
          <w:t>29</w:t>
        </w:r>
      </w:hyperlink>
    </w:p>
    <w:p w14:paraId="3B850061" w14:textId="77777777" w:rsidR="000C2202" w:rsidRDefault="00DA46A9">
      <w:pPr>
        <w:tabs>
          <w:tab w:val="right" w:leader="dot" w:pos="9350"/>
        </w:tabs>
        <w:spacing w:after="100" w:line="360" w:lineRule="auto"/>
        <w:ind w:left="220"/>
      </w:pPr>
      <w:hyperlink w:anchor="_Toc235807070" w:history="1">
        <w:r>
          <w:rPr>
            <w:rFonts w:ascii="Arial" w:eastAsia="Arial" w:hAnsi="Arial"/>
            <w:color w:val="0000FF"/>
            <w:kern w:val="0"/>
            <w:szCs w:val="22"/>
            <w:u w:val="single"/>
          </w:rPr>
          <w:t>4.6 Theme 4 — Human Handover and Escalation Friction</w:t>
        </w:r>
        <w:r>
          <w:rPr>
            <w:rFonts w:ascii="Arial" w:eastAsia="Arial" w:hAnsi="Arial"/>
            <w:kern w:val="0"/>
            <w:szCs w:val="22"/>
          </w:rPr>
          <w:tab/>
          <w:t>31</w:t>
        </w:r>
      </w:hyperlink>
    </w:p>
    <w:p w14:paraId="786C5AD5" w14:textId="77777777" w:rsidR="000C2202" w:rsidRDefault="00DA46A9">
      <w:pPr>
        <w:tabs>
          <w:tab w:val="right" w:leader="dot" w:pos="9350"/>
        </w:tabs>
        <w:spacing w:after="100" w:line="360" w:lineRule="auto"/>
        <w:ind w:left="220"/>
      </w:pPr>
      <w:hyperlink w:anchor="_Toc235807071" w:history="1">
        <w:r>
          <w:rPr>
            <w:rFonts w:ascii="Arial" w:eastAsia="Arial" w:hAnsi="Arial"/>
            <w:color w:val="0000FF"/>
            <w:kern w:val="0"/>
            <w:szCs w:val="22"/>
            <w:u w:val="single"/>
          </w:rPr>
          <w:t>4.7 Theme 5 — Personalisation and the Generative-AI Shift</w:t>
        </w:r>
        <w:r>
          <w:rPr>
            <w:rFonts w:ascii="Arial" w:eastAsia="Arial" w:hAnsi="Arial"/>
            <w:kern w:val="0"/>
            <w:szCs w:val="22"/>
          </w:rPr>
          <w:tab/>
          <w:t>31</w:t>
        </w:r>
      </w:hyperlink>
    </w:p>
    <w:p w14:paraId="6FE59629" w14:textId="77777777" w:rsidR="000C2202" w:rsidRDefault="00DA46A9">
      <w:pPr>
        <w:tabs>
          <w:tab w:val="right" w:leader="dot" w:pos="9350"/>
        </w:tabs>
        <w:spacing w:after="100" w:line="360" w:lineRule="auto"/>
        <w:ind w:left="220"/>
      </w:pPr>
      <w:hyperlink w:anchor="_Toc235807072" w:history="1">
        <w:r>
          <w:rPr>
            <w:rFonts w:ascii="Arial" w:eastAsia="Arial" w:hAnsi="Arial"/>
            <w:color w:val="0000FF"/>
            <w:kern w:val="0"/>
            <w:szCs w:val="22"/>
            <w:u w:val="single"/>
          </w:rPr>
          <w:t>4.8 Cross-Theme Discussion — Answering the Research Questions</w:t>
        </w:r>
        <w:r>
          <w:rPr>
            <w:rFonts w:ascii="Arial" w:eastAsia="Arial" w:hAnsi="Arial"/>
            <w:kern w:val="0"/>
            <w:szCs w:val="22"/>
          </w:rPr>
          <w:tab/>
          <w:t>33</w:t>
        </w:r>
      </w:hyperlink>
    </w:p>
    <w:p w14:paraId="55BE9B9A" w14:textId="77777777" w:rsidR="000C2202" w:rsidRDefault="00DA46A9">
      <w:pPr>
        <w:tabs>
          <w:tab w:val="right" w:leader="dot" w:pos="9350"/>
        </w:tabs>
        <w:spacing w:after="100" w:line="360" w:lineRule="auto"/>
        <w:ind w:left="220"/>
      </w:pPr>
      <w:hyperlink w:anchor="_Toc235807073" w:history="1">
        <w:r>
          <w:rPr>
            <w:rFonts w:ascii="Arial" w:eastAsia="Arial" w:hAnsi="Arial"/>
            <w:color w:val="0000FF"/>
            <w:kern w:val="0"/>
            <w:szCs w:val="22"/>
            <w:u w:val="single"/>
          </w:rPr>
          <w:t>4.9 Chapter Summary</w:t>
        </w:r>
        <w:r>
          <w:rPr>
            <w:rFonts w:ascii="Arial" w:eastAsia="Arial" w:hAnsi="Arial"/>
            <w:kern w:val="0"/>
            <w:szCs w:val="22"/>
          </w:rPr>
          <w:tab/>
          <w:t>34</w:t>
        </w:r>
      </w:hyperlink>
    </w:p>
    <w:p w14:paraId="0C6454C4" w14:textId="77777777" w:rsidR="000C2202" w:rsidRDefault="00DA46A9">
      <w:pPr>
        <w:tabs>
          <w:tab w:val="right" w:leader="dot" w:pos="9350"/>
        </w:tabs>
        <w:spacing w:after="100" w:line="360" w:lineRule="auto"/>
      </w:pPr>
      <w:hyperlink w:anchor="_Toc235807074" w:history="1">
        <w:r>
          <w:rPr>
            <w:rFonts w:ascii="Arial" w:eastAsia="Arial" w:hAnsi="Arial"/>
            <w:color w:val="0000FF"/>
            <w:kern w:val="0"/>
            <w:szCs w:val="22"/>
            <w:u w:val="single"/>
          </w:rPr>
          <w:t>Chapter 5 Conclusion, Limitations and Recommendations</w:t>
        </w:r>
        <w:r>
          <w:rPr>
            <w:rFonts w:ascii="Arial" w:eastAsia="Arial" w:hAnsi="Arial"/>
            <w:kern w:val="0"/>
            <w:szCs w:val="22"/>
          </w:rPr>
          <w:tab/>
          <w:t>35</w:t>
        </w:r>
      </w:hyperlink>
    </w:p>
    <w:p w14:paraId="00149350" w14:textId="77777777" w:rsidR="000C2202" w:rsidRDefault="00DA46A9">
      <w:pPr>
        <w:tabs>
          <w:tab w:val="right" w:leader="dot" w:pos="9350"/>
        </w:tabs>
        <w:spacing w:after="100" w:line="360" w:lineRule="auto"/>
        <w:ind w:left="220"/>
      </w:pPr>
      <w:hyperlink w:anchor="_Toc235807075" w:history="1">
        <w:r>
          <w:rPr>
            <w:rFonts w:ascii="Arial" w:eastAsia="Arial" w:hAnsi="Arial"/>
            <w:color w:val="0000FF"/>
            <w:kern w:val="0"/>
            <w:szCs w:val="22"/>
            <w:u w:val="single"/>
          </w:rPr>
          <w:t>5.1 Introduction</w:t>
        </w:r>
        <w:r>
          <w:rPr>
            <w:rFonts w:ascii="Arial" w:eastAsia="Arial" w:hAnsi="Arial"/>
            <w:kern w:val="0"/>
            <w:szCs w:val="22"/>
          </w:rPr>
          <w:tab/>
          <w:t>35</w:t>
        </w:r>
      </w:hyperlink>
    </w:p>
    <w:p w14:paraId="306408B4" w14:textId="77777777" w:rsidR="000C2202" w:rsidRDefault="00DA46A9">
      <w:pPr>
        <w:tabs>
          <w:tab w:val="right" w:leader="dot" w:pos="9350"/>
        </w:tabs>
        <w:spacing w:after="100" w:line="360" w:lineRule="auto"/>
        <w:ind w:left="220"/>
      </w:pPr>
      <w:hyperlink w:anchor="_Toc235807076" w:history="1">
        <w:r>
          <w:rPr>
            <w:rFonts w:ascii="Arial" w:eastAsia="Arial" w:hAnsi="Arial"/>
            <w:color w:val="0000FF"/>
            <w:kern w:val="0"/>
            <w:szCs w:val="22"/>
            <w:u w:val="single"/>
          </w:rPr>
          <w:t>5.2 Summary of Findings against Objectives</w:t>
        </w:r>
        <w:r>
          <w:rPr>
            <w:rFonts w:ascii="Arial" w:eastAsia="Arial" w:hAnsi="Arial"/>
            <w:kern w:val="0"/>
            <w:szCs w:val="22"/>
          </w:rPr>
          <w:tab/>
          <w:t>35</w:t>
        </w:r>
      </w:hyperlink>
    </w:p>
    <w:p w14:paraId="08AEB46B" w14:textId="77777777" w:rsidR="000C2202" w:rsidRDefault="00DA46A9">
      <w:pPr>
        <w:tabs>
          <w:tab w:val="right" w:leader="dot" w:pos="9350"/>
        </w:tabs>
        <w:spacing w:after="100" w:line="360" w:lineRule="auto"/>
        <w:ind w:left="220"/>
      </w:pPr>
      <w:hyperlink w:anchor="_Toc235807077" w:history="1">
        <w:r>
          <w:rPr>
            <w:rFonts w:ascii="Arial" w:eastAsia="Arial" w:hAnsi="Arial"/>
            <w:color w:val="0000FF"/>
            <w:kern w:val="0"/>
            <w:szCs w:val="22"/>
            <w:u w:val="single"/>
          </w:rPr>
          <w:t>5.3 Accomplishment of the Research Aim</w:t>
        </w:r>
        <w:r>
          <w:rPr>
            <w:rFonts w:ascii="Arial" w:eastAsia="Arial" w:hAnsi="Arial"/>
            <w:kern w:val="0"/>
            <w:szCs w:val="22"/>
          </w:rPr>
          <w:tab/>
          <w:t>35</w:t>
        </w:r>
      </w:hyperlink>
    </w:p>
    <w:p w14:paraId="314C1183" w14:textId="77777777" w:rsidR="000C2202" w:rsidRDefault="00DA46A9">
      <w:pPr>
        <w:tabs>
          <w:tab w:val="right" w:leader="dot" w:pos="9350"/>
        </w:tabs>
        <w:spacing w:after="100" w:line="360" w:lineRule="auto"/>
        <w:ind w:left="220"/>
      </w:pPr>
      <w:hyperlink w:anchor="_Toc235807078" w:history="1">
        <w:r>
          <w:rPr>
            <w:rFonts w:ascii="Arial" w:eastAsia="Arial" w:hAnsi="Arial"/>
            <w:color w:val="0000FF"/>
            <w:kern w:val="0"/>
            <w:szCs w:val="22"/>
            <w:u w:val="single"/>
          </w:rPr>
          <w:t>5.4 Original Contribution</w:t>
        </w:r>
        <w:r>
          <w:rPr>
            <w:rFonts w:ascii="Arial" w:eastAsia="Arial" w:hAnsi="Arial"/>
            <w:kern w:val="0"/>
            <w:szCs w:val="22"/>
          </w:rPr>
          <w:tab/>
          <w:t>36</w:t>
        </w:r>
      </w:hyperlink>
    </w:p>
    <w:p w14:paraId="4E48A19C" w14:textId="77777777" w:rsidR="000C2202" w:rsidRDefault="00DA46A9">
      <w:pPr>
        <w:tabs>
          <w:tab w:val="right" w:leader="dot" w:pos="9350"/>
        </w:tabs>
        <w:spacing w:after="100" w:line="360" w:lineRule="auto"/>
        <w:ind w:left="220"/>
      </w:pPr>
      <w:hyperlink w:anchor="_Toc235807079" w:history="1">
        <w:r>
          <w:rPr>
            <w:rFonts w:ascii="Arial" w:eastAsia="Arial" w:hAnsi="Arial"/>
            <w:color w:val="0000FF"/>
            <w:kern w:val="0"/>
            <w:szCs w:val="22"/>
            <w:u w:val="single"/>
          </w:rPr>
          <w:t>5.5 Recommendations</w:t>
        </w:r>
        <w:r>
          <w:rPr>
            <w:rFonts w:ascii="Arial" w:eastAsia="Arial" w:hAnsi="Arial"/>
            <w:kern w:val="0"/>
            <w:szCs w:val="22"/>
          </w:rPr>
          <w:tab/>
          <w:t>36</w:t>
        </w:r>
      </w:hyperlink>
    </w:p>
    <w:p w14:paraId="536CC167" w14:textId="77777777" w:rsidR="000C2202" w:rsidRDefault="00DA46A9">
      <w:pPr>
        <w:tabs>
          <w:tab w:val="right" w:leader="dot" w:pos="9350"/>
        </w:tabs>
        <w:spacing w:after="100" w:line="360" w:lineRule="auto"/>
        <w:ind w:left="220"/>
      </w:pPr>
      <w:hyperlink w:anchor="_Toc235807080" w:history="1">
        <w:r>
          <w:rPr>
            <w:rFonts w:ascii="Arial" w:eastAsia="Arial" w:hAnsi="Arial"/>
            <w:color w:val="0000FF"/>
            <w:kern w:val="0"/>
            <w:szCs w:val="22"/>
            <w:u w:val="single"/>
          </w:rPr>
          <w:t>5.6 Limitations</w:t>
        </w:r>
        <w:r>
          <w:rPr>
            <w:rFonts w:ascii="Arial" w:eastAsia="Arial" w:hAnsi="Arial"/>
            <w:kern w:val="0"/>
            <w:szCs w:val="22"/>
          </w:rPr>
          <w:tab/>
          <w:t>37</w:t>
        </w:r>
      </w:hyperlink>
    </w:p>
    <w:p w14:paraId="0E445D32" w14:textId="77777777" w:rsidR="000C2202" w:rsidRDefault="00DA46A9">
      <w:pPr>
        <w:tabs>
          <w:tab w:val="right" w:leader="dot" w:pos="9350"/>
        </w:tabs>
        <w:spacing w:after="100" w:line="360" w:lineRule="auto"/>
        <w:ind w:left="220"/>
      </w:pPr>
      <w:hyperlink w:anchor="_Toc235807081" w:history="1">
        <w:r>
          <w:rPr>
            <w:rFonts w:ascii="Arial" w:eastAsia="Arial" w:hAnsi="Arial"/>
            <w:color w:val="0000FF"/>
            <w:kern w:val="0"/>
            <w:szCs w:val="22"/>
            <w:u w:val="single"/>
          </w:rPr>
          <w:t>5.7 Suggestions for Further Research</w:t>
        </w:r>
        <w:r>
          <w:rPr>
            <w:rFonts w:ascii="Arial" w:eastAsia="Arial" w:hAnsi="Arial"/>
            <w:kern w:val="0"/>
            <w:szCs w:val="22"/>
          </w:rPr>
          <w:tab/>
          <w:t>37</w:t>
        </w:r>
      </w:hyperlink>
    </w:p>
    <w:p w14:paraId="6FB7F34B" w14:textId="77777777" w:rsidR="000C2202" w:rsidRDefault="00DA46A9">
      <w:pPr>
        <w:tabs>
          <w:tab w:val="right" w:leader="dot" w:pos="9350"/>
        </w:tabs>
        <w:spacing w:after="100" w:line="360" w:lineRule="auto"/>
      </w:pPr>
      <w:hyperlink w:anchor="_Toc235807082" w:history="1">
        <w:r>
          <w:rPr>
            <w:rFonts w:ascii="Arial" w:eastAsia="Arial" w:hAnsi="Arial"/>
            <w:color w:val="0000FF"/>
            <w:kern w:val="0"/>
            <w:szCs w:val="22"/>
            <w:u w:val="single"/>
          </w:rPr>
          <w:t>References</w:t>
        </w:r>
        <w:r>
          <w:rPr>
            <w:rFonts w:ascii="Arial" w:eastAsia="Arial" w:hAnsi="Arial"/>
            <w:kern w:val="0"/>
            <w:szCs w:val="22"/>
          </w:rPr>
          <w:tab/>
          <w:t>38</w:t>
        </w:r>
      </w:hyperlink>
    </w:p>
    <w:p w14:paraId="7EFD83EC" w14:textId="77777777" w:rsidR="000C2202" w:rsidRDefault="00DA46A9">
      <w:pPr>
        <w:tabs>
          <w:tab w:val="right" w:leader="dot" w:pos="9350"/>
        </w:tabs>
        <w:spacing w:after="100" w:line="360" w:lineRule="auto"/>
      </w:pPr>
      <w:hyperlink w:anchor="_Toc235807083" w:history="1">
        <w:r>
          <w:rPr>
            <w:rFonts w:ascii="Arial" w:eastAsia="Arial" w:hAnsi="Arial"/>
            <w:color w:val="0000FF"/>
            <w:kern w:val="0"/>
            <w:szCs w:val="22"/>
            <w:u w:val="single"/>
          </w:rPr>
          <w:t>Appendices</w:t>
        </w:r>
        <w:r>
          <w:rPr>
            <w:rFonts w:ascii="Arial" w:eastAsia="Arial" w:hAnsi="Arial"/>
            <w:kern w:val="0"/>
            <w:szCs w:val="22"/>
          </w:rPr>
          <w:tab/>
          <w:t>41</w:t>
        </w:r>
      </w:hyperlink>
    </w:p>
    <w:p w14:paraId="5EBAE25A" w14:textId="77777777" w:rsidR="000C2202" w:rsidRDefault="00DA46A9">
      <w:pPr>
        <w:tabs>
          <w:tab w:val="right" w:leader="dot" w:pos="9350"/>
        </w:tabs>
        <w:spacing w:after="100" w:line="360" w:lineRule="auto"/>
        <w:ind w:left="220"/>
      </w:pPr>
      <w:hyperlink w:anchor="_Toc235807084" w:history="1">
        <w:r>
          <w:rPr>
            <w:rFonts w:ascii="Arial" w:eastAsia="Arial" w:hAnsi="Arial"/>
            <w:color w:val="0000FF"/>
            <w:kern w:val="0"/>
            <w:szCs w:val="22"/>
            <w:u w:val="single"/>
          </w:rPr>
          <w:t>Appendix A Data-Source Inventory (sample)</w:t>
        </w:r>
        <w:r>
          <w:rPr>
            <w:rFonts w:ascii="Arial" w:eastAsia="Arial" w:hAnsi="Arial"/>
            <w:kern w:val="0"/>
            <w:szCs w:val="22"/>
          </w:rPr>
          <w:tab/>
          <w:t>41</w:t>
        </w:r>
      </w:hyperlink>
    </w:p>
    <w:p w14:paraId="428A8D02" w14:textId="77777777" w:rsidR="000C2202" w:rsidRDefault="00DA46A9">
      <w:pPr>
        <w:tabs>
          <w:tab w:val="right" w:leader="dot" w:pos="9350"/>
        </w:tabs>
        <w:spacing w:after="100" w:line="360" w:lineRule="auto"/>
        <w:ind w:left="220"/>
      </w:pPr>
      <w:hyperlink w:anchor="_Toc235807085" w:history="1">
        <w:r>
          <w:rPr>
            <w:rFonts w:ascii="Arial" w:eastAsia="Arial" w:hAnsi="Arial"/>
            <w:color w:val="0000FF"/>
            <w:kern w:val="0"/>
            <w:szCs w:val="22"/>
            <w:u w:val="single"/>
          </w:rPr>
          <w:t>Appendix B Coding Book — Themes, Sub-themes, and Initial Codes</w:t>
        </w:r>
        <w:r>
          <w:rPr>
            <w:rFonts w:ascii="Arial" w:eastAsia="Arial" w:hAnsi="Arial"/>
            <w:kern w:val="0"/>
            <w:szCs w:val="22"/>
          </w:rPr>
          <w:tab/>
          <w:t>43</w:t>
        </w:r>
      </w:hyperlink>
    </w:p>
    <w:p w14:paraId="5850584C" w14:textId="77777777" w:rsidR="000C2202" w:rsidRDefault="00DA46A9">
      <w:pPr>
        <w:tabs>
          <w:tab w:val="right" w:leader="dot" w:pos="9350"/>
        </w:tabs>
        <w:spacing w:after="100" w:line="360" w:lineRule="auto"/>
        <w:ind w:left="220"/>
      </w:pPr>
      <w:hyperlink w:anchor="_Toc235807086" w:history="1">
        <w:r>
          <w:rPr>
            <w:rFonts w:ascii="Arial" w:eastAsia="Arial" w:hAnsi="Arial"/>
            <w:color w:val="0000FF"/>
            <w:kern w:val="0"/>
            <w:szCs w:val="22"/>
            <w:u w:val="single"/>
          </w:rPr>
          <w:t>Appendix C Thematic Map</w:t>
        </w:r>
        <w:r>
          <w:rPr>
            <w:rFonts w:ascii="Arial" w:eastAsia="Arial" w:hAnsi="Arial"/>
            <w:kern w:val="0"/>
            <w:szCs w:val="22"/>
          </w:rPr>
          <w:tab/>
          <w:t>44</w:t>
        </w:r>
      </w:hyperlink>
    </w:p>
    <w:p w14:paraId="1D583BE5" w14:textId="77777777" w:rsidR="000C2202" w:rsidRDefault="00DA46A9">
      <w:pPr>
        <w:tabs>
          <w:tab w:val="right" w:leader="dot" w:pos="9350"/>
        </w:tabs>
        <w:spacing w:after="100" w:line="360" w:lineRule="auto"/>
        <w:ind w:left="220"/>
      </w:pPr>
      <w:hyperlink w:anchor="_Toc235807087" w:history="1">
        <w:r>
          <w:rPr>
            <w:rFonts w:ascii="Arial" w:eastAsia="Arial" w:hAnsi="Arial"/>
            <w:color w:val="0000FF"/>
            <w:kern w:val="0"/>
            <w:szCs w:val="22"/>
            <w:u w:val="single"/>
          </w:rPr>
          <w:t>Appendix D Boolean Search Strings and Retrieval Log</w:t>
        </w:r>
        <w:r>
          <w:rPr>
            <w:rFonts w:ascii="Arial" w:eastAsia="Arial" w:hAnsi="Arial"/>
            <w:kern w:val="0"/>
            <w:szCs w:val="22"/>
          </w:rPr>
          <w:tab/>
          <w:t>45</w:t>
        </w:r>
      </w:hyperlink>
    </w:p>
    <w:p w14:paraId="5CFE8353" w14:textId="77777777" w:rsidR="000C2202" w:rsidRDefault="00DA46A9">
      <w:pPr>
        <w:tabs>
          <w:tab w:val="right" w:leader="dot" w:pos="9350"/>
        </w:tabs>
        <w:spacing w:after="100" w:line="360" w:lineRule="auto"/>
        <w:ind w:left="220"/>
      </w:pPr>
      <w:hyperlink w:anchor="_Toc235807088" w:history="1">
        <w:r>
          <w:rPr>
            <w:rFonts w:ascii="Arial" w:eastAsia="Arial" w:hAnsi="Arial"/>
            <w:color w:val="0000FF"/>
            <w:kern w:val="0"/>
            <w:szCs w:val="22"/>
            <w:u w:val="single"/>
          </w:rPr>
          <w:t>Appendix E Inclusion and Exclusion Criteria</w:t>
        </w:r>
        <w:r>
          <w:rPr>
            <w:rFonts w:ascii="Arial" w:eastAsia="Arial" w:hAnsi="Arial"/>
            <w:kern w:val="0"/>
            <w:szCs w:val="22"/>
          </w:rPr>
          <w:tab/>
          <w:t>46</w:t>
        </w:r>
      </w:hyperlink>
    </w:p>
    <w:p w14:paraId="2B00FDC4" w14:textId="77777777" w:rsidR="000C2202" w:rsidRDefault="00DA46A9">
      <w:pPr>
        <w:tabs>
          <w:tab w:val="right" w:leader="dot" w:pos="9350"/>
        </w:tabs>
        <w:spacing w:after="100" w:line="360" w:lineRule="auto"/>
        <w:ind w:left="220"/>
      </w:pPr>
      <w:hyperlink w:anchor="_Toc235807089" w:history="1">
        <w:r>
          <w:rPr>
            <w:rFonts w:ascii="Arial" w:eastAsia="Arial" w:hAnsi="Arial"/>
            <w:color w:val="0000FF"/>
            <w:kern w:val="0"/>
            <w:szCs w:val="22"/>
            <w:u w:val="single"/>
          </w:rPr>
          <w:t>Appendix F Reflexive Journal Extract</w:t>
        </w:r>
        <w:r>
          <w:rPr>
            <w:rFonts w:ascii="Arial" w:eastAsia="Arial" w:hAnsi="Arial"/>
            <w:kern w:val="0"/>
            <w:szCs w:val="22"/>
          </w:rPr>
          <w:tab/>
          <w:t>47</w:t>
        </w:r>
      </w:hyperlink>
    </w:p>
    <w:p w14:paraId="60141048" w14:textId="77777777" w:rsidR="000C2202" w:rsidRDefault="00DA46A9">
      <w:pPr>
        <w:tabs>
          <w:tab w:val="right" w:leader="dot" w:pos="9350"/>
        </w:tabs>
        <w:spacing w:after="100" w:line="360" w:lineRule="auto"/>
        <w:ind w:left="220"/>
      </w:pPr>
      <w:hyperlink w:anchor="_Toc235807090" w:history="1">
        <w:r>
          <w:rPr>
            <w:rFonts w:ascii="Arial" w:eastAsia="Arial" w:hAnsi="Arial"/>
            <w:color w:val="0000FF"/>
            <w:kern w:val="0"/>
            <w:szCs w:val="22"/>
            <w:u w:val="single"/>
          </w:rPr>
          <w:t>Appendix G Research Timeline</w:t>
        </w:r>
        <w:r>
          <w:rPr>
            <w:rFonts w:ascii="Arial" w:eastAsia="Arial" w:hAnsi="Arial"/>
            <w:kern w:val="0"/>
            <w:szCs w:val="22"/>
          </w:rPr>
          <w:tab/>
          <w:t>48</w:t>
        </w:r>
      </w:hyperlink>
    </w:p>
    <w:p w14:paraId="7CC19051" w14:textId="77777777" w:rsidR="000C2202" w:rsidRDefault="00DA46A9">
      <w:pPr>
        <w:tabs>
          <w:tab w:val="right" w:leader="dot" w:pos="9350"/>
        </w:tabs>
        <w:spacing w:after="100" w:line="360" w:lineRule="auto"/>
        <w:ind w:left="220"/>
      </w:pPr>
      <w:hyperlink w:anchor="_Toc235807091" w:history="1">
        <w:r>
          <w:rPr>
            <w:rFonts w:ascii="Arial" w:eastAsia="Arial" w:hAnsi="Arial"/>
            <w:color w:val="0000FF"/>
            <w:kern w:val="0"/>
            <w:szCs w:val="22"/>
            <w:u w:val="single"/>
          </w:rPr>
          <w:t>Appendix H Ethical Considerations — Low-Risk Declaration Summary</w:t>
        </w:r>
        <w:r>
          <w:rPr>
            <w:rFonts w:ascii="Arial" w:eastAsia="Arial" w:hAnsi="Arial"/>
            <w:kern w:val="0"/>
            <w:szCs w:val="22"/>
          </w:rPr>
          <w:tab/>
          <w:t>49</w:t>
        </w:r>
      </w:hyperlink>
    </w:p>
    <w:p w14:paraId="28CA5E6D" w14:textId="77777777" w:rsidR="000C2202" w:rsidRDefault="00DA46A9">
      <w:pPr>
        <w:spacing w:after="120" w:line="360" w:lineRule="auto"/>
      </w:pPr>
      <w:r>
        <w:fldChar w:fldCharType="end"/>
      </w:r>
    </w:p>
    <w:p w14:paraId="76953DC2" w14:textId="77777777" w:rsidR="000C2202" w:rsidRDefault="000C2202">
      <w:pPr>
        <w:pageBreakBefore/>
        <w:spacing w:after="120" w:line="360" w:lineRule="auto"/>
        <w:rPr>
          <w:rFonts w:ascii="Arial" w:eastAsia="Arial" w:hAnsi="Arial"/>
          <w:kern w:val="0"/>
        </w:rPr>
      </w:pPr>
    </w:p>
    <w:p w14:paraId="566F243A" w14:textId="77777777" w:rsidR="000C2202" w:rsidRDefault="00DA46A9">
      <w:pPr>
        <w:keepNext/>
        <w:keepLines/>
        <w:spacing w:before="480" w:after="0" w:line="360" w:lineRule="auto"/>
        <w:jc w:val="center"/>
        <w:outlineLvl w:val="0"/>
      </w:pPr>
      <w:bookmarkStart w:id="3" w:name="_Toc235807030"/>
      <w:r>
        <w:rPr>
          <w:rFonts w:ascii="Calibri" w:eastAsia="MS Gothic" w:hAnsi="Calibri"/>
          <w:b/>
          <w:bCs/>
          <w:color w:val="365F91"/>
          <w:kern w:val="0"/>
          <w:sz w:val="32"/>
          <w:szCs w:val="28"/>
        </w:rPr>
        <w:t>List of Figures</w:t>
      </w:r>
      <w:bookmarkEnd w:id="3"/>
    </w:p>
    <w:tbl>
      <w:tblPr>
        <w:tblW w:w="8275" w:type="dxa"/>
        <w:jc w:val="center"/>
        <w:tblCellMar>
          <w:left w:w="10" w:type="dxa"/>
          <w:right w:w="10" w:type="dxa"/>
        </w:tblCellMar>
        <w:tblLook w:val="0000" w:firstRow="0" w:lastRow="0" w:firstColumn="0" w:lastColumn="0" w:noHBand="0" w:noVBand="0"/>
      </w:tblPr>
      <w:tblGrid>
        <w:gridCol w:w="1345"/>
        <w:gridCol w:w="6930"/>
      </w:tblGrid>
      <w:tr w:rsidR="000C2202" w14:paraId="3D154689" w14:textId="77777777">
        <w:trPr>
          <w:jc w:val="center"/>
        </w:trPr>
        <w:tc>
          <w:tcPr>
            <w:tcW w:w="1345"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00CD9C5E" w14:textId="77777777" w:rsidR="000C2202" w:rsidRDefault="00DA46A9">
            <w:pPr>
              <w:spacing w:before="40" w:after="40" w:line="360" w:lineRule="auto"/>
              <w:jc w:val="center"/>
            </w:pPr>
            <w:r>
              <w:rPr>
                <w:rFonts w:ascii="Arial" w:eastAsia="Arial" w:hAnsi="Arial"/>
                <w:b/>
                <w:color w:val="FFFFFF"/>
                <w:kern w:val="0"/>
              </w:rPr>
              <w:t>Figure</w:t>
            </w:r>
          </w:p>
        </w:tc>
        <w:tc>
          <w:tcPr>
            <w:tcW w:w="693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6AF466B6" w14:textId="77777777" w:rsidR="000C2202" w:rsidRDefault="00DA46A9">
            <w:pPr>
              <w:spacing w:before="40" w:after="40" w:line="360" w:lineRule="auto"/>
            </w:pPr>
            <w:r>
              <w:rPr>
                <w:rFonts w:ascii="Arial" w:eastAsia="Arial" w:hAnsi="Arial"/>
                <w:b/>
                <w:color w:val="FFFFFF"/>
                <w:kern w:val="0"/>
              </w:rPr>
              <w:t>Caption</w:t>
            </w:r>
          </w:p>
        </w:tc>
      </w:tr>
      <w:tr w:rsidR="000C2202" w14:paraId="1249952B" w14:textId="77777777">
        <w:trPr>
          <w:jc w:val="center"/>
        </w:trPr>
        <w:tc>
          <w:tcPr>
            <w:tcW w:w="134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743FC2B8" w14:textId="77777777" w:rsidR="000C2202" w:rsidRDefault="00DA46A9">
            <w:pPr>
              <w:spacing w:before="40" w:after="40" w:line="360" w:lineRule="auto"/>
              <w:jc w:val="center"/>
            </w:pPr>
            <w:r>
              <w:rPr>
                <w:rFonts w:ascii="Arial" w:eastAsia="Arial" w:hAnsi="Arial"/>
                <w:b/>
                <w:color w:val="000000"/>
                <w:kern w:val="0"/>
                <w:sz w:val="20"/>
              </w:rPr>
              <w:t>Figure 1.1</w:t>
            </w:r>
          </w:p>
        </w:tc>
        <w:tc>
          <w:tcPr>
            <w:tcW w:w="693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D1DFB96" w14:textId="77777777" w:rsidR="000C2202" w:rsidRDefault="00DA46A9">
            <w:pPr>
              <w:spacing w:before="40" w:after="40" w:line="360" w:lineRule="auto"/>
            </w:pPr>
            <w:r>
              <w:rPr>
                <w:rFonts w:ascii="Arial" w:eastAsia="Arial" w:hAnsi="Arial"/>
                <w:color w:val="000000"/>
                <w:kern w:val="0"/>
                <w:sz w:val="20"/>
              </w:rPr>
              <w:t>Global Chatbot Market Size, 2024–2033 (USD billions).</w:t>
            </w:r>
          </w:p>
        </w:tc>
      </w:tr>
      <w:tr w:rsidR="000C2202" w14:paraId="6C38C484" w14:textId="77777777">
        <w:trPr>
          <w:jc w:val="center"/>
        </w:trPr>
        <w:tc>
          <w:tcPr>
            <w:tcW w:w="134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2BEC46C6" w14:textId="77777777" w:rsidR="000C2202" w:rsidRDefault="00DA46A9">
            <w:pPr>
              <w:spacing w:before="40" w:after="40" w:line="360" w:lineRule="auto"/>
              <w:jc w:val="center"/>
            </w:pPr>
            <w:r>
              <w:rPr>
                <w:rFonts w:ascii="Arial" w:eastAsia="Arial" w:hAnsi="Arial"/>
                <w:b/>
                <w:color w:val="000000"/>
                <w:kern w:val="0"/>
                <w:sz w:val="20"/>
              </w:rPr>
              <w:t>Figure 2.1</w:t>
            </w:r>
          </w:p>
        </w:tc>
        <w:tc>
          <w:tcPr>
            <w:tcW w:w="693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263DD98" w14:textId="77777777" w:rsidR="000C2202" w:rsidRDefault="00DA46A9">
            <w:pPr>
              <w:spacing w:before="40" w:after="40" w:line="360" w:lineRule="auto"/>
            </w:pPr>
            <w:r>
              <w:rPr>
                <w:rFonts w:ascii="Arial" w:eastAsia="Arial" w:hAnsi="Arial"/>
                <w:color w:val="000000"/>
                <w:kern w:val="0"/>
                <w:sz w:val="20"/>
              </w:rPr>
              <w:t>Critically Grounded Conceptual Framework.</w:t>
            </w:r>
          </w:p>
        </w:tc>
      </w:tr>
      <w:tr w:rsidR="000C2202" w14:paraId="142C702E" w14:textId="77777777">
        <w:trPr>
          <w:jc w:val="center"/>
        </w:trPr>
        <w:tc>
          <w:tcPr>
            <w:tcW w:w="134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8D7F3EA" w14:textId="77777777" w:rsidR="000C2202" w:rsidRDefault="00DA46A9">
            <w:pPr>
              <w:spacing w:before="40" w:after="40" w:line="360" w:lineRule="auto"/>
              <w:jc w:val="center"/>
            </w:pPr>
            <w:r>
              <w:rPr>
                <w:rFonts w:ascii="Arial" w:eastAsia="Arial" w:hAnsi="Arial"/>
                <w:b/>
                <w:color w:val="000000"/>
                <w:kern w:val="0"/>
                <w:sz w:val="20"/>
              </w:rPr>
              <w:t>Figure 3.1</w:t>
            </w:r>
          </w:p>
        </w:tc>
        <w:tc>
          <w:tcPr>
            <w:tcW w:w="693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FB52A80" w14:textId="77777777" w:rsidR="000C2202" w:rsidRDefault="00DA46A9">
            <w:pPr>
              <w:spacing w:before="40" w:after="40" w:line="360" w:lineRule="auto"/>
            </w:pPr>
            <w:r>
              <w:rPr>
                <w:rFonts w:ascii="Arial" w:eastAsia="Arial" w:hAnsi="Arial"/>
                <w:color w:val="000000"/>
                <w:kern w:val="0"/>
                <w:sz w:val="20"/>
              </w:rPr>
              <w:t>Methodology Decision Framework — chosen approach against realistic alternatives at each Research Onion layer.</w:t>
            </w:r>
          </w:p>
        </w:tc>
      </w:tr>
      <w:tr w:rsidR="000C2202" w14:paraId="305DDDB3" w14:textId="77777777">
        <w:trPr>
          <w:jc w:val="center"/>
        </w:trPr>
        <w:tc>
          <w:tcPr>
            <w:tcW w:w="134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07D85BF9" w14:textId="77777777" w:rsidR="000C2202" w:rsidRDefault="00DA46A9">
            <w:pPr>
              <w:spacing w:before="40" w:after="40" w:line="360" w:lineRule="auto"/>
              <w:jc w:val="center"/>
            </w:pPr>
            <w:r>
              <w:rPr>
                <w:rFonts w:ascii="Arial" w:eastAsia="Arial" w:hAnsi="Arial"/>
                <w:b/>
                <w:color w:val="000000"/>
                <w:kern w:val="0"/>
                <w:sz w:val="20"/>
              </w:rPr>
              <w:t>Figure 3.2</w:t>
            </w:r>
          </w:p>
        </w:tc>
        <w:tc>
          <w:tcPr>
            <w:tcW w:w="693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24D08F8" w14:textId="77777777" w:rsidR="000C2202" w:rsidRDefault="00DA46A9">
            <w:pPr>
              <w:spacing w:before="40" w:after="40" w:line="360" w:lineRule="auto"/>
            </w:pPr>
            <w:r>
              <w:rPr>
                <w:rFonts w:ascii="Arial" w:eastAsia="Arial" w:hAnsi="Arial"/>
                <w:color w:val="000000"/>
                <w:kern w:val="0"/>
                <w:sz w:val="20"/>
              </w:rPr>
              <w:t>Planned Source-Type Distribution across the qualitative-secondary evidence base.</w:t>
            </w:r>
          </w:p>
        </w:tc>
      </w:tr>
      <w:tr w:rsidR="000C2202" w14:paraId="5FAF08BE" w14:textId="77777777">
        <w:trPr>
          <w:jc w:val="center"/>
        </w:trPr>
        <w:tc>
          <w:tcPr>
            <w:tcW w:w="134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1C0EDA12" w14:textId="77777777" w:rsidR="000C2202" w:rsidRDefault="00DA46A9">
            <w:pPr>
              <w:spacing w:before="40" w:after="40" w:line="360" w:lineRule="auto"/>
              <w:jc w:val="center"/>
            </w:pPr>
            <w:r>
              <w:rPr>
                <w:rFonts w:ascii="Arial" w:eastAsia="Arial" w:hAnsi="Arial"/>
                <w:b/>
                <w:color w:val="000000"/>
                <w:kern w:val="0"/>
                <w:sz w:val="20"/>
              </w:rPr>
              <w:t>Figure 4.1</w:t>
            </w:r>
          </w:p>
        </w:tc>
        <w:tc>
          <w:tcPr>
            <w:tcW w:w="693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0D0A74E" w14:textId="77777777" w:rsidR="000C2202" w:rsidRDefault="00DA46A9">
            <w:pPr>
              <w:spacing w:before="40" w:after="40" w:line="360" w:lineRule="auto"/>
            </w:pPr>
            <w:r>
              <w:rPr>
                <w:rFonts w:ascii="Arial" w:eastAsia="Arial" w:hAnsi="Arial"/>
                <w:color w:val="000000"/>
                <w:kern w:val="0"/>
                <w:sz w:val="20"/>
              </w:rPr>
              <w:t>Theme Prevalence across the 75-source corpus.</w:t>
            </w:r>
          </w:p>
        </w:tc>
      </w:tr>
      <w:tr w:rsidR="000C2202" w14:paraId="642D7173" w14:textId="77777777">
        <w:trPr>
          <w:jc w:val="center"/>
        </w:trPr>
        <w:tc>
          <w:tcPr>
            <w:tcW w:w="134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8EF3DB6" w14:textId="77777777" w:rsidR="000C2202" w:rsidRDefault="00DA46A9">
            <w:pPr>
              <w:spacing w:before="40" w:after="40" w:line="360" w:lineRule="auto"/>
              <w:jc w:val="center"/>
            </w:pPr>
            <w:r>
              <w:rPr>
                <w:rFonts w:ascii="Arial" w:eastAsia="Arial" w:hAnsi="Arial"/>
                <w:b/>
                <w:color w:val="000000"/>
                <w:kern w:val="0"/>
                <w:sz w:val="20"/>
              </w:rPr>
              <w:t>Figure 4.2</w:t>
            </w:r>
          </w:p>
        </w:tc>
        <w:tc>
          <w:tcPr>
            <w:tcW w:w="693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D1F4881" w14:textId="77777777" w:rsidR="000C2202" w:rsidRDefault="00DA46A9">
            <w:pPr>
              <w:spacing w:before="40" w:after="40" w:line="360" w:lineRule="auto"/>
            </w:pPr>
            <w:r>
              <w:rPr>
                <w:rFonts w:ascii="Arial" w:eastAsia="Arial" w:hAnsi="Arial"/>
                <w:color w:val="000000"/>
                <w:kern w:val="0"/>
                <w:sz w:val="20"/>
              </w:rPr>
              <w:t>Net Satisfaction Score by Query Type (author’s coding, scale −1 to +1).</w:t>
            </w:r>
          </w:p>
        </w:tc>
      </w:tr>
      <w:tr w:rsidR="000C2202" w14:paraId="36946581" w14:textId="77777777">
        <w:trPr>
          <w:jc w:val="center"/>
        </w:trPr>
        <w:tc>
          <w:tcPr>
            <w:tcW w:w="134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3E663AE5" w14:textId="77777777" w:rsidR="000C2202" w:rsidRDefault="00DA46A9">
            <w:pPr>
              <w:spacing w:before="40" w:after="40" w:line="360" w:lineRule="auto"/>
              <w:jc w:val="center"/>
            </w:pPr>
            <w:r>
              <w:rPr>
                <w:rFonts w:ascii="Arial" w:eastAsia="Arial" w:hAnsi="Arial"/>
                <w:b/>
                <w:color w:val="000000"/>
                <w:kern w:val="0"/>
                <w:sz w:val="20"/>
              </w:rPr>
              <w:t>Figure 4.3</w:t>
            </w:r>
          </w:p>
        </w:tc>
        <w:tc>
          <w:tcPr>
            <w:tcW w:w="693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2EE2F2A" w14:textId="77777777" w:rsidR="000C2202" w:rsidRDefault="00DA46A9">
            <w:pPr>
              <w:spacing w:before="40" w:after="40" w:line="360" w:lineRule="auto"/>
            </w:pPr>
            <w:r>
              <w:rPr>
                <w:rFonts w:ascii="Arial" w:eastAsia="Arial" w:hAnsi="Arial"/>
                <w:color w:val="000000"/>
                <w:kern w:val="0"/>
                <w:sz w:val="20"/>
              </w:rPr>
              <w:t>Sentiment Distribution per Theme (positive / mixed / negative citations).</w:t>
            </w:r>
          </w:p>
        </w:tc>
      </w:tr>
    </w:tbl>
    <w:p w14:paraId="7606DA74" w14:textId="77777777" w:rsidR="000C2202" w:rsidRDefault="000C2202">
      <w:pPr>
        <w:pageBreakBefore/>
        <w:spacing w:after="120" w:line="360" w:lineRule="auto"/>
        <w:rPr>
          <w:rFonts w:ascii="Arial" w:eastAsia="Arial" w:hAnsi="Arial"/>
          <w:kern w:val="0"/>
        </w:rPr>
      </w:pPr>
    </w:p>
    <w:p w14:paraId="7FF7971D" w14:textId="77777777" w:rsidR="000C2202" w:rsidRDefault="00DA46A9">
      <w:pPr>
        <w:keepNext/>
        <w:keepLines/>
        <w:spacing w:before="480" w:after="0" w:line="360" w:lineRule="auto"/>
        <w:jc w:val="center"/>
        <w:outlineLvl w:val="0"/>
      </w:pPr>
      <w:bookmarkStart w:id="4" w:name="_Toc235807031"/>
      <w:r>
        <w:rPr>
          <w:rFonts w:ascii="Calibri" w:eastAsia="MS Gothic" w:hAnsi="Calibri"/>
          <w:b/>
          <w:bCs/>
          <w:color w:val="365F91"/>
          <w:kern w:val="0"/>
          <w:sz w:val="32"/>
          <w:szCs w:val="28"/>
        </w:rPr>
        <w:t>List of Tables</w:t>
      </w:r>
      <w:bookmarkEnd w:id="4"/>
    </w:p>
    <w:tbl>
      <w:tblPr>
        <w:tblW w:w="7400" w:type="dxa"/>
        <w:jc w:val="center"/>
        <w:tblCellMar>
          <w:left w:w="10" w:type="dxa"/>
          <w:right w:w="10" w:type="dxa"/>
        </w:tblCellMar>
        <w:tblLook w:val="0000" w:firstRow="0" w:lastRow="0" w:firstColumn="0" w:lastColumn="0" w:noHBand="0" w:noVBand="0"/>
      </w:tblPr>
      <w:tblGrid>
        <w:gridCol w:w="1200"/>
        <w:gridCol w:w="6200"/>
      </w:tblGrid>
      <w:tr w:rsidR="000C2202" w14:paraId="207A58B2" w14:textId="77777777">
        <w:trPr>
          <w:jc w:val="center"/>
        </w:trPr>
        <w:tc>
          <w:tcPr>
            <w:tcW w:w="12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586D20DB" w14:textId="77777777" w:rsidR="000C2202" w:rsidRDefault="00DA46A9">
            <w:pPr>
              <w:spacing w:before="40" w:after="40" w:line="360" w:lineRule="auto"/>
              <w:jc w:val="center"/>
            </w:pPr>
            <w:r>
              <w:rPr>
                <w:rFonts w:ascii="Arial" w:eastAsia="Arial" w:hAnsi="Arial"/>
                <w:b/>
                <w:color w:val="FFFFFF"/>
                <w:kern w:val="0"/>
              </w:rPr>
              <w:t>Table</w:t>
            </w:r>
          </w:p>
        </w:tc>
        <w:tc>
          <w:tcPr>
            <w:tcW w:w="62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6D924BFF" w14:textId="77777777" w:rsidR="000C2202" w:rsidRDefault="00DA46A9">
            <w:pPr>
              <w:spacing w:before="40" w:after="40" w:line="360" w:lineRule="auto"/>
            </w:pPr>
            <w:r>
              <w:rPr>
                <w:rFonts w:ascii="Arial" w:eastAsia="Arial" w:hAnsi="Arial"/>
                <w:b/>
                <w:color w:val="FFFFFF"/>
                <w:kern w:val="0"/>
              </w:rPr>
              <w:t>Caption</w:t>
            </w:r>
          </w:p>
        </w:tc>
      </w:tr>
      <w:tr w:rsidR="000C2202" w14:paraId="55E0A1EC" w14:textId="77777777">
        <w:trPr>
          <w:jc w:val="center"/>
        </w:trPr>
        <w:tc>
          <w:tcPr>
            <w:tcW w:w="12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10A95D17" w14:textId="77777777" w:rsidR="000C2202" w:rsidRDefault="00DA46A9">
            <w:pPr>
              <w:spacing w:before="40" w:after="40" w:line="360" w:lineRule="auto"/>
              <w:jc w:val="center"/>
            </w:pPr>
            <w:r>
              <w:rPr>
                <w:rFonts w:ascii="Arial" w:eastAsia="Arial" w:hAnsi="Arial"/>
                <w:b/>
                <w:color w:val="000000"/>
                <w:kern w:val="0"/>
                <w:sz w:val="20"/>
              </w:rPr>
              <w:t>Table 4.1</w:t>
            </w:r>
          </w:p>
        </w:tc>
        <w:tc>
          <w:tcPr>
            <w:tcW w:w="6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C64E637" w14:textId="77777777" w:rsidR="000C2202" w:rsidRDefault="00DA46A9">
            <w:pPr>
              <w:spacing w:before="40" w:after="40" w:line="360" w:lineRule="auto"/>
            </w:pPr>
            <w:r>
              <w:rPr>
                <w:rFonts w:ascii="Arial" w:eastAsia="Arial" w:hAnsi="Arial"/>
                <w:color w:val="000000"/>
                <w:kern w:val="0"/>
                <w:sz w:val="20"/>
              </w:rPr>
              <w:t>Findings Mapped to the Three Research Questions (author’s synthesis).</w:t>
            </w:r>
          </w:p>
        </w:tc>
      </w:tr>
      <w:tr w:rsidR="000C2202" w14:paraId="5DB23E28" w14:textId="77777777">
        <w:trPr>
          <w:jc w:val="center"/>
        </w:trPr>
        <w:tc>
          <w:tcPr>
            <w:tcW w:w="12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25B0C1B0" w14:textId="77777777" w:rsidR="000C2202" w:rsidRDefault="00DA46A9">
            <w:pPr>
              <w:spacing w:before="40" w:after="40" w:line="360" w:lineRule="auto"/>
              <w:jc w:val="center"/>
            </w:pPr>
            <w:r>
              <w:rPr>
                <w:rFonts w:ascii="Arial" w:eastAsia="Arial" w:hAnsi="Arial"/>
                <w:b/>
                <w:color w:val="000000"/>
                <w:kern w:val="0"/>
                <w:sz w:val="20"/>
              </w:rPr>
              <w:t>Table 4.2</w:t>
            </w:r>
          </w:p>
        </w:tc>
        <w:tc>
          <w:tcPr>
            <w:tcW w:w="6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9034672" w14:textId="77777777" w:rsidR="000C2202" w:rsidRDefault="00DA46A9">
            <w:pPr>
              <w:spacing w:before="40" w:after="40" w:line="360" w:lineRule="auto"/>
            </w:pPr>
            <w:r>
              <w:rPr>
                <w:rFonts w:ascii="Arial" w:eastAsia="Arial" w:hAnsi="Arial"/>
                <w:color w:val="000000"/>
                <w:kern w:val="0"/>
                <w:sz w:val="20"/>
              </w:rPr>
              <w:t>Coded-Evidence Distribution across the five themes and four source streams.</w:t>
            </w:r>
          </w:p>
        </w:tc>
      </w:tr>
      <w:tr w:rsidR="000C2202" w14:paraId="1360D1BA" w14:textId="77777777">
        <w:trPr>
          <w:jc w:val="center"/>
        </w:trPr>
        <w:tc>
          <w:tcPr>
            <w:tcW w:w="12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1A076DF5" w14:textId="77777777" w:rsidR="000C2202" w:rsidRDefault="00DA46A9">
            <w:pPr>
              <w:spacing w:before="40" w:after="40" w:line="360" w:lineRule="auto"/>
              <w:jc w:val="center"/>
            </w:pPr>
            <w:r>
              <w:rPr>
                <w:rFonts w:ascii="Arial" w:eastAsia="Arial" w:hAnsi="Arial"/>
                <w:b/>
                <w:color w:val="000000"/>
                <w:kern w:val="0"/>
                <w:sz w:val="20"/>
              </w:rPr>
              <w:t>Table 4.3</w:t>
            </w:r>
          </w:p>
        </w:tc>
        <w:tc>
          <w:tcPr>
            <w:tcW w:w="6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A121949" w14:textId="77777777" w:rsidR="000C2202" w:rsidRDefault="00DA46A9">
            <w:pPr>
              <w:spacing w:before="40" w:after="40" w:line="360" w:lineRule="auto"/>
            </w:pPr>
            <w:r>
              <w:rPr>
                <w:rFonts w:ascii="Arial" w:eastAsia="Arial" w:hAnsi="Arial"/>
                <w:color w:val="000000"/>
                <w:kern w:val="0"/>
                <w:sz w:val="20"/>
              </w:rPr>
              <w:t>Trust as Three Parallel Channels — re-specification of the trust pathway.</w:t>
            </w:r>
          </w:p>
        </w:tc>
      </w:tr>
      <w:tr w:rsidR="000C2202" w14:paraId="7624737E" w14:textId="77777777">
        <w:trPr>
          <w:jc w:val="center"/>
        </w:trPr>
        <w:tc>
          <w:tcPr>
            <w:tcW w:w="12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045A75A3" w14:textId="77777777" w:rsidR="000C2202" w:rsidRDefault="00DA46A9">
            <w:pPr>
              <w:spacing w:before="40" w:after="40" w:line="360" w:lineRule="auto"/>
              <w:jc w:val="center"/>
            </w:pPr>
            <w:r>
              <w:rPr>
                <w:rFonts w:ascii="Arial" w:eastAsia="Arial" w:hAnsi="Arial"/>
                <w:b/>
                <w:color w:val="000000"/>
                <w:kern w:val="0"/>
                <w:sz w:val="20"/>
              </w:rPr>
              <w:t>Table 5.1</w:t>
            </w:r>
          </w:p>
        </w:tc>
        <w:tc>
          <w:tcPr>
            <w:tcW w:w="6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D5F9003" w14:textId="77777777" w:rsidR="000C2202" w:rsidRDefault="00DA46A9">
            <w:pPr>
              <w:spacing w:before="40" w:after="40" w:line="360" w:lineRule="auto"/>
            </w:pPr>
            <w:r>
              <w:rPr>
                <w:rFonts w:ascii="Arial" w:eastAsia="Arial" w:hAnsi="Arial"/>
                <w:color w:val="000000"/>
                <w:kern w:val="0"/>
                <w:sz w:val="20"/>
              </w:rPr>
              <w:t>Study Recommendations by Stakeholder Group.</w:t>
            </w:r>
          </w:p>
        </w:tc>
      </w:tr>
    </w:tbl>
    <w:p w14:paraId="6F6F8FA6" w14:textId="77777777" w:rsidR="000C2202" w:rsidRDefault="000C2202">
      <w:pPr>
        <w:pageBreakBefore/>
        <w:spacing w:after="120" w:line="360" w:lineRule="auto"/>
        <w:rPr>
          <w:rFonts w:ascii="Arial" w:eastAsia="Arial" w:hAnsi="Arial"/>
          <w:kern w:val="0"/>
        </w:rPr>
      </w:pPr>
    </w:p>
    <w:p w14:paraId="25E6BC48" w14:textId="77777777" w:rsidR="000C2202" w:rsidRDefault="00DA46A9">
      <w:pPr>
        <w:keepNext/>
        <w:keepLines/>
        <w:spacing w:before="480" w:after="0" w:line="360" w:lineRule="auto"/>
        <w:jc w:val="center"/>
        <w:outlineLvl w:val="0"/>
      </w:pPr>
      <w:bookmarkStart w:id="5" w:name="_Toc235807032"/>
      <w:r>
        <w:rPr>
          <w:rFonts w:ascii="Calibri" w:eastAsia="MS Gothic" w:hAnsi="Calibri"/>
          <w:b/>
          <w:bCs/>
          <w:color w:val="365F91"/>
          <w:kern w:val="0"/>
          <w:sz w:val="32"/>
          <w:szCs w:val="28"/>
        </w:rPr>
        <w:t>List of Abbreviations</w:t>
      </w:r>
      <w:bookmarkEnd w:id="5"/>
    </w:p>
    <w:tbl>
      <w:tblPr>
        <w:tblW w:w="8800" w:type="dxa"/>
        <w:jc w:val="center"/>
        <w:tblCellMar>
          <w:left w:w="10" w:type="dxa"/>
          <w:right w:w="10" w:type="dxa"/>
        </w:tblCellMar>
        <w:tblLook w:val="0000" w:firstRow="0" w:lastRow="0" w:firstColumn="0" w:lastColumn="0" w:noHBand="0" w:noVBand="0"/>
      </w:tblPr>
      <w:tblGrid>
        <w:gridCol w:w="1800"/>
        <w:gridCol w:w="7000"/>
      </w:tblGrid>
      <w:tr w:rsidR="000C2202" w14:paraId="44F0382C"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1FD1DC11" w14:textId="77777777" w:rsidR="000C2202" w:rsidRDefault="00DA46A9">
            <w:pPr>
              <w:spacing w:before="40" w:after="40" w:line="240" w:lineRule="auto"/>
              <w:jc w:val="center"/>
            </w:pPr>
            <w:r>
              <w:rPr>
                <w:rFonts w:ascii="Arial" w:eastAsia="Arial" w:hAnsi="Arial"/>
                <w:b/>
                <w:color w:val="FFFFFF"/>
                <w:kern w:val="0"/>
                <w:sz w:val="20"/>
                <w:szCs w:val="18"/>
              </w:rPr>
              <w:t>Abbreviation</w:t>
            </w:r>
          </w:p>
        </w:tc>
        <w:tc>
          <w:tcPr>
            <w:tcW w:w="70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50F43DB5" w14:textId="77777777" w:rsidR="000C2202" w:rsidRDefault="00DA46A9">
            <w:pPr>
              <w:spacing w:before="40" w:after="40" w:line="240" w:lineRule="auto"/>
            </w:pPr>
            <w:r>
              <w:rPr>
                <w:rFonts w:ascii="Arial" w:eastAsia="Arial" w:hAnsi="Arial"/>
                <w:b/>
                <w:color w:val="FFFFFF"/>
                <w:kern w:val="0"/>
                <w:sz w:val="20"/>
                <w:szCs w:val="18"/>
              </w:rPr>
              <w:t>Meaning</w:t>
            </w:r>
          </w:p>
        </w:tc>
      </w:tr>
      <w:tr w:rsidR="000C2202" w14:paraId="2306E2F8"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4EA7CDA5" w14:textId="77777777" w:rsidR="000C2202" w:rsidRDefault="00DA46A9">
            <w:pPr>
              <w:spacing w:before="40" w:after="40" w:line="240" w:lineRule="auto"/>
              <w:jc w:val="center"/>
            </w:pPr>
            <w:r>
              <w:rPr>
                <w:rFonts w:ascii="Arial" w:eastAsia="Arial" w:hAnsi="Arial"/>
                <w:b/>
                <w:color w:val="000000"/>
                <w:kern w:val="0"/>
                <w:sz w:val="20"/>
                <w:szCs w:val="18"/>
              </w:rPr>
              <w:t>AI</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6890EBB" w14:textId="77777777" w:rsidR="000C2202" w:rsidRDefault="00DA46A9">
            <w:pPr>
              <w:spacing w:before="40" w:after="40" w:line="240" w:lineRule="auto"/>
            </w:pPr>
            <w:r>
              <w:rPr>
                <w:rFonts w:ascii="Arial" w:eastAsia="Arial" w:hAnsi="Arial"/>
                <w:color w:val="000000"/>
                <w:kern w:val="0"/>
                <w:sz w:val="20"/>
                <w:szCs w:val="18"/>
              </w:rPr>
              <w:t>Artificial Intelligence</w:t>
            </w:r>
          </w:p>
        </w:tc>
      </w:tr>
      <w:tr w:rsidR="000C2202" w14:paraId="13B21593"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A3DFF10" w14:textId="77777777" w:rsidR="000C2202" w:rsidRDefault="00DA46A9">
            <w:pPr>
              <w:spacing w:before="40" w:after="40" w:line="240" w:lineRule="auto"/>
              <w:jc w:val="center"/>
            </w:pPr>
            <w:r>
              <w:rPr>
                <w:rFonts w:ascii="Arial" w:eastAsia="Arial" w:hAnsi="Arial"/>
                <w:b/>
                <w:color w:val="000000"/>
                <w:kern w:val="0"/>
                <w:sz w:val="20"/>
                <w:szCs w:val="18"/>
              </w:rPr>
              <w:t>BA (Hons)</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76EE0C8" w14:textId="77777777" w:rsidR="000C2202" w:rsidRDefault="00DA46A9">
            <w:pPr>
              <w:spacing w:before="40" w:after="40" w:line="240" w:lineRule="auto"/>
            </w:pPr>
            <w:r>
              <w:rPr>
                <w:rFonts w:ascii="Arial" w:eastAsia="Arial" w:hAnsi="Arial"/>
                <w:color w:val="000000"/>
                <w:kern w:val="0"/>
                <w:sz w:val="20"/>
                <w:szCs w:val="18"/>
              </w:rPr>
              <w:t>Bachelor of Arts (Honours)</w:t>
            </w:r>
          </w:p>
        </w:tc>
      </w:tr>
      <w:tr w:rsidR="000C2202" w14:paraId="09B781D1"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31F275BB" w14:textId="77777777" w:rsidR="000C2202" w:rsidRDefault="00DA46A9">
            <w:pPr>
              <w:spacing w:before="40" w:after="40" w:line="240" w:lineRule="auto"/>
              <w:jc w:val="center"/>
            </w:pPr>
            <w:r>
              <w:rPr>
                <w:rFonts w:ascii="Arial" w:eastAsia="Arial" w:hAnsi="Arial"/>
                <w:b/>
                <w:color w:val="000000"/>
                <w:kern w:val="0"/>
                <w:sz w:val="20"/>
                <w:szCs w:val="18"/>
              </w:rPr>
              <w:t>CAGR</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D9B4BCB" w14:textId="77777777" w:rsidR="000C2202" w:rsidRDefault="00DA46A9">
            <w:pPr>
              <w:spacing w:before="40" w:after="40" w:line="240" w:lineRule="auto"/>
            </w:pPr>
            <w:r>
              <w:rPr>
                <w:rFonts w:ascii="Arial" w:eastAsia="Arial" w:hAnsi="Arial"/>
                <w:color w:val="000000"/>
                <w:kern w:val="0"/>
                <w:sz w:val="20"/>
                <w:szCs w:val="18"/>
              </w:rPr>
              <w:t>Compound Annual Growth Rate</w:t>
            </w:r>
          </w:p>
        </w:tc>
      </w:tr>
      <w:tr w:rsidR="000C2202" w14:paraId="3BF26B07"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FFBE4F3" w14:textId="77777777" w:rsidR="000C2202" w:rsidRDefault="00DA46A9">
            <w:pPr>
              <w:spacing w:before="40" w:after="40" w:line="240" w:lineRule="auto"/>
              <w:jc w:val="center"/>
            </w:pPr>
            <w:r>
              <w:rPr>
                <w:rFonts w:ascii="Arial" w:eastAsia="Arial" w:hAnsi="Arial"/>
                <w:b/>
                <w:color w:val="000000"/>
                <w:kern w:val="0"/>
                <w:sz w:val="20"/>
                <w:szCs w:val="18"/>
              </w:rPr>
              <w:t>ECM</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D8B16B1" w14:textId="77777777" w:rsidR="000C2202" w:rsidRDefault="00DA46A9">
            <w:pPr>
              <w:spacing w:before="40" w:after="40" w:line="240" w:lineRule="auto"/>
            </w:pPr>
            <w:r>
              <w:rPr>
                <w:rFonts w:ascii="Arial" w:eastAsia="Arial" w:hAnsi="Arial"/>
                <w:color w:val="000000"/>
                <w:kern w:val="0"/>
                <w:sz w:val="20"/>
                <w:szCs w:val="18"/>
              </w:rPr>
              <w:t>Expectation-Confirmation Model</w:t>
            </w:r>
          </w:p>
        </w:tc>
      </w:tr>
      <w:tr w:rsidR="000C2202" w14:paraId="5A67152E"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E00C681" w14:textId="77777777" w:rsidR="000C2202" w:rsidRDefault="00DA46A9">
            <w:pPr>
              <w:spacing w:before="40" w:after="40" w:line="240" w:lineRule="auto"/>
              <w:jc w:val="center"/>
            </w:pPr>
            <w:r>
              <w:rPr>
                <w:rFonts w:ascii="Arial" w:eastAsia="Arial" w:hAnsi="Arial"/>
                <w:b/>
                <w:color w:val="000000"/>
                <w:kern w:val="0"/>
                <w:sz w:val="20"/>
                <w:szCs w:val="18"/>
              </w:rPr>
              <w:t>GenAI</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ECC3055" w14:textId="77777777" w:rsidR="000C2202" w:rsidRDefault="00DA46A9">
            <w:pPr>
              <w:spacing w:before="40" w:after="40" w:line="240" w:lineRule="auto"/>
            </w:pPr>
            <w:r>
              <w:rPr>
                <w:rFonts w:ascii="Arial" w:eastAsia="Arial" w:hAnsi="Arial"/>
                <w:color w:val="000000"/>
                <w:kern w:val="0"/>
                <w:sz w:val="20"/>
                <w:szCs w:val="18"/>
              </w:rPr>
              <w:t>Generative Artificial Intelligence</w:t>
            </w:r>
          </w:p>
        </w:tc>
      </w:tr>
      <w:tr w:rsidR="000C2202" w14:paraId="3DA09454"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3FA4598E" w14:textId="77777777" w:rsidR="000C2202" w:rsidRDefault="00DA46A9">
            <w:pPr>
              <w:spacing w:before="40" w:after="40" w:line="240" w:lineRule="auto"/>
              <w:jc w:val="center"/>
            </w:pPr>
            <w:r>
              <w:rPr>
                <w:rFonts w:ascii="Arial" w:eastAsia="Arial" w:hAnsi="Arial"/>
                <w:b/>
                <w:color w:val="000000"/>
                <w:kern w:val="0"/>
                <w:sz w:val="20"/>
                <w:szCs w:val="18"/>
              </w:rPr>
              <w:t>LCBB6014</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F0C803E" w14:textId="77777777" w:rsidR="000C2202" w:rsidRDefault="00DA46A9">
            <w:pPr>
              <w:spacing w:before="40" w:after="40" w:line="240" w:lineRule="auto"/>
            </w:pPr>
            <w:r>
              <w:rPr>
                <w:rFonts w:ascii="Arial" w:eastAsia="Arial" w:hAnsi="Arial"/>
                <w:color w:val="000000"/>
                <w:kern w:val="0"/>
                <w:sz w:val="20"/>
                <w:szCs w:val="18"/>
              </w:rPr>
              <w:t>Level 6 module code for the Dissertation, University of Wales Trinity Saint David</w:t>
            </w:r>
          </w:p>
        </w:tc>
      </w:tr>
      <w:tr w:rsidR="000C2202" w14:paraId="1D950E07"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4673122" w14:textId="77777777" w:rsidR="000C2202" w:rsidRDefault="00DA46A9">
            <w:pPr>
              <w:spacing w:before="40" w:after="40" w:line="240" w:lineRule="auto"/>
              <w:jc w:val="center"/>
            </w:pPr>
            <w:r>
              <w:rPr>
                <w:rFonts w:ascii="Arial" w:eastAsia="Arial" w:hAnsi="Arial"/>
                <w:b/>
                <w:color w:val="000000"/>
                <w:kern w:val="0"/>
                <w:sz w:val="20"/>
                <w:szCs w:val="18"/>
              </w:rPr>
              <w:t>LLM</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5D4BE4B" w14:textId="77777777" w:rsidR="000C2202" w:rsidRDefault="00DA46A9">
            <w:pPr>
              <w:spacing w:before="40" w:after="40" w:line="240" w:lineRule="auto"/>
            </w:pPr>
            <w:r>
              <w:rPr>
                <w:rFonts w:ascii="Arial" w:eastAsia="Arial" w:hAnsi="Arial"/>
                <w:color w:val="000000"/>
                <w:kern w:val="0"/>
                <w:sz w:val="20"/>
                <w:szCs w:val="18"/>
              </w:rPr>
              <w:t>Large Language Model</w:t>
            </w:r>
          </w:p>
        </w:tc>
      </w:tr>
      <w:tr w:rsidR="000C2202" w14:paraId="53070446"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7A47E0A8" w14:textId="77777777" w:rsidR="000C2202" w:rsidRDefault="00DA46A9">
            <w:pPr>
              <w:spacing w:before="40" w:after="40" w:line="240" w:lineRule="auto"/>
              <w:jc w:val="center"/>
            </w:pPr>
            <w:r>
              <w:rPr>
                <w:rFonts w:ascii="Arial" w:eastAsia="Arial" w:hAnsi="Arial"/>
                <w:b/>
                <w:color w:val="000000"/>
                <w:kern w:val="0"/>
                <w:sz w:val="20"/>
                <w:szCs w:val="18"/>
              </w:rPr>
              <w:t>NLP</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2827D20" w14:textId="77777777" w:rsidR="000C2202" w:rsidRDefault="00DA46A9">
            <w:pPr>
              <w:spacing w:before="40" w:after="40" w:line="240" w:lineRule="auto"/>
            </w:pPr>
            <w:r>
              <w:rPr>
                <w:rFonts w:ascii="Arial" w:eastAsia="Arial" w:hAnsi="Arial"/>
                <w:color w:val="000000"/>
                <w:kern w:val="0"/>
                <w:sz w:val="20"/>
                <w:szCs w:val="18"/>
              </w:rPr>
              <w:t>Natural Language Processing</w:t>
            </w:r>
          </w:p>
        </w:tc>
      </w:tr>
      <w:tr w:rsidR="000C2202" w14:paraId="3827E059"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4F3BCE7D" w14:textId="77777777" w:rsidR="000C2202" w:rsidRDefault="00DA46A9">
            <w:pPr>
              <w:spacing w:before="40" w:after="40" w:line="240" w:lineRule="auto"/>
              <w:jc w:val="center"/>
            </w:pPr>
            <w:r>
              <w:rPr>
                <w:rFonts w:ascii="Arial" w:eastAsia="Arial" w:hAnsi="Arial"/>
                <w:b/>
                <w:color w:val="000000"/>
                <w:kern w:val="0"/>
                <w:sz w:val="20"/>
                <w:szCs w:val="18"/>
              </w:rPr>
              <w:t>PEOU</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46D822D" w14:textId="77777777" w:rsidR="000C2202" w:rsidRDefault="00DA46A9">
            <w:pPr>
              <w:spacing w:before="40" w:after="40" w:line="240" w:lineRule="auto"/>
            </w:pPr>
            <w:r>
              <w:rPr>
                <w:rFonts w:ascii="Arial" w:eastAsia="Arial" w:hAnsi="Arial"/>
                <w:color w:val="000000"/>
                <w:kern w:val="0"/>
                <w:sz w:val="20"/>
                <w:szCs w:val="18"/>
              </w:rPr>
              <w:t>Perceived Ease of Use  (TAM construct)</w:t>
            </w:r>
          </w:p>
        </w:tc>
      </w:tr>
      <w:tr w:rsidR="000C2202" w14:paraId="78110CDB"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6CD694AA" w14:textId="77777777" w:rsidR="000C2202" w:rsidRDefault="00DA46A9">
            <w:pPr>
              <w:spacing w:before="40" w:after="40" w:line="240" w:lineRule="auto"/>
              <w:jc w:val="center"/>
            </w:pPr>
            <w:r>
              <w:rPr>
                <w:rFonts w:ascii="Arial" w:eastAsia="Arial" w:hAnsi="Arial"/>
                <w:b/>
                <w:color w:val="000000"/>
                <w:kern w:val="0"/>
                <w:sz w:val="20"/>
                <w:szCs w:val="18"/>
              </w:rPr>
              <w:t>PLC</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F1231E5" w14:textId="77777777" w:rsidR="000C2202" w:rsidRDefault="00DA46A9">
            <w:pPr>
              <w:spacing w:before="40" w:after="40" w:line="240" w:lineRule="auto"/>
            </w:pPr>
            <w:r>
              <w:rPr>
                <w:rFonts w:ascii="Arial" w:eastAsia="Arial" w:hAnsi="Arial"/>
                <w:color w:val="000000"/>
                <w:kern w:val="0"/>
                <w:sz w:val="20"/>
                <w:szCs w:val="18"/>
              </w:rPr>
              <w:t>Public Limited Company</w:t>
            </w:r>
          </w:p>
        </w:tc>
      </w:tr>
      <w:tr w:rsidR="000C2202" w14:paraId="4208B5E3"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412738B3" w14:textId="77777777" w:rsidR="000C2202" w:rsidRDefault="00DA46A9">
            <w:pPr>
              <w:spacing w:before="40" w:after="40" w:line="240" w:lineRule="auto"/>
              <w:jc w:val="center"/>
            </w:pPr>
            <w:r>
              <w:rPr>
                <w:rFonts w:ascii="Arial" w:eastAsia="Arial" w:hAnsi="Arial"/>
                <w:b/>
                <w:color w:val="000000"/>
                <w:kern w:val="0"/>
                <w:sz w:val="20"/>
                <w:szCs w:val="18"/>
              </w:rPr>
              <w:t>PU</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8B710B5" w14:textId="77777777" w:rsidR="000C2202" w:rsidRDefault="00DA46A9">
            <w:pPr>
              <w:spacing w:before="40" w:after="40" w:line="240" w:lineRule="auto"/>
            </w:pPr>
            <w:r>
              <w:rPr>
                <w:rFonts w:ascii="Arial" w:eastAsia="Arial" w:hAnsi="Arial"/>
                <w:color w:val="000000"/>
                <w:kern w:val="0"/>
                <w:sz w:val="20"/>
                <w:szCs w:val="18"/>
              </w:rPr>
              <w:t>Perceived Usefulness  (TAM construct)</w:t>
            </w:r>
          </w:p>
        </w:tc>
      </w:tr>
      <w:tr w:rsidR="000C2202" w14:paraId="62B9863D"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63369FE7" w14:textId="77777777" w:rsidR="000C2202" w:rsidRDefault="00DA46A9">
            <w:pPr>
              <w:spacing w:before="40" w:after="40" w:line="240" w:lineRule="auto"/>
              <w:jc w:val="center"/>
            </w:pPr>
            <w:r>
              <w:rPr>
                <w:rFonts w:ascii="Arial" w:eastAsia="Arial" w:hAnsi="Arial"/>
                <w:b/>
                <w:color w:val="000000"/>
                <w:kern w:val="0"/>
                <w:sz w:val="20"/>
                <w:szCs w:val="18"/>
              </w:rPr>
              <w:t>Q1 2026</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1A143F9" w14:textId="77777777" w:rsidR="000C2202" w:rsidRDefault="00DA46A9">
            <w:pPr>
              <w:spacing w:before="40" w:after="40" w:line="240" w:lineRule="auto"/>
            </w:pPr>
            <w:r>
              <w:rPr>
                <w:rFonts w:ascii="Arial" w:eastAsia="Arial" w:hAnsi="Arial"/>
                <w:color w:val="000000"/>
                <w:kern w:val="0"/>
                <w:sz w:val="20"/>
                <w:szCs w:val="18"/>
              </w:rPr>
              <w:t>First quarter of the year 2026</w:t>
            </w:r>
          </w:p>
        </w:tc>
      </w:tr>
      <w:tr w:rsidR="000C2202" w14:paraId="2C20CF79"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025FC9C0" w14:textId="77777777" w:rsidR="000C2202" w:rsidRDefault="00DA46A9">
            <w:pPr>
              <w:spacing w:before="40" w:after="40" w:line="240" w:lineRule="auto"/>
              <w:jc w:val="center"/>
            </w:pPr>
            <w:r>
              <w:rPr>
                <w:rFonts w:ascii="Arial" w:eastAsia="Arial" w:hAnsi="Arial"/>
                <w:b/>
                <w:color w:val="000000"/>
                <w:kern w:val="0"/>
                <w:sz w:val="20"/>
                <w:szCs w:val="18"/>
              </w:rPr>
              <w:t>RO</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FCB7A55" w14:textId="77777777" w:rsidR="000C2202" w:rsidRDefault="00DA46A9">
            <w:pPr>
              <w:spacing w:before="40" w:after="40" w:line="240" w:lineRule="auto"/>
            </w:pPr>
            <w:r>
              <w:rPr>
                <w:rFonts w:ascii="Arial" w:eastAsia="Arial" w:hAnsi="Arial"/>
                <w:color w:val="000000"/>
                <w:kern w:val="0"/>
                <w:sz w:val="20"/>
                <w:szCs w:val="18"/>
              </w:rPr>
              <w:t>Research Objective</w:t>
            </w:r>
          </w:p>
        </w:tc>
      </w:tr>
      <w:tr w:rsidR="000C2202" w14:paraId="3F44EF4C"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01C40F1B" w14:textId="77777777" w:rsidR="000C2202" w:rsidRDefault="00DA46A9">
            <w:pPr>
              <w:spacing w:before="40" w:after="40" w:line="240" w:lineRule="auto"/>
              <w:jc w:val="center"/>
            </w:pPr>
            <w:r>
              <w:rPr>
                <w:rFonts w:ascii="Arial" w:eastAsia="Arial" w:hAnsi="Arial"/>
                <w:b/>
                <w:color w:val="000000"/>
                <w:kern w:val="0"/>
                <w:sz w:val="20"/>
                <w:szCs w:val="18"/>
              </w:rPr>
              <w:t>RQ</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984307C" w14:textId="77777777" w:rsidR="000C2202" w:rsidRDefault="00DA46A9">
            <w:pPr>
              <w:spacing w:before="40" w:after="40" w:line="240" w:lineRule="auto"/>
            </w:pPr>
            <w:r>
              <w:rPr>
                <w:rFonts w:ascii="Arial" w:eastAsia="Arial" w:hAnsi="Arial"/>
                <w:color w:val="000000"/>
                <w:kern w:val="0"/>
                <w:sz w:val="20"/>
                <w:szCs w:val="18"/>
              </w:rPr>
              <w:t>Research Question</w:t>
            </w:r>
          </w:p>
        </w:tc>
      </w:tr>
      <w:tr w:rsidR="000C2202" w14:paraId="4A7986DF"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29D16D1" w14:textId="77777777" w:rsidR="000C2202" w:rsidRDefault="00DA46A9">
            <w:pPr>
              <w:spacing w:before="40" w:after="40" w:line="240" w:lineRule="auto"/>
              <w:jc w:val="center"/>
            </w:pPr>
            <w:r>
              <w:rPr>
                <w:rFonts w:ascii="Arial" w:eastAsia="Arial" w:hAnsi="Arial"/>
                <w:b/>
                <w:color w:val="000000"/>
                <w:kern w:val="0"/>
                <w:sz w:val="20"/>
                <w:szCs w:val="18"/>
              </w:rPr>
              <w:t>SERVQUAL</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F813274" w14:textId="77777777" w:rsidR="000C2202" w:rsidRDefault="00DA46A9">
            <w:pPr>
              <w:spacing w:before="40" w:after="40" w:line="240" w:lineRule="auto"/>
            </w:pPr>
            <w:r>
              <w:rPr>
                <w:rFonts w:ascii="Arial" w:eastAsia="Arial" w:hAnsi="Arial"/>
                <w:color w:val="000000"/>
                <w:kern w:val="0"/>
                <w:sz w:val="20"/>
                <w:szCs w:val="18"/>
              </w:rPr>
              <w:t>Service Quality (Parasuraman, Zeithaml and Berry model)</w:t>
            </w:r>
          </w:p>
        </w:tc>
      </w:tr>
      <w:tr w:rsidR="000C2202" w14:paraId="1BF6DA85"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33380715" w14:textId="77777777" w:rsidR="000C2202" w:rsidRDefault="00DA46A9">
            <w:pPr>
              <w:spacing w:before="40" w:after="40" w:line="240" w:lineRule="auto"/>
              <w:jc w:val="center"/>
            </w:pPr>
            <w:r>
              <w:rPr>
                <w:rFonts w:ascii="Arial" w:eastAsia="Arial" w:hAnsi="Arial"/>
                <w:b/>
                <w:color w:val="000000"/>
                <w:kern w:val="0"/>
                <w:sz w:val="20"/>
                <w:szCs w:val="18"/>
              </w:rPr>
              <w:t>SME</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77483F4" w14:textId="77777777" w:rsidR="000C2202" w:rsidRDefault="00DA46A9">
            <w:pPr>
              <w:spacing w:before="40" w:after="40" w:line="240" w:lineRule="auto"/>
            </w:pPr>
            <w:r>
              <w:rPr>
                <w:rFonts w:ascii="Arial" w:eastAsia="Arial" w:hAnsi="Arial"/>
                <w:color w:val="000000"/>
                <w:kern w:val="0"/>
                <w:sz w:val="20"/>
                <w:szCs w:val="18"/>
              </w:rPr>
              <w:t>Small and Medium-sized Enterprise</w:t>
            </w:r>
          </w:p>
        </w:tc>
      </w:tr>
      <w:tr w:rsidR="000C2202" w14:paraId="24867191"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6829E09A" w14:textId="77777777" w:rsidR="000C2202" w:rsidRDefault="00DA46A9">
            <w:pPr>
              <w:spacing w:before="40" w:after="40" w:line="240" w:lineRule="auto"/>
              <w:jc w:val="center"/>
            </w:pPr>
            <w:r>
              <w:rPr>
                <w:rFonts w:ascii="Arial" w:eastAsia="Arial" w:hAnsi="Arial"/>
                <w:b/>
                <w:color w:val="000000"/>
                <w:kern w:val="0"/>
                <w:sz w:val="20"/>
                <w:szCs w:val="18"/>
              </w:rPr>
              <w:t>TA</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99A6E4E" w14:textId="77777777" w:rsidR="000C2202" w:rsidRDefault="00DA46A9">
            <w:pPr>
              <w:spacing w:before="40" w:after="40" w:line="240" w:lineRule="auto"/>
            </w:pPr>
            <w:r>
              <w:rPr>
                <w:rFonts w:ascii="Arial" w:eastAsia="Arial" w:hAnsi="Arial"/>
                <w:color w:val="000000"/>
                <w:kern w:val="0"/>
                <w:sz w:val="20"/>
                <w:szCs w:val="18"/>
              </w:rPr>
              <w:t>Thematic Analysis</w:t>
            </w:r>
          </w:p>
        </w:tc>
      </w:tr>
      <w:tr w:rsidR="000C2202" w14:paraId="5EE6CCF0"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4BF893D" w14:textId="77777777" w:rsidR="000C2202" w:rsidRDefault="00DA46A9">
            <w:pPr>
              <w:spacing w:before="40" w:after="40" w:line="240" w:lineRule="auto"/>
              <w:jc w:val="center"/>
            </w:pPr>
            <w:r>
              <w:rPr>
                <w:rFonts w:ascii="Arial" w:eastAsia="Arial" w:hAnsi="Arial"/>
                <w:b/>
                <w:color w:val="000000"/>
                <w:kern w:val="0"/>
                <w:sz w:val="20"/>
                <w:szCs w:val="18"/>
              </w:rPr>
              <w:t>TAM</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300C087" w14:textId="77777777" w:rsidR="000C2202" w:rsidRDefault="00DA46A9">
            <w:pPr>
              <w:spacing w:before="40" w:after="40" w:line="240" w:lineRule="auto"/>
            </w:pPr>
            <w:r>
              <w:rPr>
                <w:rFonts w:ascii="Arial" w:eastAsia="Arial" w:hAnsi="Arial"/>
                <w:color w:val="000000"/>
                <w:kern w:val="0"/>
                <w:sz w:val="20"/>
                <w:szCs w:val="18"/>
              </w:rPr>
              <w:t>Technology Acceptance Model  (Davis, 1989)</w:t>
            </w:r>
          </w:p>
        </w:tc>
      </w:tr>
      <w:tr w:rsidR="000C2202" w14:paraId="37ACBE86"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751017B" w14:textId="77777777" w:rsidR="000C2202" w:rsidRDefault="00DA46A9">
            <w:pPr>
              <w:spacing w:before="40" w:after="40" w:line="240" w:lineRule="auto"/>
              <w:jc w:val="center"/>
            </w:pPr>
            <w:r>
              <w:rPr>
                <w:rFonts w:ascii="Arial" w:eastAsia="Arial" w:hAnsi="Arial"/>
                <w:b/>
                <w:color w:val="000000"/>
                <w:kern w:val="0"/>
                <w:sz w:val="20"/>
                <w:szCs w:val="18"/>
              </w:rPr>
              <w:t>UK</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9B2B3E8" w14:textId="77777777" w:rsidR="000C2202" w:rsidRDefault="00DA46A9">
            <w:pPr>
              <w:spacing w:before="40" w:after="40" w:line="240" w:lineRule="auto"/>
            </w:pPr>
            <w:r>
              <w:rPr>
                <w:rFonts w:ascii="Arial" w:eastAsia="Arial" w:hAnsi="Arial"/>
                <w:color w:val="000000"/>
                <w:kern w:val="0"/>
                <w:sz w:val="20"/>
                <w:szCs w:val="18"/>
              </w:rPr>
              <w:t>United Kingdom</w:t>
            </w:r>
          </w:p>
        </w:tc>
      </w:tr>
      <w:tr w:rsidR="000C2202" w14:paraId="3827E1F2"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7915DC17" w14:textId="77777777" w:rsidR="000C2202" w:rsidRDefault="00DA46A9">
            <w:pPr>
              <w:spacing w:before="40" w:after="40" w:line="240" w:lineRule="auto"/>
              <w:jc w:val="center"/>
            </w:pPr>
            <w:r>
              <w:rPr>
                <w:rFonts w:ascii="Arial" w:eastAsia="Arial" w:hAnsi="Arial"/>
                <w:b/>
                <w:color w:val="000000"/>
                <w:kern w:val="0"/>
                <w:sz w:val="20"/>
                <w:szCs w:val="18"/>
              </w:rPr>
              <w:t>USD</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6A94E26" w14:textId="77777777" w:rsidR="000C2202" w:rsidRDefault="00DA46A9">
            <w:pPr>
              <w:spacing w:before="40" w:after="40" w:line="240" w:lineRule="auto"/>
            </w:pPr>
            <w:r>
              <w:rPr>
                <w:rFonts w:ascii="Arial" w:eastAsia="Arial" w:hAnsi="Arial"/>
                <w:color w:val="000000"/>
                <w:kern w:val="0"/>
                <w:sz w:val="20"/>
                <w:szCs w:val="18"/>
              </w:rPr>
              <w:t>United States Dollar</w:t>
            </w:r>
          </w:p>
        </w:tc>
      </w:tr>
      <w:tr w:rsidR="000C2202" w14:paraId="5B6DCCB5"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6D13C818" w14:textId="77777777" w:rsidR="000C2202" w:rsidRDefault="00DA46A9">
            <w:pPr>
              <w:spacing w:before="40" w:after="40" w:line="240" w:lineRule="auto"/>
              <w:jc w:val="center"/>
            </w:pPr>
            <w:r>
              <w:rPr>
                <w:rFonts w:ascii="Arial" w:eastAsia="Arial" w:hAnsi="Arial"/>
                <w:b/>
                <w:color w:val="000000"/>
                <w:kern w:val="0"/>
                <w:sz w:val="20"/>
                <w:szCs w:val="18"/>
              </w:rPr>
              <w:t>UWTSD</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AF02FFD" w14:textId="77777777" w:rsidR="000C2202" w:rsidRDefault="00DA46A9">
            <w:pPr>
              <w:spacing w:before="40" w:after="40" w:line="240" w:lineRule="auto"/>
            </w:pPr>
            <w:r>
              <w:rPr>
                <w:rFonts w:ascii="Arial" w:eastAsia="Arial" w:hAnsi="Arial"/>
                <w:color w:val="000000"/>
                <w:kern w:val="0"/>
                <w:sz w:val="20"/>
                <w:szCs w:val="18"/>
              </w:rPr>
              <w:t>University of Wales Trinity Saint David</w:t>
            </w:r>
          </w:p>
        </w:tc>
      </w:tr>
      <w:tr w:rsidR="000C2202" w14:paraId="3566722E"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1E5326C1" w14:textId="77777777" w:rsidR="000C2202" w:rsidRDefault="00DA46A9">
            <w:pPr>
              <w:spacing w:before="40" w:after="40" w:line="240" w:lineRule="auto"/>
              <w:jc w:val="center"/>
            </w:pPr>
            <w:r>
              <w:rPr>
                <w:rFonts w:ascii="Arial" w:eastAsia="Arial" w:hAnsi="Arial"/>
                <w:b/>
                <w:color w:val="000000"/>
                <w:kern w:val="0"/>
                <w:sz w:val="20"/>
                <w:szCs w:val="18"/>
              </w:rPr>
              <w:t>24/7</w:t>
            </w:r>
          </w:p>
        </w:tc>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7027C46" w14:textId="77777777" w:rsidR="000C2202" w:rsidRDefault="00DA46A9">
            <w:pPr>
              <w:spacing w:before="40" w:after="40" w:line="240" w:lineRule="auto"/>
            </w:pPr>
            <w:r>
              <w:rPr>
                <w:rFonts w:ascii="Arial" w:eastAsia="Arial" w:hAnsi="Arial"/>
                <w:color w:val="000000"/>
                <w:kern w:val="0"/>
                <w:sz w:val="20"/>
                <w:szCs w:val="18"/>
              </w:rPr>
              <w:t>Twenty-four hours per day, seven days per week</w:t>
            </w:r>
          </w:p>
        </w:tc>
      </w:tr>
    </w:tbl>
    <w:p w14:paraId="36372601" w14:textId="77777777" w:rsidR="000C2202" w:rsidRDefault="000C2202">
      <w:pPr>
        <w:spacing w:after="120" w:line="360" w:lineRule="auto"/>
        <w:rPr>
          <w:rFonts w:ascii="Arial" w:eastAsia="Arial" w:hAnsi="Arial"/>
          <w:kern w:val="0"/>
        </w:rPr>
      </w:pPr>
    </w:p>
    <w:p w14:paraId="7CB9BF4A" w14:textId="77777777" w:rsidR="000C2202" w:rsidRDefault="00DA46A9">
      <w:pPr>
        <w:keepNext/>
        <w:keepLines/>
        <w:spacing w:before="480" w:after="0" w:line="360" w:lineRule="auto"/>
        <w:jc w:val="center"/>
        <w:outlineLvl w:val="0"/>
      </w:pPr>
      <w:bookmarkStart w:id="6" w:name="_Toc235807033"/>
      <w:r>
        <w:rPr>
          <w:rFonts w:ascii="Calibri" w:eastAsia="MS Gothic" w:hAnsi="Calibri"/>
          <w:b/>
          <w:bCs/>
          <w:color w:val="365F91"/>
          <w:kern w:val="0"/>
          <w:sz w:val="32"/>
          <w:szCs w:val="32"/>
        </w:rPr>
        <w:t>Chapter 1: Introduction</w:t>
      </w:r>
      <w:bookmarkEnd w:id="6"/>
    </w:p>
    <w:p w14:paraId="7CEC6C4C"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7" w:name="_Toc235807034"/>
      <w:r>
        <w:rPr>
          <w:rFonts w:ascii="Calibri" w:eastAsia="MS Gothic" w:hAnsi="Calibri"/>
          <w:b/>
          <w:bCs/>
          <w:color w:val="4F81BD"/>
          <w:kern w:val="0"/>
          <w:sz w:val="26"/>
          <w:szCs w:val="26"/>
        </w:rPr>
        <w:t>1.1 Background of the Study</w:t>
      </w:r>
      <w:bookmarkEnd w:id="7"/>
    </w:p>
    <w:p w14:paraId="1503878A" w14:textId="77777777" w:rsidR="000C2202" w:rsidRDefault="00DA46A9">
      <w:pPr>
        <w:spacing w:after="120" w:line="360" w:lineRule="auto"/>
        <w:jc w:val="both"/>
      </w:pPr>
      <w:r>
        <w:rPr>
          <w:rFonts w:ascii="Arial" w:eastAsia="Arial" w:hAnsi="Arial"/>
          <w:kern w:val="0"/>
          <w:szCs w:val="22"/>
        </w:rPr>
        <w:t>The retail industry is undergoing rapid digital transformation, and at the heart of this transformation is artificial intelligence (AI). The global chatbot market was estimated at USD 9.6 billion in 2025 and will expand at a CAGR of 19.6% to reach USD 41.2 billion by 2033 (Grand View Research, 2026). The AI-for-customer-service market is projected to reach USD 117.87 billion by 2034 (Polaris Market Research, 2026); meanwhile, the retail/e-commerce sector represents an estimated 28.4% of the total AI deployment of chatbots worldwide (Mordor Intelligence, 2026). Tesco has the dominant position in grocery in the UK with 27.3% of the grocery market in Great Britain, as of Q1 2026 (Kantar, 2026), and is present in over 4,300 stores in the UK and the Republic of Ireland (Statista Research Department, 2025). Tesco PLC (2026) is conducting a significant trial of a new AI assistant to support colleagues and customers, making it an appropriate case study for the retail industry in terms of the application of chatbots for customer service.</w:t>
      </w:r>
    </w:p>
    <w:p w14:paraId="43736A36" w14:textId="77777777" w:rsidR="000C2202" w:rsidRDefault="00DA46A9">
      <w:pPr>
        <w:spacing w:before="120" w:after="120" w:line="360" w:lineRule="auto"/>
        <w:jc w:val="center"/>
      </w:pPr>
      <w:r>
        <w:rPr>
          <w:rFonts w:ascii="Arial" w:eastAsia="Arial" w:hAnsi="Arial"/>
          <w:noProof/>
          <w:kern w:val="0"/>
          <w:szCs w:val="28"/>
        </w:rPr>
        <w:drawing>
          <wp:inline distT="0" distB="0" distL="0" distR="0" wp14:anchorId="7D11B408" wp14:editId="2B34861A">
            <wp:extent cx="5486400" cy="2926080"/>
            <wp:effectExtent l="0" t="0" r="0" b="0"/>
            <wp:docPr id="865761693" name="Chart 1" title="Global Chatbot Market Size 2024-203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DBE727C" w14:textId="77777777" w:rsidR="000C2202" w:rsidRDefault="00DA46A9">
      <w:pPr>
        <w:spacing w:after="240" w:line="360" w:lineRule="auto"/>
        <w:jc w:val="center"/>
      </w:pPr>
      <w:r>
        <w:rPr>
          <w:rFonts w:ascii="Arial" w:eastAsia="Arial" w:hAnsi="Arial"/>
          <w:i/>
          <w:color w:val="595959"/>
          <w:kern w:val="0"/>
        </w:rPr>
        <w:t>Figure 1.1: Global chatbot market size, 2024–2033 (USD billions). Source: Grand View Research (2026).</w:t>
      </w:r>
    </w:p>
    <w:p w14:paraId="4E3AC2DB"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8" w:name="_Toc235807035"/>
      <w:r>
        <w:rPr>
          <w:rFonts w:ascii="Calibri" w:eastAsia="MS Gothic" w:hAnsi="Calibri"/>
          <w:b/>
          <w:bCs/>
          <w:color w:val="4F81BD"/>
          <w:kern w:val="0"/>
          <w:sz w:val="26"/>
          <w:szCs w:val="26"/>
        </w:rPr>
        <w:t>1.2 Problem Statement</w:t>
      </w:r>
      <w:bookmarkEnd w:id="8"/>
    </w:p>
    <w:p w14:paraId="3F523429" w14:textId="77777777" w:rsidR="000C2202" w:rsidRDefault="00DA46A9">
      <w:pPr>
        <w:spacing w:after="120" w:line="360" w:lineRule="auto"/>
        <w:jc w:val="both"/>
      </w:pPr>
      <w:r>
        <w:rPr>
          <w:rFonts w:ascii="Arial" w:eastAsia="Arial" w:hAnsi="Arial"/>
          <w:kern w:val="0"/>
          <w:szCs w:val="22"/>
        </w:rPr>
        <w:t>Although the use of AI-powered chatbots is expanding rapidly, most research on chatbots and customer satisfaction has focused on banking, telecommunications and general e-commerce rather than grocery retail (Adam, Wessel and Benlian, 2021; Chopra, Ranjani and Narsipur, 2023). This represents a material gap because supermarket customer service handles high-volume, time-sensitive enquiries concerning delivery-slot changes, substitutions, refunds and Clubcard accounts. These issues may directly affect basket completion and customer loyalty (Zeithaml, Bitner and Gremler, 2018; Shahbandi, 2025). Consequently, operational efficiency alone cannot establish whether chatbot deployment improves customer satisfaction.</w:t>
      </w:r>
    </w:p>
    <w:p w14:paraId="4FA7D240"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9" w:name="_Toc235807036"/>
      <w:r>
        <w:rPr>
          <w:rFonts w:ascii="Calibri" w:eastAsia="MS Gothic" w:hAnsi="Calibri"/>
          <w:b/>
          <w:bCs/>
          <w:color w:val="4F81BD"/>
          <w:kern w:val="0"/>
          <w:sz w:val="26"/>
          <w:szCs w:val="26"/>
        </w:rPr>
        <w:t>1.3 Research Aim</w:t>
      </w:r>
      <w:bookmarkEnd w:id="9"/>
    </w:p>
    <w:p w14:paraId="7439B46B" w14:textId="77777777" w:rsidR="000C2202" w:rsidRDefault="00DA46A9">
      <w:pPr>
        <w:spacing w:after="120" w:line="360" w:lineRule="auto"/>
        <w:jc w:val="both"/>
        <w:rPr>
          <w:rFonts w:ascii="Arial" w:eastAsia="Arial" w:hAnsi="Arial"/>
          <w:kern w:val="0"/>
        </w:rPr>
      </w:pPr>
      <w:r>
        <w:rPr>
          <w:rFonts w:ascii="Arial" w:eastAsia="Arial" w:hAnsi="Arial"/>
          <w:kern w:val="0"/>
        </w:rPr>
        <w:t>The aim of this study is to investigate how AI-powered customer service chatbots affect customer satisfaction at Tesco within the wider UK supermarket sector.</w:t>
      </w:r>
    </w:p>
    <w:p w14:paraId="64CB5E89"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10" w:name="_Toc235807037"/>
      <w:r>
        <w:rPr>
          <w:rFonts w:ascii="Calibri" w:eastAsia="MS Gothic" w:hAnsi="Calibri"/>
          <w:b/>
          <w:bCs/>
          <w:color w:val="4F81BD"/>
          <w:kern w:val="0"/>
          <w:sz w:val="26"/>
          <w:szCs w:val="26"/>
        </w:rPr>
        <w:t>1.4 Research Objectives</w:t>
      </w:r>
      <w:bookmarkEnd w:id="10"/>
    </w:p>
    <w:p w14:paraId="68F69CBC" w14:textId="77777777" w:rsidR="000C2202" w:rsidRDefault="00DA46A9">
      <w:pPr>
        <w:tabs>
          <w:tab w:val="left" w:pos="360"/>
        </w:tabs>
        <w:spacing w:after="60" w:line="360" w:lineRule="auto"/>
        <w:ind w:left="360" w:hanging="360"/>
        <w:jc w:val="both"/>
        <w:rPr>
          <w:rFonts w:ascii="Arial" w:eastAsia="Arial" w:hAnsi="Arial"/>
          <w:kern w:val="0"/>
        </w:rPr>
      </w:pPr>
      <w:r>
        <w:rPr>
          <w:rFonts w:ascii="Arial" w:eastAsia="Arial" w:hAnsi="Arial"/>
          <w:kern w:val="0"/>
        </w:rPr>
        <w:t>To explore the role of AI-powered chatbots in customer service within UK supermarkets, using Tesco as the focal case.</w:t>
      </w:r>
    </w:p>
    <w:p w14:paraId="57E7D8DF" w14:textId="77777777" w:rsidR="000C2202" w:rsidRDefault="00DA46A9">
      <w:pPr>
        <w:tabs>
          <w:tab w:val="left" w:pos="360"/>
        </w:tabs>
        <w:spacing w:after="60" w:line="360" w:lineRule="auto"/>
        <w:ind w:left="360" w:hanging="360"/>
        <w:jc w:val="both"/>
        <w:rPr>
          <w:rFonts w:ascii="Arial" w:eastAsia="Arial" w:hAnsi="Arial"/>
          <w:kern w:val="0"/>
        </w:rPr>
      </w:pPr>
      <w:r>
        <w:rPr>
          <w:rFonts w:ascii="Arial" w:eastAsia="Arial" w:hAnsi="Arial"/>
          <w:kern w:val="0"/>
        </w:rPr>
        <w:t>To evaluate the impact of AI chatbots on customer satisfaction with reference to speed, convenience, and perceived service quality.</w:t>
      </w:r>
    </w:p>
    <w:p w14:paraId="7477D786" w14:textId="77777777" w:rsidR="000C2202" w:rsidRDefault="00DA46A9">
      <w:pPr>
        <w:tabs>
          <w:tab w:val="left" w:pos="360"/>
        </w:tabs>
        <w:spacing w:after="60" w:line="360" w:lineRule="auto"/>
        <w:ind w:left="360" w:hanging="360"/>
        <w:jc w:val="both"/>
        <w:rPr>
          <w:rFonts w:ascii="Arial" w:eastAsia="Arial" w:hAnsi="Arial"/>
          <w:kern w:val="0"/>
        </w:rPr>
      </w:pPr>
      <w:r>
        <w:rPr>
          <w:rFonts w:ascii="Arial" w:eastAsia="Arial" w:hAnsi="Arial"/>
          <w:kern w:val="0"/>
        </w:rPr>
        <w:t>To identify the key benefits and limitations of AI-powered chatbots for the customer experience in UK supermarkets.</w:t>
      </w:r>
    </w:p>
    <w:p w14:paraId="34941AD4"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11" w:name="_Toc235807038"/>
      <w:r>
        <w:rPr>
          <w:rFonts w:ascii="Calibri" w:eastAsia="MS Gothic" w:hAnsi="Calibri"/>
          <w:b/>
          <w:bCs/>
          <w:color w:val="4F81BD"/>
          <w:kern w:val="0"/>
          <w:sz w:val="26"/>
          <w:szCs w:val="26"/>
        </w:rPr>
        <w:t>1.5 Research Questions</w:t>
      </w:r>
      <w:bookmarkEnd w:id="11"/>
    </w:p>
    <w:p w14:paraId="30D6071D" w14:textId="77777777" w:rsidR="000C2202" w:rsidRDefault="00DA46A9">
      <w:pPr>
        <w:spacing w:after="120" w:line="360" w:lineRule="auto"/>
        <w:jc w:val="both"/>
        <w:rPr>
          <w:rFonts w:ascii="Arial" w:eastAsia="Arial" w:hAnsi="Arial"/>
          <w:color w:val="000000"/>
          <w:kern w:val="0"/>
        </w:rPr>
      </w:pPr>
      <w:r>
        <w:rPr>
          <w:rFonts w:ascii="Arial" w:eastAsia="Arial" w:hAnsi="Arial"/>
          <w:color w:val="000000"/>
          <w:kern w:val="0"/>
        </w:rPr>
        <w:t>Aligned to the three research objectives above, the study addresses three research questions, each mapped directly to one objective:</w:t>
      </w:r>
    </w:p>
    <w:p w14:paraId="1DDBC40C" w14:textId="77777777" w:rsidR="000C2202" w:rsidRDefault="00DA46A9">
      <w:pPr>
        <w:spacing w:after="120" w:line="360" w:lineRule="auto"/>
        <w:jc w:val="both"/>
      </w:pPr>
      <w:r>
        <w:rPr>
          <w:rFonts w:ascii="Arial" w:eastAsia="Arial" w:hAnsi="Arial"/>
          <w:b/>
          <w:color w:val="000000"/>
          <w:kern w:val="0"/>
        </w:rPr>
        <w:t xml:space="preserve">RQ1.  </w:t>
      </w:r>
      <w:r>
        <w:rPr>
          <w:rFonts w:ascii="Arial" w:eastAsia="Arial" w:hAnsi="Arial"/>
          <w:color w:val="000000"/>
          <w:kern w:val="0"/>
        </w:rPr>
        <w:t>What is the role of AI-powered chatbots in customer service within UK supermarkets, using Tesco as a case study? (linked to Objective 1)</w:t>
      </w:r>
    </w:p>
    <w:p w14:paraId="12FCB20A" w14:textId="77777777" w:rsidR="000C2202" w:rsidRDefault="00DA46A9">
      <w:pPr>
        <w:spacing w:after="120" w:line="360" w:lineRule="auto"/>
        <w:jc w:val="both"/>
      </w:pPr>
      <w:r>
        <w:rPr>
          <w:rFonts w:ascii="Arial" w:eastAsia="Arial" w:hAnsi="Arial"/>
          <w:b/>
          <w:color w:val="000000"/>
          <w:kern w:val="0"/>
        </w:rPr>
        <w:t xml:space="preserve">RQ2.  </w:t>
      </w:r>
      <w:r>
        <w:rPr>
          <w:rFonts w:ascii="Arial" w:eastAsia="Arial" w:hAnsi="Arial"/>
          <w:color w:val="000000"/>
          <w:kern w:val="0"/>
        </w:rPr>
        <w:t>What is the impact of AI-powered chatbots on customer satisfaction in terms of speed, convenience, and perceived service quality? (linked to Objective 2)</w:t>
      </w:r>
    </w:p>
    <w:p w14:paraId="0346ED86" w14:textId="77777777" w:rsidR="000C2202" w:rsidRDefault="00DA46A9">
      <w:pPr>
        <w:spacing w:after="120" w:line="360" w:lineRule="auto"/>
        <w:jc w:val="both"/>
      </w:pPr>
      <w:r>
        <w:rPr>
          <w:rFonts w:ascii="Arial" w:eastAsia="Arial" w:hAnsi="Arial"/>
          <w:b/>
          <w:color w:val="000000"/>
          <w:kern w:val="0"/>
        </w:rPr>
        <w:t xml:space="preserve">RQ3.  </w:t>
      </w:r>
      <w:r>
        <w:rPr>
          <w:rFonts w:ascii="Arial" w:eastAsia="Arial" w:hAnsi="Arial"/>
          <w:color w:val="000000"/>
          <w:kern w:val="0"/>
        </w:rPr>
        <w:t>What are the key benefits and limitations of AI-powered chatbots for the customer experience in UK supermarkets? (linked to Objective 3)</w:t>
      </w:r>
    </w:p>
    <w:p w14:paraId="5312D085"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12" w:name="_Toc235807039"/>
      <w:r>
        <w:rPr>
          <w:rFonts w:ascii="Calibri" w:eastAsia="MS Gothic" w:hAnsi="Calibri"/>
          <w:b/>
          <w:bCs/>
          <w:color w:val="4F81BD"/>
          <w:kern w:val="0"/>
          <w:sz w:val="26"/>
          <w:szCs w:val="26"/>
        </w:rPr>
        <w:t>1.6 Significance and Rationale</w:t>
      </w:r>
      <w:bookmarkEnd w:id="12"/>
    </w:p>
    <w:p w14:paraId="13D669EB" w14:textId="77777777" w:rsidR="000C2202" w:rsidRDefault="00DA46A9">
      <w:pPr>
        <w:spacing w:after="120" w:line="360" w:lineRule="auto"/>
        <w:jc w:val="both"/>
        <w:rPr>
          <w:rFonts w:ascii="Arial" w:eastAsia="Arial" w:hAnsi="Arial"/>
          <w:kern w:val="0"/>
        </w:rPr>
      </w:pPr>
      <w:r>
        <w:rPr>
          <w:rFonts w:ascii="Arial" w:eastAsia="Arial" w:hAnsi="Arial"/>
          <w:kern w:val="0"/>
        </w:rPr>
        <w:t>The study makes two contributions. In reality, it is a framework for how well or poorly using a chatbot improves satisfaction for Tesco (and other food retailers in the UK), and it will inform chatbot designs, including empathy, routing and escalation rules, among other things. It extends the SERVQUAL model (Parasuraman, Zeithaml and Berry, 1988) and the Technology Acceptance Model (Davis, 1989) to the grocery sector, which is under-represented in previous chatbot–satisfaction research, and reflects the shift from rule-based to generative AI assistance at Tesco (Tesco PLC, 2026).</w:t>
      </w:r>
    </w:p>
    <w:p w14:paraId="23AA208F"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13" w:name="_Toc235807040"/>
      <w:r>
        <w:rPr>
          <w:rFonts w:ascii="Calibri" w:eastAsia="MS Gothic" w:hAnsi="Calibri"/>
          <w:b/>
          <w:bCs/>
          <w:color w:val="4F81BD"/>
          <w:kern w:val="0"/>
          <w:sz w:val="26"/>
          <w:szCs w:val="26"/>
        </w:rPr>
        <w:t>1.7 Scope and Delimitations</w:t>
      </w:r>
      <w:bookmarkEnd w:id="13"/>
    </w:p>
    <w:p w14:paraId="50AFCCAA" w14:textId="77777777" w:rsidR="000C2202" w:rsidRDefault="00DA46A9">
      <w:pPr>
        <w:spacing w:after="120" w:line="360" w:lineRule="auto"/>
        <w:jc w:val="both"/>
        <w:rPr>
          <w:rFonts w:ascii="Arial" w:eastAsia="Arial" w:hAnsi="Arial"/>
          <w:kern w:val="0"/>
        </w:rPr>
      </w:pPr>
      <w:r>
        <w:rPr>
          <w:rFonts w:ascii="Arial" w:eastAsia="Arial" w:hAnsi="Arial"/>
          <w:kern w:val="0"/>
        </w:rPr>
        <w:t>The study only covers the Tesco's UK operation and is based on available secondary data from public sources published from 2019 to 2026. Does not include Tesco's non-UK markets and does not include primary customer surveys / interviews. The results are therefore a reflection of the UK grocery environment and not retail in general.</w:t>
      </w:r>
    </w:p>
    <w:p w14:paraId="034B70E0"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14" w:name="_Toc235807041"/>
      <w:r>
        <w:rPr>
          <w:rFonts w:ascii="Calibri" w:eastAsia="MS Gothic" w:hAnsi="Calibri"/>
          <w:b/>
          <w:bCs/>
          <w:color w:val="4F81BD"/>
          <w:kern w:val="0"/>
          <w:sz w:val="26"/>
          <w:szCs w:val="26"/>
        </w:rPr>
        <w:t>1.8 Structure of the Dissertation</w:t>
      </w:r>
      <w:bookmarkEnd w:id="14"/>
    </w:p>
    <w:p w14:paraId="0035F00F" w14:textId="77777777" w:rsidR="000C2202" w:rsidRDefault="00DA46A9">
      <w:pPr>
        <w:spacing w:after="120" w:line="360" w:lineRule="auto"/>
        <w:jc w:val="both"/>
      </w:pPr>
      <w:r>
        <w:rPr>
          <w:rFonts w:ascii="Arial" w:eastAsia="Arial" w:hAnsi="Arial"/>
          <w:kern w:val="0"/>
          <w:szCs w:val="22"/>
        </w:rPr>
        <w:t>The dissertation is organised into five chapters. Chapter 2 critically reviews chatbot service quality, SERVQUAL, TAM and the UK grocery digital environment, building directly on the research problem established in Chapter 1. Chapter 3 then explains and justifies the qualitative secondary design and reflexive thematic-analysis process. Chapter 4 presents and discusses the findings against the conceptual framework, while Chapter 5 concludes the study, evaluates its contribution and limitations, and provides recommendations.</w:t>
      </w:r>
    </w:p>
    <w:p w14:paraId="30472926" w14:textId="77777777" w:rsidR="000C2202" w:rsidRDefault="000C2202">
      <w:pPr>
        <w:pageBreakBefore/>
        <w:spacing w:after="120" w:line="360" w:lineRule="auto"/>
        <w:rPr>
          <w:rFonts w:ascii="Arial" w:eastAsia="Arial" w:hAnsi="Arial"/>
          <w:kern w:val="0"/>
        </w:rPr>
      </w:pPr>
    </w:p>
    <w:p w14:paraId="35025C09" w14:textId="77777777" w:rsidR="000C2202" w:rsidRDefault="00DA46A9">
      <w:pPr>
        <w:keepNext/>
        <w:keepLines/>
        <w:spacing w:before="480" w:after="0" w:line="360" w:lineRule="auto"/>
        <w:jc w:val="center"/>
        <w:outlineLvl w:val="0"/>
        <w:rPr>
          <w:rFonts w:ascii="Calibri" w:eastAsia="MS Gothic" w:hAnsi="Calibri"/>
          <w:b/>
          <w:bCs/>
          <w:color w:val="365F91"/>
          <w:kern w:val="0"/>
          <w:sz w:val="32"/>
          <w:szCs w:val="28"/>
        </w:rPr>
      </w:pPr>
      <w:bookmarkStart w:id="15" w:name="_Toc234970656"/>
      <w:bookmarkStart w:id="16" w:name="_Toc235807042"/>
      <w:r>
        <w:rPr>
          <w:rFonts w:ascii="Calibri" w:eastAsia="MS Gothic" w:hAnsi="Calibri"/>
          <w:b/>
          <w:bCs/>
          <w:color w:val="365F91"/>
          <w:kern w:val="0"/>
          <w:sz w:val="32"/>
          <w:szCs w:val="28"/>
        </w:rPr>
        <w:t>Chapter 2 Literature Review</w:t>
      </w:r>
      <w:bookmarkEnd w:id="15"/>
      <w:bookmarkEnd w:id="16"/>
    </w:p>
    <w:p w14:paraId="3691888E"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17" w:name="_Toc234970657"/>
      <w:bookmarkStart w:id="18" w:name="_Toc235807043"/>
      <w:r>
        <w:rPr>
          <w:rFonts w:ascii="Calibri" w:eastAsia="MS Gothic" w:hAnsi="Calibri"/>
          <w:b/>
          <w:bCs/>
          <w:color w:val="4F81BD"/>
          <w:kern w:val="0"/>
          <w:sz w:val="26"/>
          <w:szCs w:val="26"/>
        </w:rPr>
        <w:t>2.1 Introduction</w:t>
      </w:r>
      <w:bookmarkEnd w:id="17"/>
      <w:bookmarkEnd w:id="18"/>
    </w:p>
    <w:p w14:paraId="08308DC6" w14:textId="77777777" w:rsidR="000C2202" w:rsidRDefault="00DA46A9">
      <w:pPr>
        <w:spacing w:after="180" w:line="360" w:lineRule="auto"/>
        <w:jc w:val="both"/>
      </w:pPr>
      <w:r>
        <w:rPr>
          <w:rFonts w:ascii="Arial" w:eastAsia="Arial" w:hAnsi="Arial"/>
          <w:kern w:val="0"/>
          <w:szCs w:val="22"/>
        </w:rPr>
        <w:t>Building on the research problem and questions established in Chapter 1, this chapter examines four recurring arguments in the chatbot-satisfaction literature. First, definitions are inconsistent. Second, theories of satisfaction are transferred from human service encounters to chatbot contexts. Third, SERVQUAL and TAM are frequently applied beyond their original design scope. Fourth, evidence concerning satisfaction in UK grocery retail remains limited. The chapter therefore develops a critically grounded conceptual framework and identifies the research gap addressed through the methodology in Chapter 3.</w:t>
      </w:r>
    </w:p>
    <w:p w14:paraId="49BBA4C5"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19" w:name="_Toc234970658"/>
      <w:bookmarkStart w:id="20" w:name="_Toc235807044"/>
      <w:r>
        <w:rPr>
          <w:rFonts w:ascii="Calibri" w:eastAsia="MS Gothic" w:hAnsi="Calibri"/>
          <w:b/>
          <w:bCs/>
          <w:color w:val="4F81BD"/>
          <w:kern w:val="0"/>
          <w:sz w:val="26"/>
          <w:szCs w:val="26"/>
        </w:rPr>
        <w:t>2.2 AI Chatbots in Retail Service — Definitional Fragmentation</w:t>
      </w:r>
      <w:bookmarkEnd w:id="19"/>
      <w:bookmarkEnd w:id="20"/>
    </w:p>
    <w:p w14:paraId="3EACEA1D" w14:textId="77777777" w:rsidR="000C2202" w:rsidRDefault="00DA46A9">
      <w:pPr>
        <w:spacing w:after="180" w:line="360" w:lineRule="auto"/>
        <w:jc w:val="both"/>
      </w:pPr>
      <w:r>
        <w:rPr>
          <w:rFonts w:ascii="Arial" w:eastAsia="Arial" w:hAnsi="Arial"/>
          <w:kern w:val="0"/>
          <w:szCs w:val="22"/>
        </w:rPr>
        <w:t>While 'AI chatbot' is used as a single term in the literature, it covers very different service capabilities, including deterministic rule-based scripts, retrieval-based dialogue managers, and generative large language model agents (LLM agents), which have materially different service capabilities (Adam, Wessel and Benlian, 2021; Uzoka, Cadet and Ojukwu, 2024). This conflation is important because the results of the Facebook Messenger rule-based bot cannot be meaningfully extrapolated into the transformer-based assistants now coming into retail. All of the instruments measured in each of the waves in the 2019–2023 period were developed for a system that supports only one user turn at a time, but the assumption of the measurement instruments has not been adjusted to accommodate generative agents that provide context for more than one user turn. By summarising research on both technology classes and reporting an overall satisfaction effect that obscures distinctions in experiences, Chopra, Ranjani and Narsipur (2023) demonstrate this problem. Research that does not reveal the underlying architecture – something that many studies in the last five years have not done (2019-2023 wave of empirical research) – should be interpreted cautiously when applied to Tesco's generative-AI era rollout.</w:t>
      </w:r>
    </w:p>
    <w:p w14:paraId="0A9E3E7E"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21" w:name="_Toc234970659"/>
      <w:bookmarkStart w:id="22" w:name="_Toc235807045"/>
      <w:r>
        <w:rPr>
          <w:rFonts w:ascii="Calibri" w:eastAsia="MS Gothic" w:hAnsi="Calibri"/>
          <w:b/>
          <w:bCs/>
          <w:color w:val="4F81BD"/>
          <w:kern w:val="0"/>
          <w:sz w:val="26"/>
          <w:szCs w:val="26"/>
        </w:rPr>
        <w:t>2.3 Customer Satisfaction Theory in Chatbot Encounters</w:t>
      </w:r>
      <w:bookmarkEnd w:id="21"/>
      <w:bookmarkEnd w:id="22"/>
    </w:p>
    <w:p w14:paraId="73D02716" w14:textId="77777777" w:rsidR="000C2202" w:rsidRDefault="00DA46A9">
      <w:pPr>
        <w:spacing w:after="180" w:line="360" w:lineRule="auto"/>
        <w:jc w:val="both"/>
        <w:rPr>
          <w:rFonts w:ascii="Arial" w:eastAsia="Arial" w:hAnsi="Arial"/>
          <w:kern w:val="0"/>
        </w:rPr>
      </w:pPr>
      <w:r>
        <w:rPr>
          <w:rFonts w:ascii="Arial" w:eastAsia="Arial" w:hAnsi="Arial"/>
          <w:kern w:val="0"/>
        </w:rPr>
        <w:t>The expectancy-disconfirmation theory, which was originally developed for tangible product and interpersonal service contexts, has been applied to studies on chatbots without suitable retheorisation. Ashfaq et al. (2020) use an extension of the Expectation-Confirmation Model and find significant satisfaction-continuance paths, but these studies have less explained variance than similar studies for human-service contexts, indicating that the model does not explain the phenomenon completely for the context of a chatbot. In the luxury retail sector, however, the study by Chung et al. (2020) shows that satisfaction formation is influenced by brand-fit perceptions, while disconfirmation is not. If this difference is ignored, then there is a risk of the empirical error committed by Shahbandi (2025), who implicitly assumed that the mechanism of satisfaction for both types of agents is the same, whereas it may differ depending on the underlying formation of the agents. This is very real because Tesco's rollout incorporates both rule-based and retrieval-based and generative elements within one single customer-facing channel; without a satisfaction-formation model that can differentiate these, evaluations risk "averaging out" effects working in opposite directions.</w:t>
      </w:r>
    </w:p>
    <w:p w14:paraId="1378637E"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23" w:name="_Toc234970660"/>
      <w:bookmarkStart w:id="24" w:name="_Toc235807046"/>
      <w:r>
        <w:rPr>
          <w:rFonts w:ascii="Calibri" w:eastAsia="MS Gothic" w:hAnsi="Calibri"/>
          <w:b/>
          <w:bCs/>
          <w:color w:val="4F81BD"/>
          <w:kern w:val="0"/>
          <w:sz w:val="26"/>
          <w:szCs w:val="26"/>
        </w:rPr>
        <w:t>2.4 SERVQUAL and Its Contested Fit to Automated Service</w:t>
      </w:r>
      <w:bookmarkEnd w:id="23"/>
      <w:bookmarkEnd w:id="24"/>
    </w:p>
    <w:p w14:paraId="0C8D8CDA" w14:textId="77777777" w:rsidR="000C2202" w:rsidRDefault="00DA46A9">
      <w:pPr>
        <w:spacing w:after="180" w:line="360" w:lineRule="auto"/>
        <w:jc w:val="both"/>
      </w:pPr>
      <w:r>
        <w:rPr>
          <w:rFonts w:ascii="Arial" w:eastAsia="Arial" w:hAnsi="Arial"/>
          <w:kern w:val="0"/>
          <w:szCs w:val="22"/>
        </w:rPr>
        <w:t>The five dimensions are built into SERVQUAL for interpersonal interactions, which implies that there are assumptions about human agency in these dimensions. Prentice and Nguyen (2020) and Chopra, Ranjani and Narsipur (2023) both use the scale in relation to a chatbot's interaction with users, but neither provides a strong argument for the construct validity of the empathy component for a chatbot that is not conscious. Empathy, in human terms, is felt understanding; for a chatbot, it is represented through the lexical simulation of empathic phrases. Customer assessments differ significantly from the predictions made by the SERVQUAL, as Sheehan, Jin, and Gottlieb (2020) demonstrate when eliminating anthropomorphic aspects from the chatbot interface. The tangibles dimension is also affected: it was developed to measure physical service cues such as uniforms, layout, and equipment -- which have no equivalent in a chatbot service but are nonetheless retained in applied studies, thereby over-inflating the construct-error variance. A further limitation is the measurement of the responsiveness dimension that is assumed to change in line with the speed, when in fact the responsiveness of chatbots is consistently fast but not consistent in terms of quality. Therefore, the continued use of SERVQUAL, without dimensional level reconstruction, is methodologically weak and not theoretically grounded in the literature.</w:t>
      </w:r>
    </w:p>
    <w:p w14:paraId="2D6143E4"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25" w:name="_Toc234970661"/>
      <w:bookmarkStart w:id="26" w:name="_Toc235807047"/>
      <w:r>
        <w:rPr>
          <w:rFonts w:ascii="Calibri" w:eastAsia="MS Gothic" w:hAnsi="Calibri"/>
          <w:b/>
          <w:bCs/>
          <w:color w:val="4F81BD"/>
          <w:kern w:val="0"/>
          <w:sz w:val="26"/>
          <w:szCs w:val="26"/>
        </w:rPr>
        <w:t>2.5 Technology Acceptance Model — Insufficient for AI Agents</w:t>
      </w:r>
      <w:bookmarkEnd w:id="25"/>
      <w:bookmarkEnd w:id="26"/>
    </w:p>
    <w:p w14:paraId="07763A41" w14:textId="77777777" w:rsidR="000C2202" w:rsidRDefault="00DA46A9">
      <w:pPr>
        <w:spacing w:after="180" w:line="360" w:lineRule="auto"/>
        <w:jc w:val="both"/>
        <w:rPr>
          <w:rFonts w:ascii="Arial" w:eastAsia="Arial" w:hAnsi="Arial"/>
          <w:kern w:val="0"/>
        </w:rPr>
      </w:pPr>
      <w:r>
        <w:rPr>
          <w:rFonts w:ascii="Arial" w:eastAsia="Arial" w:hAnsi="Arial"/>
          <w:kern w:val="0"/>
        </w:rPr>
        <w:t>While TAM's parsimony has proved its strength, the two constructs it has -- perceived usefulness and perceived ease of use -- do not apply to conversational AI agents, where trust, anthropomorphism, and privacy concerns become key. Ashfaq et al. (2020) and Melian-Gonzalez, Gutierrez-Tano and Bulchand-Gidumal (2021) both add constructs to TAM, but the extensions are not the same across the two studies and lack a theoretical basis to support the previous theory, resulting in a disjointed body of models, with each one applicable to a specific context. This ad-hocism makes cumulative theory building difficult. The more principled challenge comes from Sheehan, Jin and Gottlieb (2020), who demonstrate that anthropomorphism exists as a separate antecedent, one that is not accounted for by TAM's notion of usefulness. The other is that most TAM-based chatbot studies analyse intention, not repeated use – and the intention-behaviour gap is likely exacerbated in chatbot contexts due to low switching costs, making positive TAM results less likely to lead to sustained satisfaction at Tesco's scale. The majority of this literature employs cross-sectional self-report designs that do not have a structure that allows them to capture the abandonment phenomenon that would directly invalidate TAM predictions.</w:t>
      </w:r>
    </w:p>
    <w:p w14:paraId="5DA57A79"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27" w:name="_Toc234970662"/>
      <w:bookmarkStart w:id="28" w:name="_Toc235807048"/>
      <w:r>
        <w:rPr>
          <w:rFonts w:ascii="Calibri" w:eastAsia="MS Gothic" w:hAnsi="Calibri"/>
          <w:b/>
          <w:bCs/>
          <w:color w:val="4F81BD"/>
          <w:kern w:val="0"/>
          <w:sz w:val="26"/>
          <w:szCs w:val="26"/>
        </w:rPr>
        <w:t>2.6 Empirical Evidence — Conflicting Findings in Retail</w:t>
      </w:r>
      <w:bookmarkEnd w:id="27"/>
      <w:bookmarkEnd w:id="28"/>
    </w:p>
    <w:p w14:paraId="305849E7" w14:textId="77777777" w:rsidR="000C2202" w:rsidRDefault="00DA46A9">
      <w:pPr>
        <w:spacing w:after="180" w:line="360" w:lineRule="auto"/>
        <w:jc w:val="both"/>
        <w:rPr>
          <w:rFonts w:ascii="Arial" w:eastAsia="Arial" w:hAnsi="Arial"/>
          <w:kern w:val="0"/>
        </w:rPr>
      </w:pPr>
      <w:r>
        <w:rPr>
          <w:rFonts w:ascii="Arial" w:eastAsia="Arial" w:hAnsi="Arial"/>
          <w:kern w:val="0"/>
        </w:rPr>
        <w:t>The results from empirical studies over this period are less consistent than reviews tend to be aware of. Rita, Vong and Correia (2026) also find strong positive satisfaction-loyalty effects to AI-based chatbots in the context of digital service, but Shahbandi (2025) notes that the effect is not universally present: it is found strong only when the customers' queries are not transactional but of increasing complexity. Chung et al. (2020) add to the picture: in a luxury retail context, satisfaction was mediated by the perceptions of brand fit, which would not carry over to a value-driven grocery retailer like Tesco. Uzoka, Cadet and Ojukwu (2024) highlight efficiency gains, but they view the experience of dissatisfactions as a non-focal problem that is not part of the analysis, thus leading to a framing bias. This is between approximately 200 and 600 respondents, conveniently recruited online, and the geographic focus on the South, Southeast and East Asian markets introduces additional external validity concerns for a UK grocery application. Combined, these studies show the characteristics of a study environment that favours positive results and that favours sectors with a longer history of deploying chatbots (such as banking, hospitality, and luxury). This is because the grocery-specific absence in this pattern is a type of sectoral selection bias that is directly tackled in this dissertation.</w:t>
      </w:r>
    </w:p>
    <w:p w14:paraId="4617E382"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29" w:name="_Toc234970663"/>
      <w:bookmarkStart w:id="30" w:name="_Toc235807049"/>
      <w:r>
        <w:rPr>
          <w:rFonts w:ascii="Calibri" w:eastAsia="MS Gothic" w:hAnsi="Calibri"/>
          <w:b/>
          <w:bCs/>
          <w:color w:val="4F81BD"/>
          <w:kern w:val="0"/>
          <w:sz w:val="26"/>
          <w:szCs w:val="26"/>
        </w:rPr>
        <w:t>2.7 The UK Grocery Chatbot Context — A Sectoral Blind Spot</w:t>
      </w:r>
      <w:bookmarkEnd w:id="29"/>
      <w:bookmarkEnd w:id="30"/>
    </w:p>
    <w:p w14:paraId="1D7FBBBC" w14:textId="77777777" w:rsidR="000C2202" w:rsidRDefault="00DA46A9">
      <w:pPr>
        <w:spacing w:after="180" w:line="360" w:lineRule="auto"/>
        <w:jc w:val="both"/>
      </w:pPr>
      <w:r>
        <w:rPr>
          <w:rFonts w:ascii="Arial" w:eastAsia="Arial" w:hAnsi="Arial"/>
          <w:kern w:val="0"/>
          <w:szCs w:val="22"/>
        </w:rPr>
        <w:t>Indexed peer-reviewed evidence focusing specifically on UK supermarket retail and the relationship between a chatbot and satisfaction. Slack, Singh and Sharma (2020) examine supermarket service quality but do not investigate digital chatbot channels, while no sector-general chatbot studies (Rita, Vong and Correia, 2026; Uzoka, Cadet and Ojukwu, 2024) have been replicated in the UK grocery sample. This is more than a coverage gap because it indicates that four types of query are not routinely stressed in the theoretical models above — delivery slots, substitutions (which come weekly in a household shop), Clubcard, refunds—which may carry emotional and financial consequences in emotional and financial consequences that differ from those associated with routine banking or general e-commerce enquiries.</w:t>
      </w:r>
    </w:p>
    <w:p w14:paraId="4851D60A"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31" w:name="_Toc234970664"/>
      <w:bookmarkStart w:id="32" w:name="_Toc235807050"/>
      <w:r>
        <w:rPr>
          <w:rFonts w:ascii="Calibri" w:eastAsia="MS Gothic" w:hAnsi="Calibri"/>
          <w:b/>
          <w:bCs/>
          <w:color w:val="4F81BD"/>
          <w:kern w:val="0"/>
          <w:sz w:val="26"/>
          <w:szCs w:val="26"/>
        </w:rPr>
        <w:t>2.8 Conceptual Framework and Research Gap</w:t>
      </w:r>
      <w:bookmarkEnd w:id="31"/>
      <w:bookmarkEnd w:id="32"/>
    </w:p>
    <w:p w14:paraId="068D2710" w14:textId="77777777" w:rsidR="000C2202" w:rsidRDefault="00DA46A9">
      <w:pPr>
        <w:spacing w:after="180" w:line="360" w:lineRule="auto"/>
        <w:jc w:val="both"/>
      </w:pPr>
      <w:r>
        <w:rPr>
          <w:rFonts w:ascii="Arial" w:eastAsia="Arial" w:hAnsi="Arial"/>
          <w:kern w:val="0"/>
          <w:szCs w:val="22"/>
        </w:rPr>
        <w:t>Synthesising the critical review, Figure 2.1 positions chatbot capabilities as antecedents connected to three pathways: perceived service quality, adapted from SERVQUAL; technology acceptance and trust, extending TAM with anthropomorphism; and query-complexity fit, informed by Chung et al. (2020) and Shahbandi (2025). No peer-reviewed study has evaluated these pathways together in a UK grocery case during a live AI-assistant transition. This gap determines the interpretivist, inductive and qualitative secondary design justified in Chapter 3.</w:t>
      </w:r>
    </w:p>
    <w:tbl>
      <w:tblPr>
        <w:tblW w:w="9000" w:type="dxa"/>
        <w:jc w:val="center"/>
        <w:tblCellMar>
          <w:left w:w="10" w:type="dxa"/>
          <w:right w:w="10" w:type="dxa"/>
        </w:tblCellMar>
        <w:tblLook w:val="0000" w:firstRow="0" w:lastRow="0" w:firstColumn="0" w:lastColumn="0" w:noHBand="0" w:noVBand="0"/>
      </w:tblPr>
      <w:tblGrid>
        <w:gridCol w:w="3000"/>
        <w:gridCol w:w="3000"/>
        <w:gridCol w:w="3000"/>
      </w:tblGrid>
      <w:tr w:rsidR="000C2202" w14:paraId="1E6D5923" w14:textId="77777777">
        <w:trPr>
          <w:jc w:val="center"/>
        </w:trPr>
        <w:tc>
          <w:tcPr>
            <w:tcW w:w="9000" w:type="dxa"/>
            <w:gridSpan w:val="3"/>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vAlign w:val="center"/>
          </w:tcPr>
          <w:p w14:paraId="702033BA" w14:textId="77777777" w:rsidR="000C2202" w:rsidRDefault="00DA46A9">
            <w:pPr>
              <w:spacing w:after="0" w:line="240" w:lineRule="auto"/>
              <w:jc w:val="center"/>
            </w:pPr>
            <w:r>
              <w:rPr>
                <w:rFonts w:ascii="Arial" w:eastAsia="Arial" w:hAnsi="Arial"/>
                <w:b/>
                <w:color w:val="FFFFFF"/>
                <w:kern w:val="0"/>
                <w:szCs w:val="22"/>
              </w:rPr>
              <w:t>CHATBOT CAPABILITIES AT TESCO</w:t>
            </w:r>
          </w:p>
        </w:tc>
      </w:tr>
      <w:tr w:rsidR="000C2202" w14:paraId="7341534B" w14:textId="77777777">
        <w:trPr>
          <w:jc w:val="center"/>
        </w:trPr>
        <w:tc>
          <w:tcPr>
            <w:tcW w:w="3000"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64016336" w14:textId="77777777" w:rsidR="000C2202" w:rsidRDefault="00DA46A9">
            <w:pPr>
              <w:spacing w:after="0" w:line="240" w:lineRule="auto"/>
              <w:jc w:val="center"/>
            </w:pPr>
            <w:r>
              <w:rPr>
                <w:rFonts w:ascii="Arial" w:eastAsia="Arial" w:hAnsi="Arial"/>
                <w:b/>
                <w:color w:val="000000"/>
                <w:kern w:val="0"/>
                <w:sz w:val="18"/>
                <w:szCs w:val="22"/>
              </w:rPr>
              <w:t>Response speed &amp; 24/7 access</w:t>
            </w:r>
          </w:p>
          <w:p w14:paraId="2448041B" w14:textId="77777777" w:rsidR="000C2202" w:rsidRDefault="00DA46A9">
            <w:pPr>
              <w:spacing w:after="0" w:line="240" w:lineRule="auto"/>
              <w:jc w:val="center"/>
            </w:pPr>
            <w:r>
              <w:rPr>
                <w:rFonts w:ascii="Arial" w:eastAsia="Arial" w:hAnsi="Arial"/>
                <w:i/>
                <w:color w:val="000000"/>
                <w:kern w:val="0"/>
                <w:sz w:val="16"/>
                <w:szCs w:val="22"/>
              </w:rPr>
              <w:t>Adam, Wessel &amp; Benlian (2021)</w:t>
            </w:r>
          </w:p>
          <w:p w14:paraId="79D25274" w14:textId="77777777" w:rsidR="000C2202" w:rsidRDefault="00DA46A9">
            <w:pPr>
              <w:spacing w:after="0" w:line="240" w:lineRule="auto"/>
              <w:jc w:val="center"/>
            </w:pPr>
            <w:r>
              <w:rPr>
                <w:rFonts w:ascii="Arial" w:eastAsia="Arial" w:hAnsi="Arial"/>
                <w:i/>
                <w:color w:val="000000"/>
                <w:kern w:val="0"/>
                <w:sz w:val="16"/>
                <w:szCs w:val="22"/>
              </w:rPr>
              <w:t>Uzoka et al. (2024)</w:t>
            </w:r>
          </w:p>
        </w:tc>
        <w:tc>
          <w:tcPr>
            <w:tcW w:w="3000"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14B21365" w14:textId="77777777" w:rsidR="000C2202" w:rsidRDefault="00DA46A9">
            <w:pPr>
              <w:spacing w:after="0" w:line="240" w:lineRule="auto"/>
              <w:jc w:val="center"/>
            </w:pPr>
            <w:r>
              <w:rPr>
                <w:rFonts w:ascii="Arial" w:eastAsia="Arial" w:hAnsi="Arial"/>
                <w:b/>
                <w:color w:val="000000"/>
                <w:kern w:val="0"/>
                <w:sz w:val="18"/>
                <w:szCs w:val="22"/>
              </w:rPr>
              <w:t>Reliability &amp; accuracy</w:t>
            </w:r>
          </w:p>
          <w:p w14:paraId="0E9EC8B6" w14:textId="77777777" w:rsidR="000C2202" w:rsidRDefault="00DA46A9">
            <w:pPr>
              <w:spacing w:after="0" w:line="240" w:lineRule="auto"/>
              <w:jc w:val="center"/>
            </w:pPr>
            <w:r>
              <w:rPr>
                <w:rFonts w:ascii="Arial" w:eastAsia="Arial" w:hAnsi="Arial"/>
                <w:i/>
                <w:color w:val="000000"/>
                <w:kern w:val="0"/>
                <w:sz w:val="16"/>
                <w:szCs w:val="22"/>
              </w:rPr>
              <w:t>Chopra, Ranjani &amp; Narsipur (2023)</w:t>
            </w:r>
          </w:p>
          <w:p w14:paraId="7C869860" w14:textId="77777777" w:rsidR="000C2202" w:rsidRDefault="00DA46A9">
            <w:pPr>
              <w:spacing w:after="0" w:line="240" w:lineRule="auto"/>
              <w:jc w:val="center"/>
            </w:pPr>
            <w:r>
              <w:rPr>
                <w:rFonts w:ascii="Arial" w:eastAsia="Arial" w:hAnsi="Arial"/>
                <w:i/>
                <w:color w:val="000000"/>
                <w:kern w:val="0"/>
                <w:sz w:val="16"/>
                <w:szCs w:val="22"/>
              </w:rPr>
              <w:t>Ashfaq et al. (2020)</w:t>
            </w:r>
          </w:p>
        </w:tc>
        <w:tc>
          <w:tcPr>
            <w:tcW w:w="3000"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529085CC" w14:textId="77777777" w:rsidR="000C2202" w:rsidRDefault="00DA46A9">
            <w:pPr>
              <w:spacing w:after="0" w:line="240" w:lineRule="auto"/>
              <w:jc w:val="center"/>
            </w:pPr>
            <w:r>
              <w:rPr>
                <w:rFonts w:ascii="Arial" w:eastAsia="Arial" w:hAnsi="Arial"/>
                <w:b/>
                <w:color w:val="000000"/>
                <w:kern w:val="0"/>
                <w:sz w:val="18"/>
                <w:szCs w:val="22"/>
              </w:rPr>
              <w:t>Empathy handling &amp; escalation</w:t>
            </w:r>
          </w:p>
          <w:p w14:paraId="0D69C4BF" w14:textId="77777777" w:rsidR="000C2202" w:rsidRDefault="00DA46A9">
            <w:pPr>
              <w:spacing w:after="0" w:line="240" w:lineRule="auto"/>
              <w:jc w:val="center"/>
            </w:pPr>
            <w:r>
              <w:rPr>
                <w:rFonts w:ascii="Arial" w:eastAsia="Arial" w:hAnsi="Arial"/>
                <w:i/>
                <w:color w:val="000000"/>
                <w:kern w:val="0"/>
                <w:sz w:val="16"/>
                <w:szCs w:val="22"/>
              </w:rPr>
              <w:t>Sheehan, Jin &amp; Gottlieb (2020)</w:t>
            </w:r>
          </w:p>
          <w:p w14:paraId="2DAD7A80" w14:textId="77777777" w:rsidR="000C2202" w:rsidRDefault="00DA46A9">
            <w:pPr>
              <w:spacing w:after="0" w:line="240" w:lineRule="auto"/>
              <w:jc w:val="center"/>
            </w:pPr>
            <w:r>
              <w:rPr>
                <w:rFonts w:ascii="Arial" w:eastAsia="Arial" w:hAnsi="Arial"/>
                <w:i/>
                <w:color w:val="000000"/>
                <w:kern w:val="0"/>
                <w:sz w:val="16"/>
                <w:szCs w:val="22"/>
              </w:rPr>
              <w:t>Shahbandi (2025)</w:t>
            </w:r>
          </w:p>
        </w:tc>
      </w:tr>
      <w:tr w:rsidR="000C2202" w14:paraId="2FE4D476" w14:textId="77777777">
        <w:trPr>
          <w:jc w:val="center"/>
        </w:trPr>
        <w:tc>
          <w:tcPr>
            <w:tcW w:w="9000" w:type="dxa"/>
            <w:gridSpan w:val="3"/>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vAlign w:val="center"/>
          </w:tcPr>
          <w:p w14:paraId="2C25596F" w14:textId="77777777" w:rsidR="000C2202" w:rsidRDefault="00DA46A9">
            <w:pPr>
              <w:spacing w:after="0" w:line="240" w:lineRule="auto"/>
              <w:jc w:val="center"/>
            </w:pPr>
            <w:r>
              <w:rPr>
                <w:rFonts w:ascii="Arial" w:eastAsia="Arial" w:hAnsi="Arial"/>
                <w:b/>
                <w:color w:val="1F3864"/>
                <w:kern w:val="0"/>
                <w:sz w:val="28"/>
                <w:szCs w:val="22"/>
              </w:rPr>
              <w:t>▼</w:t>
            </w:r>
          </w:p>
        </w:tc>
      </w:tr>
      <w:tr w:rsidR="000C2202" w14:paraId="3358FC0A" w14:textId="77777777">
        <w:trPr>
          <w:jc w:val="center"/>
        </w:trPr>
        <w:tc>
          <w:tcPr>
            <w:tcW w:w="9000" w:type="dxa"/>
            <w:gridSpan w:val="3"/>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vAlign w:val="center"/>
          </w:tcPr>
          <w:p w14:paraId="78B7843C" w14:textId="77777777" w:rsidR="000C2202" w:rsidRDefault="00DA46A9">
            <w:pPr>
              <w:spacing w:after="0" w:line="240" w:lineRule="auto"/>
              <w:jc w:val="center"/>
            </w:pPr>
            <w:r>
              <w:rPr>
                <w:rFonts w:ascii="Arial" w:eastAsia="Arial" w:hAnsi="Arial"/>
                <w:b/>
                <w:color w:val="FFFFFF"/>
                <w:kern w:val="0"/>
                <w:szCs w:val="22"/>
              </w:rPr>
              <w:t>MEDIATING PATHWAYS  (2018+ literature-derived)</w:t>
            </w:r>
          </w:p>
        </w:tc>
      </w:tr>
      <w:tr w:rsidR="000C2202" w14:paraId="6DD40C72" w14:textId="77777777">
        <w:trPr>
          <w:jc w:val="center"/>
        </w:trPr>
        <w:tc>
          <w:tcPr>
            <w:tcW w:w="30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vAlign w:val="center"/>
          </w:tcPr>
          <w:p w14:paraId="77C9EA6A" w14:textId="77777777" w:rsidR="000C2202" w:rsidRDefault="00DA46A9">
            <w:pPr>
              <w:spacing w:after="0" w:line="240" w:lineRule="auto"/>
              <w:jc w:val="center"/>
            </w:pPr>
            <w:r>
              <w:rPr>
                <w:rFonts w:ascii="Arial" w:eastAsia="Arial" w:hAnsi="Arial"/>
                <w:b/>
                <w:color w:val="000000"/>
                <w:kern w:val="0"/>
                <w:sz w:val="18"/>
                <w:szCs w:val="22"/>
              </w:rPr>
              <w:t>Perceived Service Quality</w:t>
            </w:r>
          </w:p>
          <w:p w14:paraId="1832DC19" w14:textId="77777777" w:rsidR="000C2202" w:rsidRDefault="00DA46A9">
            <w:pPr>
              <w:spacing w:after="0" w:line="240" w:lineRule="auto"/>
              <w:jc w:val="center"/>
            </w:pPr>
            <w:r>
              <w:rPr>
                <w:rFonts w:ascii="Arial" w:eastAsia="Arial" w:hAnsi="Arial"/>
                <w:i/>
                <w:color w:val="000000"/>
                <w:kern w:val="0"/>
                <w:sz w:val="16"/>
                <w:szCs w:val="22"/>
              </w:rPr>
              <w:t>SERVQUAL, critically adapted</w:t>
            </w:r>
          </w:p>
          <w:p w14:paraId="72325AA9" w14:textId="77777777" w:rsidR="000C2202" w:rsidRDefault="00DA46A9">
            <w:pPr>
              <w:spacing w:after="0" w:line="240" w:lineRule="auto"/>
              <w:jc w:val="center"/>
            </w:pPr>
            <w:r>
              <w:rPr>
                <w:rFonts w:ascii="Arial" w:eastAsia="Arial" w:hAnsi="Arial"/>
                <w:i/>
                <w:color w:val="000000"/>
                <w:kern w:val="0"/>
                <w:sz w:val="16"/>
                <w:szCs w:val="22"/>
              </w:rPr>
              <w:t>Prentice &amp; Nguyen (2020)</w:t>
            </w:r>
          </w:p>
          <w:p w14:paraId="10CCEC59" w14:textId="77777777" w:rsidR="000C2202" w:rsidRDefault="00DA46A9">
            <w:pPr>
              <w:spacing w:after="0" w:line="240" w:lineRule="auto"/>
              <w:jc w:val="center"/>
            </w:pPr>
            <w:r>
              <w:rPr>
                <w:rFonts w:ascii="Arial" w:eastAsia="Arial" w:hAnsi="Arial"/>
                <w:i/>
                <w:color w:val="000000"/>
                <w:kern w:val="0"/>
                <w:sz w:val="16"/>
                <w:szCs w:val="22"/>
              </w:rPr>
              <w:t>empathy dimension contested</w:t>
            </w:r>
          </w:p>
        </w:tc>
        <w:tc>
          <w:tcPr>
            <w:tcW w:w="30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vAlign w:val="center"/>
          </w:tcPr>
          <w:p w14:paraId="2093DBD7" w14:textId="77777777" w:rsidR="000C2202" w:rsidRDefault="00DA46A9">
            <w:pPr>
              <w:spacing w:after="0" w:line="240" w:lineRule="auto"/>
              <w:jc w:val="center"/>
            </w:pPr>
            <w:r>
              <w:rPr>
                <w:rFonts w:ascii="Arial" w:eastAsia="Arial" w:hAnsi="Arial"/>
                <w:b/>
                <w:color w:val="000000"/>
                <w:kern w:val="0"/>
                <w:sz w:val="18"/>
                <w:szCs w:val="22"/>
              </w:rPr>
              <w:t>Technology Acceptance &amp; Trust</w:t>
            </w:r>
          </w:p>
          <w:p w14:paraId="636581D9" w14:textId="77777777" w:rsidR="000C2202" w:rsidRDefault="00DA46A9">
            <w:pPr>
              <w:spacing w:after="0" w:line="240" w:lineRule="auto"/>
              <w:jc w:val="center"/>
            </w:pPr>
            <w:r>
              <w:rPr>
                <w:rFonts w:ascii="Arial" w:eastAsia="Arial" w:hAnsi="Arial"/>
                <w:i/>
                <w:color w:val="000000"/>
                <w:kern w:val="0"/>
                <w:sz w:val="16"/>
                <w:szCs w:val="22"/>
              </w:rPr>
              <w:t>TAM extended with anthropomorphism</w:t>
            </w:r>
          </w:p>
          <w:p w14:paraId="48334B42" w14:textId="77777777" w:rsidR="000C2202" w:rsidRDefault="00DA46A9">
            <w:pPr>
              <w:spacing w:after="0" w:line="240" w:lineRule="auto"/>
              <w:jc w:val="center"/>
            </w:pPr>
            <w:r>
              <w:rPr>
                <w:rFonts w:ascii="Arial" w:eastAsia="Arial" w:hAnsi="Arial"/>
                <w:i/>
                <w:color w:val="000000"/>
                <w:kern w:val="0"/>
                <w:sz w:val="16"/>
                <w:szCs w:val="22"/>
              </w:rPr>
              <w:t>Sheehan et al. (2020)</w:t>
            </w:r>
          </w:p>
          <w:p w14:paraId="72DAEC41" w14:textId="77777777" w:rsidR="000C2202" w:rsidRDefault="00DA46A9">
            <w:pPr>
              <w:spacing w:after="0" w:line="240" w:lineRule="auto"/>
              <w:jc w:val="center"/>
            </w:pPr>
            <w:r>
              <w:rPr>
                <w:rFonts w:ascii="Arial" w:eastAsia="Arial" w:hAnsi="Arial"/>
                <w:i/>
                <w:color w:val="000000"/>
                <w:kern w:val="0"/>
                <w:sz w:val="16"/>
                <w:szCs w:val="22"/>
              </w:rPr>
              <w:t>Melián-González et al. (2021)</w:t>
            </w:r>
          </w:p>
        </w:tc>
        <w:tc>
          <w:tcPr>
            <w:tcW w:w="30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vAlign w:val="center"/>
          </w:tcPr>
          <w:p w14:paraId="53A66C2E" w14:textId="77777777" w:rsidR="000C2202" w:rsidRDefault="00DA46A9">
            <w:pPr>
              <w:spacing w:after="0" w:line="240" w:lineRule="auto"/>
              <w:jc w:val="center"/>
            </w:pPr>
            <w:r>
              <w:rPr>
                <w:rFonts w:ascii="Arial" w:eastAsia="Arial" w:hAnsi="Arial"/>
                <w:b/>
                <w:color w:val="000000"/>
                <w:kern w:val="0"/>
                <w:sz w:val="18"/>
                <w:szCs w:val="22"/>
              </w:rPr>
              <w:t>Query-Complexity Fit</w:t>
            </w:r>
          </w:p>
          <w:p w14:paraId="3290F036" w14:textId="77777777" w:rsidR="000C2202" w:rsidRDefault="00DA46A9">
            <w:pPr>
              <w:spacing w:after="0" w:line="240" w:lineRule="auto"/>
              <w:jc w:val="center"/>
            </w:pPr>
            <w:r>
              <w:rPr>
                <w:rFonts w:ascii="Arial" w:eastAsia="Arial" w:hAnsi="Arial"/>
                <w:i/>
                <w:color w:val="000000"/>
                <w:kern w:val="0"/>
                <w:sz w:val="16"/>
                <w:szCs w:val="22"/>
              </w:rPr>
              <w:t>Chung et al. (2020)</w:t>
            </w:r>
          </w:p>
          <w:p w14:paraId="7D5C16BD" w14:textId="77777777" w:rsidR="000C2202" w:rsidRDefault="00DA46A9">
            <w:pPr>
              <w:spacing w:after="0" w:line="240" w:lineRule="auto"/>
              <w:jc w:val="center"/>
            </w:pPr>
            <w:r>
              <w:rPr>
                <w:rFonts w:ascii="Arial" w:eastAsia="Arial" w:hAnsi="Arial"/>
                <w:i/>
                <w:color w:val="000000"/>
                <w:kern w:val="0"/>
                <w:sz w:val="16"/>
                <w:szCs w:val="22"/>
              </w:rPr>
              <w:t>Shahbandi (2025)</w:t>
            </w:r>
          </w:p>
          <w:p w14:paraId="50E149AB" w14:textId="77777777" w:rsidR="000C2202" w:rsidRDefault="00DA46A9">
            <w:pPr>
              <w:spacing w:after="0" w:line="240" w:lineRule="auto"/>
              <w:jc w:val="center"/>
            </w:pPr>
            <w:r>
              <w:rPr>
                <w:rFonts w:ascii="Arial" w:eastAsia="Arial" w:hAnsi="Arial"/>
                <w:i/>
                <w:color w:val="000000"/>
                <w:kern w:val="0"/>
                <w:sz w:val="16"/>
                <w:szCs w:val="22"/>
              </w:rPr>
              <w:t>sector-specific mechanism</w:t>
            </w:r>
          </w:p>
        </w:tc>
      </w:tr>
      <w:tr w:rsidR="000C2202" w14:paraId="258FCE58" w14:textId="77777777">
        <w:trPr>
          <w:jc w:val="center"/>
        </w:trPr>
        <w:tc>
          <w:tcPr>
            <w:tcW w:w="9000" w:type="dxa"/>
            <w:gridSpan w:val="3"/>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vAlign w:val="center"/>
          </w:tcPr>
          <w:p w14:paraId="7AEE5DC2" w14:textId="77777777" w:rsidR="000C2202" w:rsidRDefault="00DA46A9">
            <w:pPr>
              <w:spacing w:after="0" w:line="240" w:lineRule="auto"/>
              <w:jc w:val="center"/>
            </w:pPr>
            <w:r>
              <w:rPr>
                <w:rFonts w:ascii="Arial" w:eastAsia="Arial" w:hAnsi="Arial"/>
                <w:b/>
                <w:color w:val="1F3864"/>
                <w:kern w:val="0"/>
                <w:sz w:val="28"/>
                <w:szCs w:val="22"/>
              </w:rPr>
              <w:t>▼</w:t>
            </w:r>
          </w:p>
        </w:tc>
      </w:tr>
      <w:tr w:rsidR="000C2202" w14:paraId="28D6BDD3" w14:textId="77777777">
        <w:trPr>
          <w:jc w:val="center"/>
        </w:trPr>
        <w:tc>
          <w:tcPr>
            <w:tcW w:w="9000" w:type="dxa"/>
            <w:gridSpan w:val="3"/>
            <w:tcBorders>
              <w:top w:val="single" w:sz="4" w:space="0" w:color="000000"/>
              <w:left w:val="single" w:sz="4" w:space="0" w:color="000000"/>
              <w:bottom w:val="single" w:sz="4" w:space="0" w:color="000000"/>
              <w:right w:val="single" w:sz="4" w:space="0" w:color="000000"/>
            </w:tcBorders>
            <w:shd w:val="clear" w:color="auto" w:fill="8B0000"/>
            <w:tcMar>
              <w:top w:w="80" w:type="dxa"/>
              <w:left w:w="120" w:type="dxa"/>
              <w:bottom w:w="80" w:type="dxa"/>
              <w:right w:w="120" w:type="dxa"/>
            </w:tcMar>
            <w:vAlign w:val="center"/>
          </w:tcPr>
          <w:p w14:paraId="18EBCAFB" w14:textId="77777777" w:rsidR="000C2202" w:rsidRDefault="00DA46A9">
            <w:pPr>
              <w:spacing w:after="0" w:line="240" w:lineRule="auto"/>
              <w:jc w:val="center"/>
            </w:pPr>
            <w:r>
              <w:rPr>
                <w:rFonts w:ascii="Arial" w:eastAsia="Arial" w:hAnsi="Arial"/>
                <w:b/>
                <w:color w:val="FFFFFF"/>
                <w:kern w:val="0"/>
                <w:szCs w:val="22"/>
              </w:rPr>
              <w:t>CUSTOMER SATISFACTION  —  UK GROCERY  (Tesco case)</w:t>
            </w:r>
          </w:p>
        </w:tc>
      </w:tr>
    </w:tbl>
    <w:p w14:paraId="513D1BCC" w14:textId="77777777" w:rsidR="000C2202" w:rsidRDefault="00DA46A9">
      <w:pPr>
        <w:spacing w:after="240" w:line="360" w:lineRule="auto"/>
        <w:jc w:val="center"/>
      </w:pPr>
      <w:r>
        <w:rPr>
          <w:rFonts w:ascii="Arial" w:eastAsia="Arial" w:hAnsi="Arial"/>
          <w:i/>
          <w:color w:val="595959"/>
          <w:kern w:val="0"/>
          <w:szCs w:val="22"/>
        </w:rPr>
        <w:t>Figure 2.1: Critically grounded conceptual framework  (author-derived from 2018+ journal literature).</w:t>
      </w:r>
    </w:p>
    <w:p w14:paraId="30603A46" w14:textId="77777777" w:rsidR="000C2202" w:rsidRDefault="000C2202">
      <w:pPr>
        <w:spacing w:after="240" w:line="360" w:lineRule="auto"/>
        <w:jc w:val="center"/>
        <w:rPr>
          <w:rFonts w:ascii="Arial" w:eastAsia="Arial" w:hAnsi="Arial"/>
          <w:i/>
          <w:color w:val="595959"/>
          <w:kern w:val="0"/>
          <w:sz w:val="20"/>
          <w:szCs w:val="22"/>
        </w:rPr>
      </w:pPr>
    </w:p>
    <w:p w14:paraId="76A86F1C" w14:textId="77777777" w:rsidR="000C2202" w:rsidRDefault="000C2202">
      <w:pPr>
        <w:spacing w:after="240" w:line="360" w:lineRule="auto"/>
        <w:jc w:val="center"/>
        <w:rPr>
          <w:rFonts w:ascii="Arial" w:eastAsia="Arial" w:hAnsi="Arial"/>
          <w:i/>
          <w:color w:val="595959"/>
          <w:kern w:val="0"/>
          <w:sz w:val="20"/>
          <w:szCs w:val="22"/>
        </w:rPr>
      </w:pPr>
    </w:p>
    <w:p w14:paraId="36BB83A7" w14:textId="77777777" w:rsidR="000C2202" w:rsidRDefault="000C2202">
      <w:pPr>
        <w:spacing w:after="240" w:line="360" w:lineRule="auto"/>
        <w:jc w:val="center"/>
        <w:rPr>
          <w:rFonts w:ascii="Arial" w:eastAsia="Arial" w:hAnsi="Arial"/>
          <w:i/>
          <w:color w:val="595959"/>
          <w:kern w:val="0"/>
          <w:sz w:val="20"/>
          <w:szCs w:val="22"/>
        </w:rPr>
      </w:pPr>
    </w:p>
    <w:p w14:paraId="52B66885" w14:textId="77777777" w:rsidR="000C2202" w:rsidRDefault="000C2202">
      <w:pPr>
        <w:spacing w:after="240" w:line="360" w:lineRule="auto"/>
        <w:jc w:val="center"/>
        <w:rPr>
          <w:rFonts w:ascii="Arial" w:eastAsia="Arial" w:hAnsi="Arial"/>
          <w:i/>
          <w:color w:val="595959"/>
          <w:kern w:val="0"/>
          <w:sz w:val="20"/>
          <w:szCs w:val="22"/>
        </w:rPr>
      </w:pPr>
    </w:p>
    <w:p w14:paraId="3AD4A1C4" w14:textId="77777777" w:rsidR="000C2202" w:rsidRDefault="000C2202">
      <w:pPr>
        <w:spacing w:after="240" w:line="360" w:lineRule="auto"/>
        <w:jc w:val="center"/>
        <w:rPr>
          <w:rFonts w:ascii="Arial" w:eastAsia="Arial" w:hAnsi="Arial"/>
          <w:i/>
          <w:color w:val="595959"/>
          <w:kern w:val="0"/>
        </w:rPr>
      </w:pPr>
    </w:p>
    <w:p w14:paraId="0A4EA1D1" w14:textId="77777777" w:rsidR="000C2202" w:rsidRDefault="000C2202">
      <w:pPr>
        <w:spacing w:after="240" w:line="360" w:lineRule="auto"/>
        <w:jc w:val="center"/>
        <w:rPr>
          <w:rFonts w:ascii="Arial" w:eastAsia="Arial" w:hAnsi="Arial"/>
          <w:i/>
          <w:color w:val="595959"/>
          <w:kern w:val="0"/>
        </w:rPr>
      </w:pPr>
    </w:p>
    <w:p w14:paraId="05A27897" w14:textId="77777777" w:rsidR="000C2202" w:rsidRDefault="000C2202">
      <w:pPr>
        <w:spacing w:after="240" w:line="360" w:lineRule="auto"/>
        <w:jc w:val="center"/>
        <w:rPr>
          <w:rFonts w:ascii="Arial" w:eastAsia="Arial" w:hAnsi="Arial"/>
          <w:i/>
          <w:color w:val="595959"/>
          <w:kern w:val="0"/>
        </w:rPr>
      </w:pPr>
    </w:p>
    <w:p w14:paraId="44F8EC08" w14:textId="77777777" w:rsidR="000C2202" w:rsidRDefault="000C2202">
      <w:pPr>
        <w:spacing w:after="240" w:line="360" w:lineRule="auto"/>
        <w:jc w:val="center"/>
        <w:rPr>
          <w:rFonts w:ascii="Arial" w:eastAsia="Arial" w:hAnsi="Arial"/>
          <w:i/>
          <w:color w:val="595959"/>
          <w:kern w:val="0"/>
        </w:rPr>
      </w:pPr>
    </w:p>
    <w:p w14:paraId="1C83CB12" w14:textId="77777777" w:rsidR="000C2202" w:rsidRDefault="000C2202">
      <w:pPr>
        <w:spacing w:after="240" w:line="360" w:lineRule="auto"/>
        <w:jc w:val="center"/>
        <w:rPr>
          <w:rFonts w:ascii="Arial" w:eastAsia="Arial" w:hAnsi="Arial"/>
          <w:i/>
          <w:color w:val="595959"/>
          <w:kern w:val="0"/>
        </w:rPr>
      </w:pPr>
    </w:p>
    <w:p w14:paraId="0712350E" w14:textId="77777777" w:rsidR="000C2202" w:rsidRDefault="000C2202">
      <w:pPr>
        <w:spacing w:after="240" w:line="360" w:lineRule="auto"/>
        <w:jc w:val="center"/>
        <w:rPr>
          <w:rFonts w:ascii="Arial" w:eastAsia="Arial" w:hAnsi="Arial"/>
          <w:i/>
          <w:color w:val="595959"/>
          <w:kern w:val="0"/>
        </w:rPr>
      </w:pPr>
    </w:p>
    <w:p w14:paraId="608A0073" w14:textId="77777777" w:rsidR="000C2202" w:rsidRDefault="000C2202">
      <w:pPr>
        <w:spacing w:after="240" w:line="360" w:lineRule="auto"/>
        <w:jc w:val="center"/>
        <w:rPr>
          <w:rFonts w:ascii="Arial" w:eastAsia="Arial" w:hAnsi="Arial"/>
          <w:i/>
          <w:color w:val="595959"/>
          <w:kern w:val="0"/>
        </w:rPr>
      </w:pPr>
    </w:p>
    <w:p w14:paraId="2940159E" w14:textId="77777777" w:rsidR="000C2202" w:rsidRDefault="000C2202">
      <w:pPr>
        <w:spacing w:after="240" w:line="360" w:lineRule="auto"/>
        <w:jc w:val="center"/>
        <w:rPr>
          <w:rFonts w:ascii="Arial" w:eastAsia="Arial" w:hAnsi="Arial"/>
          <w:i/>
          <w:color w:val="595959"/>
          <w:kern w:val="0"/>
        </w:rPr>
      </w:pPr>
    </w:p>
    <w:p w14:paraId="1A8A2013" w14:textId="77777777" w:rsidR="000C2202" w:rsidRDefault="000C2202">
      <w:pPr>
        <w:spacing w:after="240" w:line="360" w:lineRule="auto"/>
        <w:jc w:val="center"/>
        <w:rPr>
          <w:rFonts w:ascii="Arial" w:eastAsia="Arial" w:hAnsi="Arial"/>
          <w:i/>
          <w:color w:val="595959"/>
          <w:kern w:val="0"/>
        </w:rPr>
      </w:pPr>
    </w:p>
    <w:p w14:paraId="3FFD2BEE" w14:textId="77777777" w:rsidR="000C2202" w:rsidRDefault="000C2202">
      <w:pPr>
        <w:spacing w:after="240" w:line="360" w:lineRule="auto"/>
        <w:jc w:val="center"/>
        <w:rPr>
          <w:rFonts w:ascii="Arial" w:eastAsia="Arial" w:hAnsi="Arial"/>
          <w:i/>
          <w:color w:val="595959"/>
          <w:kern w:val="0"/>
        </w:rPr>
      </w:pPr>
    </w:p>
    <w:p w14:paraId="6E8B17AF" w14:textId="77777777" w:rsidR="000C2202" w:rsidRDefault="00DA46A9">
      <w:pPr>
        <w:keepNext/>
        <w:keepLines/>
        <w:spacing w:before="480" w:after="0" w:line="360" w:lineRule="auto"/>
        <w:jc w:val="center"/>
        <w:outlineLvl w:val="0"/>
        <w:rPr>
          <w:rFonts w:ascii="Calibri" w:eastAsia="MS Gothic" w:hAnsi="Calibri"/>
          <w:b/>
          <w:bCs/>
          <w:color w:val="365F91"/>
          <w:kern w:val="0"/>
          <w:sz w:val="32"/>
          <w:szCs w:val="28"/>
        </w:rPr>
      </w:pPr>
      <w:bookmarkStart w:id="33" w:name="_Toc235132146"/>
      <w:bookmarkStart w:id="34" w:name="_Toc235807051"/>
      <w:r>
        <w:rPr>
          <w:rFonts w:ascii="Calibri" w:eastAsia="MS Gothic" w:hAnsi="Calibri"/>
          <w:b/>
          <w:bCs/>
          <w:color w:val="365F91"/>
          <w:kern w:val="0"/>
          <w:sz w:val="32"/>
          <w:szCs w:val="28"/>
        </w:rPr>
        <w:t>Chapter 3 Research Methodology</w:t>
      </w:r>
      <w:bookmarkEnd w:id="33"/>
      <w:bookmarkEnd w:id="34"/>
    </w:p>
    <w:p w14:paraId="691886B0"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35" w:name="_Toc235132147"/>
      <w:bookmarkStart w:id="36" w:name="_Toc235807052"/>
      <w:r>
        <w:rPr>
          <w:rFonts w:ascii="Calibri" w:eastAsia="MS Gothic" w:hAnsi="Calibri"/>
          <w:b/>
          <w:bCs/>
          <w:color w:val="4F81BD"/>
          <w:kern w:val="0"/>
          <w:sz w:val="26"/>
          <w:szCs w:val="26"/>
        </w:rPr>
        <w:t>3.1 Introduction</w:t>
      </w:r>
      <w:bookmarkEnd w:id="35"/>
      <w:bookmarkEnd w:id="36"/>
    </w:p>
    <w:p w14:paraId="6CF4005A" w14:textId="77777777" w:rsidR="000C2202" w:rsidRDefault="00DA46A9">
      <w:pPr>
        <w:spacing w:after="120" w:line="360" w:lineRule="auto"/>
        <w:jc w:val="both"/>
      </w:pPr>
      <w:r>
        <w:rPr>
          <w:rFonts w:ascii="Arial" w:eastAsia="Arial" w:hAnsi="Arial"/>
          <w:kern w:val="0"/>
          <w:szCs w:val="22"/>
        </w:rPr>
        <w:t>This chapter explains the methodological decisions adopted to address the research questions and evaluates each decision against realistic alternatives. Following the research onion proposed by Saunders, Lewis and Thornhill (2019), it moves from research philosophy and approach to strategy, data collection, sampling and analysis, before addressing trustworthiness, ethics and the research time frame. Figure 3.1 summarises the selected design and the rejected alternatives.</w:t>
      </w:r>
    </w:p>
    <w:p w14:paraId="67BE648B"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37" w:name="_Toc235132148"/>
      <w:bookmarkStart w:id="38" w:name="_Toc235807053"/>
      <w:r>
        <w:rPr>
          <w:rFonts w:ascii="Calibri" w:eastAsia="MS Gothic" w:hAnsi="Calibri"/>
          <w:b/>
          <w:bCs/>
          <w:color w:val="4F81BD"/>
          <w:kern w:val="0"/>
          <w:sz w:val="26"/>
          <w:szCs w:val="26"/>
        </w:rPr>
        <w:t>3.2 Research Philosophy — Interpretivism</w:t>
      </w:r>
      <w:bookmarkEnd w:id="37"/>
      <w:bookmarkEnd w:id="38"/>
    </w:p>
    <w:p w14:paraId="0E241F43" w14:textId="77777777" w:rsidR="000C2202" w:rsidRDefault="00DA46A9">
      <w:pPr>
        <w:spacing w:after="120" w:line="360" w:lineRule="auto"/>
        <w:jc w:val="both"/>
        <w:rPr>
          <w:rFonts w:ascii="Arial" w:eastAsia="Arial" w:hAnsi="Arial"/>
          <w:kern w:val="0"/>
        </w:rPr>
      </w:pPr>
      <w:r>
        <w:rPr>
          <w:rFonts w:ascii="Arial" w:eastAsia="Arial" w:hAnsi="Arial"/>
          <w:kern w:val="0"/>
        </w:rPr>
        <w:t>The interpretivist philosophy was chosen since the research aims to comprehend how Tesco customers subjectively judge chatbot interactions, a meaning-based question that cannot be broken down into context-free variables (Saunders, Lewis and Thornhill, 2019). Positivism was dismissed both ontologically and epistemologically: satisfaction with an AI agent is not an objectively measurable property of the interaction but a socially and contextually constructed experience, and treating it positivistically would compel premature operationalisation of constructs – empathy, trust – the meaning of which is exactly being studied. Pragmatism was viewed and dismissed as premature: the research does not aim to combine methods to address a practical issue but to explain existing evidence of a phenomenon that is still under-theorised in the UK grocery situation.</w:t>
      </w:r>
    </w:p>
    <w:p w14:paraId="1ACFFCFF"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39" w:name="_Toc235132149"/>
      <w:bookmarkStart w:id="40" w:name="_Toc235807054"/>
      <w:r>
        <w:rPr>
          <w:rFonts w:ascii="Calibri" w:eastAsia="MS Gothic" w:hAnsi="Calibri"/>
          <w:b/>
          <w:bCs/>
          <w:color w:val="4F81BD"/>
          <w:kern w:val="0"/>
          <w:sz w:val="26"/>
          <w:szCs w:val="26"/>
        </w:rPr>
        <w:t>3.3 Research Approach — Inductive</w:t>
      </w:r>
      <w:bookmarkEnd w:id="39"/>
      <w:bookmarkEnd w:id="40"/>
    </w:p>
    <w:p w14:paraId="38298A32" w14:textId="77777777" w:rsidR="000C2202" w:rsidRDefault="00DA46A9">
      <w:pPr>
        <w:spacing w:after="120" w:line="360" w:lineRule="auto"/>
        <w:jc w:val="both"/>
        <w:rPr>
          <w:rFonts w:ascii="Arial" w:eastAsia="Arial" w:hAnsi="Arial"/>
          <w:kern w:val="0"/>
        </w:rPr>
      </w:pPr>
      <w:r>
        <w:rPr>
          <w:rFonts w:ascii="Arial" w:eastAsia="Arial" w:hAnsi="Arial"/>
          <w:kern w:val="0"/>
        </w:rPr>
        <w:t>The study uses an inductive approach since the themes are constructed based on evidence instead of testing hypotheses (Bell, Bryman and Harley, 2022). Two reasons were used to reject a deductive approach. First, the literature review determined that SERVQUAL and TAM do not map onto the chatbot setting, and the hypotheses based on them would bring their disputed assumptions to the analysis. Second, the purpose of the study is theory refinement, rather than theory confirmation, in the UK grocery context. An abductive methodology was dismissed as unnecessary: no unexpected anomaly is under study, and a procedure of alternating data and theory would not contribute to analysis without analytical value.</w:t>
      </w:r>
    </w:p>
    <w:p w14:paraId="2CA7658D"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41" w:name="_Toc235132150"/>
      <w:bookmarkStart w:id="42" w:name="_Toc235807055"/>
      <w:r>
        <w:rPr>
          <w:rFonts w:ascii="Calibri" w:eastAsia="MS Gothic" w:hAnsi="Calibri"/>
          <w:b/>
          <w:bCs/>
          <w:color w:val="4F81BD"/>
          <w:kern w:val="0"/>
          <w:sz w:val="26"/>
          <w:szCs w:val="26"/>
        </w:rPr>
        <w:t>3.4 Research Strategy — Single Case Study of Tesco</w:t>
      </w:r>
      <w:bookmarkEnd w:id="41"/>
      <w:bookmarkEnd w:id="42"/>
    </w:p>
    <w:p w14:paraId="2CEF8D58" w14:textId="77777777" w:rsidR="000C2202" w:rsidRDefault="00DA46A9">
      <w:pPr>
        <w:spacing w:after="120" w:line="360" w:lineRule="auto"/>
        <w:jc w:val="both"/>
      </w:pPr>
      <w:r>
        <w:rPr>
          <w:rFonts w:ascii="Arial" w:eastAsia="Arial" w:hAnsi="Arial"/>
          <w:kern w:val="0"/>
          <w:szCs w:val="22"/>
        </w:rPr>
        <w:t>Tesco was selected as a single revelatory case in accordance with Yin's (2018) case-study criteria. It is Great Britain's leading grocery retailer (Kantar, 2026), has extensive digital service channels and is conducting a large-scale trial of AI assistants (Tesco PLC, 2026). These characteristics provide an unusual opportunity to examine chatbot implementation during a period of transition. A multi-case comparison involving Sainsbury's and Asda was rejected because the 6,000-word constraint and secondary-only format would reduce analytical depth. A cross-sectional survey was also rejected because it would require primary data collection beyond the study's scope and would prioritise statistical breadth over the contextual interpretation required by the research questions.</w:t>
      </w:r>
    </w:p>
    <w:p w14:paraId="7D0E2881"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43" w:name="_Toc235132151"/>
      <w:bookmarkStart w:id="44" w:name="_Toc235807056"/>
      <w:r>
        <w:rPr>
          <w:rFonts w:ascii="Calibri" w:eastAsia="MS Gothic" w:hAnsi="Calibri"/>
          <w:b/>
          <w:bCs/>
          <w:color w:val="4F81BD"/>
          <w:kern w:val="0"/>
          <w:sz w:val="26"/>
          <w:szCs w:val="26"/>
        </w:rPr>
        <w:t>3.5 Research Design — Qualitative Secondary Research</w:t>
      </w:r>
      <w:bookmarkEnd w:id="43"/>
      <w:bookmarkEnd w:id="44"/>
    </w:p>
    <w:p w14:paraId="2334DE44" w14:textId="77777777" w:rsidR="000C2202" w:rsidRDefault="00DA46A9">
      <w:pPr>
        <w:spacing w:after="120" w:line="360" w:lineRule="auto"/>
        <w:jc w:val="both"/>
        <w:rPr>
          <w:rFonts w:ascii="Arial" w:eastAsia="Arial" w:hAnsi="Arial"/>
          <w:kern w:val="0"/>
        </w:rPr>
      </w:pPr>
      <w:r>
        <w:rPr>
          <w:rFonts w:ascii="Arial" w:eastAsia="Arial" w:hAnsi="Arial"/>
          <w:kern w:val="0"/>
        </w:rPr>
        <w:t>The qualitative secondary research was selected. Already publicly available content, such as peer-reviewed journal articles, Tesco corporate publications, trustworthy industry reports and anonymised customer reviews, has rich evidence of chatbot-satisfaction dynamics in retail, and re-analysing it thematically does not duplicate fieldwork that has been carried out to a higher standard by others (Saunders, Lewis and Thornhill, 2019). Primary qualitative research in the form of customer interviews was discarded for three reasons: it is not feasible to have a representative sample of Tesco customers during the study period, ethical scrutiny of consumer interviews would be out of scope of the module and secondary scrutiny data already gives us the customer voice that interviews would create. The mixed-methods design was also not adopted due to the fact that a quantitative arm would contravene the interpretivist position above.</w:t>
      </w:r>
    </w:p>
    <w:p w14:paraId="3E3FA4DB"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45" w:name="_Toc235132152"/>
      <w:bookmarkStart w:id="46" w:name="_Toc235807057"/>
      <w:r>
        <w:rPr>
          <w:rFonts w:ascii="Calibri" w:eastAsia="MS Gothic" w:hAnsi="Calibri"/>
          <w:b/>
          <w:bCs/>
          <w:color w:val="4F81BD"/>
          <w:kern w:val="0"/>
          <w:sz w:val="26"/>
          <w:szCs w:val="26"/>
        </w:rPr>
        <w:t>3.6 Data Collection Tools and Techniques</w:t>
      </w:r>
      <w:bookmarkEnd w:id="45"/>
      <w:bookmarkEnd w:id="46"/>
    </w:p>
    <w:p w14:paraId="2AA42A58" w14:textId="77777777" w:rsidR="000C2202" w:rsidRDefault="00DA46A9">
      <w:pPr>
        <w:spacing w:after="120" w:line="360" w:lineRule="auto"/>
        <w:jc w:val="both"/>
      </w:pPr>
      <w:r>
        <w:rPr>
          <w:rFonts w:ascii="Arial" w:eastAsia="Arial" w:hAnsi="Arial"/>
          <w:kern w:val="0"/>
          <w:szCs w:val="22"/>
        </w:rPr>
        <w:t>Four evidence streams were triangulated: academic, industry, corporate and consumer sources. Peer-reviewed journal articles retrieved through Scopus and Web of Science provided the theoretical foundation. Industry and market reports contextualised UK grocery retail, while Tesco annual reports, press releases and the 2026 AI-assistant announcement supplied first-party corporate evidence. Anonymised public reviews from Trustpilot and Reevoo represented customer experiences. Figure 3.2 presents the final source distribution. Blogs, promotional vendor white papers and unsupported opinion pieces were excluded. During a two-week structured search, records were located through predefined Boolean strings and entered into an evidence-management workbook containing source type, credibility tier, date, inclusion decision and coding status (Bell, Bryman and Harley, 2022).</w:t>
      </w:r>
    </w:p>
    <w:p w14:paraId="76F94210" w14:textId="77777777" w:rsidR="000C2202" w:rsidRDefault="00DA46A9">
      <w:pPr>
        <w:spacing w:after="120" w:line="360" w:lineRule="auto"/>
        <w:jc w:val="center"/>
      </w:pPr>
      <w:r>
        <w:rPr>
          <w:rFonts w:ascii="Arial" w:eastAsia="Arial" w:hAnsi="Arial"/>
          <w:noProof/>
          <w:kern w:val="0"/>
        </w:rPr>
        <w:drawing>
          <wp:inline distT="0" distB="0" distL="0" distR="0" wp14:anchorId="19095C34" wp14:editId="1722F8AE">
            <wp:extent cx="5486400" cy="3200400"/>
            <wp:effectExtent l="0" t="0" r="0" b="0"/>
            <wp:docPr id="1105432786" name="Chart 2" title="Planned Source-Type Distribution"/>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36866AF" w14:textId="77777777" w:rsidR="000C2202" w:rsidRDefault="00DA46A9">
      <w:pPr>
        <w:spacing w:after="240" w:line="360" w:lineRule="auto"/>
        <w:jc w:val="center"/>
      </w:pPr>
      <w:r>
        <w:rPr>
          <w:rFonts w:ascii="Arial" w:eastAsia="Arial" w:hAnsi="Arial"/>
          <w:i/>
          <w:kern w:val="0"/>
          <w:szCs w:val="22"/>
        </w:rPr>
        <w:t xml:space="preserve">Figure 3.2: Final source-type distribution across the qualitative-secondary evidence base </w:t>
      </w:r>
    </w:p>
    <w:p w14:paraId="67381F9D"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47" w:name="_Toc235132153"/>
      <w:bookmarkStart w:id="48" w:name="_Toc235807058"/>
      <w:r>
        <w:rPr>
          <w:rFonts w:ascii="Calibri" w:eastAsia="MS Gothic" w:hAnsi="Calibri"/>
          <w:b/>
          <w:bCs/>
          <w:color w:val="4F81BD"/>
          <w:kern w:val="0"/>
          <w:sz w:val="26"/>
          <w:szCs w:val="26"/>
        </w:rPr>
        <w:t>3.7 Sampling Technique — Purposive Document Sampling</w:t>
      </w:r>
      <w:bookmarkEnd w:id="47"/>
      <w:bookmarkEnd w:id="48"/>
    </w:p>
    <w:p w14:paraId="6F21B448" w14:textId="77777777" w:rsidR="000C2202" w:rsidRDefault="00DA46A9">
      <w:pPr>
        <w:spacing w:after="120" w:line="360" w:lineRule="auto"/>
        <w:jc w:val="both"/>
        <w:rPr>
          <w:rFonts w:ascii="Arial" w:eastAsia="Arial" w:hAnsi="Arial"/>
          <w:kern w:val="0"/>
        </w:rPr>
      </w:pPr>
      <w:r>
        <w:rPr>
          <w:rFonts w:ascii="Arial" w:eastAsia="Arial" w:hAnsi="Arial"/>
          <w:kern w:val="0"/>
        </w:rPr>
        <w:t>Purposive document sampling was used. The sources are chosen based on pre-determined inclusion criteria: they must be published in 2018-2026; directly related to AI chatbots, customer satisfaction or UK grocery retail; and have a credibility level of one (peer-reviewed) or two (recognised industry sources). Random sampling was not considered suitable because it is not a qualitative interpretive design, where the quality of the sources is more important than statistical representation. Convenience sampling was eliminated because it is not rigorous enough – it would enable the easy-to-access but weak sources to water down the evidence base. Theoretical sampling was also taken into account but was discarded because it would have been more appropriate to the grounded theory than the reflexive thematic analysis adopted in this case.</w:t>
      </w:r>
    </w:p>
    <w:p w14:paraId="7B0E1DB9"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49" w:name="_Toc235132154"/>
      <w:bookmarkStart w:id="50" w:name="_Toc235807059"/>
      <w:r>
        <w:rPr>
          <w:rFonts w:ascii="Calibri" w:eastAsia="MS Gothic" w:hAnsi="Calibri"/>
          <w:b/>
          <w:bCs/>
          <w:color w:val="4F81BD"/>
          <w:kern w:val="0"/>
          <w:sz w:val="26"/>
          <w:szCs w:val="26"/>
        </w:rPr>
        <w:t>3.8 Data Analysis Tools — Reflexive Thematic Analysis</w:t>
      </w:r>
      <w:bookmarkEnd w:id="49"/>
      <w:bookmarkEnd w:id="50"/>
    </w:p>
    <w:p w14:paraId="67972DE0" w14:textId="77777777" w:rsidR="000C2202" w:rsidRDefault="00DA46A9">
      <w:pPr>
        <w:spacing w:after="120" w:line="360" w:lineRule="auto"/>
        <w:jc w:val="both"/>
      </w:pPr>
      <w:r>
        <w:rPr>
          <w:rFonts w:ascii="Arial" w:eastAsia="Arial" w:hAnsi="Arial"/>
          <w:kern w:val="0"/>
          <w:szCs w:val="22"/>
        </w:rPr>
        <w:t>Reflexive thematic analysis was selected because Braun and Clarke (2019) provide a transparent six-phase process: familiarisation, initial coding, theme generation, theme review, definition and reporting. Researcher subjectivity was treated as an analytical resource and documented through a reflexive journal. Content analysis was rejected because frequency counts alone would not capture the interpretive meaning required by the research questions, while grounded theory was unsuitable because the study refines rather than generates substantive theory. Framework analysis was also less appropriate because no predetermined policy matrix governed the analysis. Coding was completed manually, with NVivo used only to organise codes and source metadata. For Figures 4.2 and 4.3, coded extracts were classified as positive, mixed or negative. The net satisfaction score for each query class was calculated as (positive extracts minus negative extracts) divided by all sentiment-coded extracts in that class, producing a range from −1 to +1. These descriptive scores support, but do not replace, qualitative interpretation.</w:t>
      </w:r>
    </w:p>
    <w:p w14:paraId="2DC7EB54"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51" w:name="_Toc235132155"/>
      <w:bookmarkStart w:id="52" w:name="_Toc235807060"/>
      <w:r>
        <w:rPr>
          <w:rFonts w:ascii="Calibri" w:eastAsia="MS Gothic" w:hAnsi="Calibri"/>
          <w:b/>
          <w:bCs/>
          <w:color w:val="4F81BD"/>
          <w:kern w:val="0"/>
          <w:sz w:val="26"/>
          <w:szCs w:val="26"/>
        </w:rPr>
        <w:t>3.9 Reliability, Validity and Trustworthiness</w:t>
      </w:r>
      <w:bookmarkEnd w:id="51"/>
      <w:bookmarkEnd w:id="52"/>
    </w:p>
    <w:p w14:paraId="699BC024" w14:textId="77777777" w:rsidR="000C2202" w:rsidRDefault="00DA46A9">
      <w:pPr>
        <w:spacing w:after="120" w:line="360" w:lineRule="auto"/>
        <w:jc w:val="both"/>
        <w:rPr>
          <w:rFonts w:ascii="Arial" w:eastAsia="Arial" w:hAnsi="Arial"/>
          <w:kern w:val="0"/>
        </w:rPr>
      </w:pPr>
      <w:r>
        <w:rPr>
          <w:rFonts w:ascii="Arial" w:eastAsia="Arial" w:hAnsi="Arial"/>
          <w:kern w:val="0"/>
        </w:rPr>
        <w:t>An interpretivist qualitative study does not meet positivist criteria of reliability and validity. Instead, the four criteria of trustworthiness by Lincoln and Guba (1985) are employed: credibility, through source triangulation across the four streams of evidence; transferability, through thick description of the UK grocery context to allow the reader to judge applicability; dependability, through a documented audit trail of coding decisions; and confirmability, through a reflexive journal that documents the interpretive moves of the researcher.</w:t>
      </w:r>
    </w:p>
    <w:p w14:paraId="172721FD"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53" w:name="_Toc235132156"/>
      <w:bookmarkStart w:id="54" w:name="_Toc235807061"/>
      <w:r>
        <w:rPr>
          <w:rFonts w:ascii="Calibri" w:eastAsia="MS Gothic" w:hAnsi="Calibri"/>
          <w:b/>
          <w:bCs/>
          <w:color w:val="4F81BD"/>
          <w:kern w:val="0"/>
          <w:sz w:val="26"/>
          <w:szCs w:val="26"/>
        </w:rPr>
        <w:t>3.10 Ethical Considerations</w:t>
      </w:r>
      <w:bookmarkEnd w:id="53"/>
      <w:bookmarkEnd w:id="54"/>
    </w:p>
    <w:p w14:paraId="534F9284" w14:textId="77777777" w:rsidR="000C2202" w:rsidRDefault="00DA46A9">
      <w:pPr>
        <w:spacing w:after="120" w:line="360" w:lineRule="auto"/>
        <w:jc w:val="both"/>
        <w:rPr>
          <w:rFonts w:ascii="Arial" w:eastAsia="Arial" w:hAnsi="Arial"/>
          <w:kern w:val="0"/>
        </w:rPr>
      </w:pPr>
      <w:r>
        <w:rPr>
          <w:rFonts w:ascii="Arial" w:eastAsia="Arial" w:hAnsi="Arial"/>
          <w:kern w:val="0"/>
        </w:rPr>
        <w:t>The research is low risk according to the UWTSD policy of ethics since there are no human subjects. Customer reviews that are publicly available are only used; all usernames and other identifying information are anonymised, and any direct quote is paraphrased to preserve the identity of the reviewer. The content of Tesco corporate publications and academic journals is applied to fair-dealing provisions in research and is completely referenced in Harvard format. The data will be stored in password-protected university systems and will be removed three months after the submission grade has been verified, according to UWTSD data-retention guidelines.</w:t>
      </w:r>
    </w:p>
    <w:p w14:paraId="2EB4C738"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55" w:name="_Toc235132157"/>
      <w:bookmarkStart w:id="56" w:name="_Toc235807062"/>
      <w:r>
        <w:rPr>
          <w:rFonts w:ascii="Calibri" w:eastAsia="MS Gothic" w:hAnsi="Calibri"/>
          <w:b/>
          <w:bCs/>
          <w:color w:val="4F81BD"/>
          <w:kern w:val="0"/>
          <w:sz w:val="26"/>
          <w:szCs w:val="26"/>
        </w:rPr>
        <w:t>3.11 Research Time Frame</w:t>
      </w:r>
      <w:bookmarkEnd w:id="55"/>
      <w:bookmarkEnd w:id="56"/>
    </w:p>
    <w:p w14:paraId="684B6D15" w14:textId="77777777" w:rsidR="000C2202" w:rsidRDefault="00DA46A9">
      <w:pPr>
        <w:spacing w:after="120" w:line="360" w:lineRule="auto"/>
        <w:jc w:val="both"/>
        <w:rPr>
          <w:rFonts w:ascii="Arial" w:eastAsia="Arial" w:hAnsi="Arial"/>
          <w:kern w:val="0"/>
        </w:rPr>
      </w:pPr>
      <w:r>
        <w:rPr>
          <w:rFonts w:ascii="Arial" w:eastAsia="Arial" w:hAnsi="Arial"/>
          <w:kern w:val="0"/>
        </w:rPr>
        <w:t>The study will be conducted within a six-week time frame, which corresponds to the submission deadline of 26 July 2026. Weeks 1-2 include source retrieval and inventory. Weeks 3-4 include coding and theme development. Week 5 is writing the findings and discussion chapter. Week 6 covers integration, reference audit, formatting and final submission.</w:t>
      </w:r>
    </w:p>
    <w:p w14:paraId="30A4B23F" w14:textId="77777777" w:rsidR="000C2202" w:rsidRDefault="00DA46A9">
      <w:pPr>
        <w:keepNext/>
        <w:keepLines/>
        <w:spacing w:before="200" w:after="0" w:line="360" w:lineRule="auto"/>
        <w:outlineLvl w:val="1"/>
        <w:rPr>
          <w:rFonts w:ascii="Calibri" w:eastAsia="MS Gothic" w:hAnsi="Calibri"/>
          <w:b/>
          <w:bCs/>
          <w:color w:val="4F81BD"/>
          <w:kern w:val="0"/>
          <w:sz w:val="28"/>
          <w:szCs w:val="28"/>
        </w:rPr>
      </w:pPr>
      <w:bookmarkStart w:id="57" w:name="_Toc235132158"/>
      <w:bookmarkStart w:id="58" w:name="_Toc235807063"/>
      <w:r>
        <w:rPr>
          <w:rFonts w:ascii="Calibri" w:eastAsia="MS Gothic" w:hAnsi="Calibri"/>
          <w:b/>
          <w:bCs/>
          <w:color w:val="4F81BD"/>
          <w:kern w:val="0"/>
          <w:sz w:val="28"/>
          <w:szCs w:val="28"/>
        </w:rPr>
        <w:t>3.12 Chapter Summary</w:t>
      </w:r>
      <w:bookmarkEnd w:id="57"/>
      <w:bookmarkEnd w:id="58"/>
    </w:p>
    <w:p w14:paraId="3956D8C7" w14:textId="77777777" w:rsidR="000C2202" w:rsidRDefault="00DA46A9">
      <w:pPr>
        <w:spacing w:after="120" w:line="360" w:lineRule="auto"/>
        <w:jc w:val="both"/>
      </w:pPr>
      <w:r>
        <w:rPr>
          <w:rFonts w:ascii="Arial" w:eastAsia="Arial" w:hAnsi="Arial"/>
          <w:kern w:val="0"/>
          <w:szCs w:val="22"/>
        </w:rPr>
        <w:t>This chapter has justified an interpretivist, inductive, single-case qualitative secondary design and explained the use of reflexive thematic analysis, source triangulation and a documented audit trail. These decisions operationalise the conceptual framework developed in Chapter 2. They also establish a clear chain of evidence from the research questions to source selection, coding and interpretation. The combination of credibility tiers, reflexive documentation and source triangulation does not eliminate researcher judgement, but it makes that judgement more transparent and enables readers to evaluate the basis of the conclusions. Chapter 4 now applies this design to the final 75-source corpus and presents the resulting themes.</w:t>
      </w:r>
    </w:p>
    <w:tbl>
      <w:tblPr>
        <w:tblW w:w="9445" w:type="dxa"/>
        <w:jc w:val="center"/>
        <w:tblCellMar>
          <w:left w:w="10" w:type="dxa"/>
          <w:right w:w="10" w:type="dxa"/>
        </w:tblCellMar>
        <w:tblLook w:val="0000" w:firstRow="0" w:lastRow="0" w:firstColumn="0" w:lastColumn="0" w:noHBand="0" w:noVBand="0"/>
      </w:tblPr>
      <w:tblGrid>
        <w:gridCol w:w="1318"/>
        <w:gridCol w:w="2685"/>
        <w:gridCol w:w="5442"/>
      </w:tblGrid>
      <w:tr w:rsidR="000C2202" w14:paraId="28AF23EA" w14:textId="77777777">
        <w:trPr>
          <w:jc w:val="center"/>
        </w:trPr>
        <w:tc>
          <w:tcPr>
            <w:tcW w:w="1318" w:type="dxa"/>
            <w:tcBorders>
              <w:top w:val="single" w:sz="4" w:space="0" w:color="000000"/>
              <w:left w:val="single" w:sz="4" w:space="0" w:color="000000"/>
              <w:bottom w:val="single" w:sz="4" w:space="0" w:color="000000"/>
              <w:right w:val="single" w:sz="4" w:space="0" w:color="000000"/>
            </w:tcBorders>
            <w:shd w:val="clear" w:color="auto" w:fill="943634"/>
            <w:tcMar>
              <w:top w:w="80" w:type="dxa"/>
              <w:left w:w="120" w:type="dxa"/>
              <w:bottom w:w="80" w:type="dxa"/>
              <w:right w:w="120" w:type="dxa"/>
            </w:tcMar>
            <w:vAlign w:val="center"/>
          </w:tcPr>
          <w:p w14:paraId="53C7257B" w14:textId="77777777" w:rsidR="000C2202" w:rsidRDefault="00DA46A9">
            <w:pPr>
              <w:spacing w:after="0" w:line="240" w:lineRule="auto"/>
              <w:jc w:val="center"/>
            </w:pPr>
            <w:r>
              <w:rPr>
                <w:rFonts w:ascii="Arial" w:eastAsia="Arial" w:hAnsi="Arial"/>
                <w:b/>
                <w:color w:val="FFFFFF"/>
                <w:kern w:val="0"/>
                <w:sz w:val="20"/>
                <w:szCs w:val="22"/>
              </w:rPr>
              <w:t>Layer</w:t>
            </w:r>
          </w:p>
        </w:tc>
        <w:tc>
          <w:tcPr>
            <w:tcW w:w="2685" w:type="dxa"/>
            <w:tcBorders>
              <w:top w:val="single" w:sz="4" w:space="0" w:color="000000"/>
              <w:left w:val="single" w:sz="4" w:space="0" w:color="000000"/>
              <w:bottom w:val="single" w:sz="4" w:space="0" w:color="000000"/>
              <w:right w:val="single" w:sz="4" w:space="0" w:color="000000"/>
            </w:tcBorders>
            <w:shd w:val="clear" w:color="auto" w:fill="943634"/>
            <w:tcMar>
              <w:top w:w="80" w:type="dxa"/>
              <w:left w:w="120" w:type="dxa"/>
              <w:bottom w:w="80" w:type="dxa"/>
              <w:right w:w="120" w:type="dxa"/>
            </w:tcMar>
            <w:vAlign w:val="center"/>
          </w:tcPr>
          <w:p w14:paraId="19F5BBB3" w14:textId="77777777" w:rsidR="000C2202" w:rsidRDefault="00DA46A9">
            <w:pPr>
              <w:spacing w:after="0" w:line="240" w:lineRule="auto"/>
              <w:jc w:val="center"/>
            </w:pPr>
            <w:r>
              <w:rPr>
                <w:rFonts w:ascii="Arial" w:eastAsia="Arial" w:hAnsi="Arial"/>
                <w:b/>
                <w:color w:val="FFFFFF"/>
                <w:kern w:val="0"/>
                <w:sz w:val="20"/>
                <w:szCs w:val="22"/>
              </w:rPr>
              <w:t>Chosen (with justification)</w:t>
            </w:r>
          </w:p>
        </w:tc>
        <w:tc>
          <w:tcPr>
            <w:tcW w:w="5442" w:type="dxa"/>
            <w:tcBorders>
              <w:top w:val="single" w:sz="4" w:space="0" w:color="000000"/>
              <w:left w:val="single" w:sz="4" w:space="0" w:color="000000"/>
              <w:bottom w:val="single" w:sz="4" w:space="0" w:color="000000"/>
              <w:right w:val="single" w:sz="4" w:space="0" w:color="000000"/>
            </w:tcBorders>
            <w:shd w:val="clear" w:color="auto" w:fill="943634"/>
            <w:tcMar>
              <w:top w:w="80" w:type="dxa"/>
              <w:left w:w="120" w:type="dxa"/>
              <w:bottom w:w="80" w:type="dxa"/>
              <w:right w:w="120" w:type="dxa"/>
            </w:tcMar>
            <w:vAlign w:val="center"/>
          </w:tcPr>
          <w:p w14:paraId="032E779B" w14:textId="77777777" w:rsidR="000C2202" w:rsidRDefault="00DA46A9">
            <w:pPr>
              <w:spacing w:after="0" w:line="240" w:lineRule="auto"/>
              <w:jc w:val="center"/>
            </w:pPr>
            <w:r>
              <w:rPr>
                <w:rFonts w:ascii="Arial" w:eastAsia="Arial" w:hAnsi="Arial"/>
                <w:b/>
                <w:color w:val="FFFFFF"/>
                <w:kern w:val="0"/>
                <w:sz w:val="20"/>
                <w:szCs w:val="22"/>
              </w:rPr>
              <w:t>Rejected alternatives (and why)</w:t>
            </w:r>
          </w:p>
        </w:tc>
      </w:tr>
      <w:tr w:rsidR="000C2202" w14:paraId="3DCCF944" w14:textId="77777777">
        <w:trPr>
          <w:jc w:val="center"/>
        </w:trPr>
        <w:tc>
          <w:tcPr>
            <w:tcW w:w="1318"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6201A119" w14:textId="77777777" w:rsidR="000C2202" w:rsidRDefault="00DA46A9">
            <w:pPr>
              <w:spacing w:after="0" w:line="240" w:lineRule="auto"/>
              <w:jc w:val="center"/>
            </w:pPr>
            <w:r>
              <w:rPr>
                <w:rFonts w:ascii="Arial" w:eastAsia="Arial" w:hAnsi="Arial"/>
                <w:b/>
                <w:color w:val="000000"/>
                <w:kern w:val="0"/>
                <w:sz w:val="20"/>
                <w:szCs w:val="22"/>
              </w:rPr>
              <w:t>Philosophy</w:t>
            </w:r>
          </w:p>
        </w:tc>
        <w:tc>
          <w:tcPr>
            <w:tcW w:w="2685"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38E2BCC" w14:textId="77777777" w:rsidR="000C2202" w:rsidRDefault="00DA46A9">
            <w:pPr>
              <w:spacing w:after="0" w:line="240" w:lineRule="auto"/>
            </w:pPr>
            <w:r>
              <w:rPr>
                <w:rFonts w:ascii="Arial" w:eastAsia="Arial" w:hAnsi="Arial"/>
                <w:b/>
                <w:color w:val="000000"/>
                <w:kern w:val="0"/>
                <w:sz w:val="20"/>
                <w:szCs w:val="22"/>
              </w:rPr>
              <w:t>Interpretivism</w:t>
            </w:r>
          </w:p>
          <w:p w14:paraId="30332AA5" w14:textId="77777777" w:rsidR="000C2202" w:rsidRDefault="00DA46A9">
            <w:pPr>
              <w:spacing w:after="0" w:line="240" w:lineRule="auto"/>
            </w:pPr>
            <w:r>
              <w:rPr>
                <w:rFonts w:ascii="Arial" w:eastAsia="Arial" w:hAnsi="Arial"/>
                <w:i/>
                <w:color w:val="000000"/>
                <w:kern w:val="0"/>
                <w:sz w:val="20"/>
                <w:szCs w:val="22"/>
              </w:rPr>
              <w:t>Satisfaction is a meaning-based construct that resists context-free measurement.</w:t>
            </w:r>
          </w:p>
        </w:tc>
        <w:tc>
          <w:tcPr>
            <w:tcW w:w="544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5F7C73F" w14:textId="77777777" w:rsidR="000C2202" w:rsidRDefault="00DA46A9">
            <w:pPr>
              <w:spacing w:after="0" w:line="240" w:lineRule="auto"/>
            </w:pPr>
            <w:r>
              <w:rPr>
                <w:rFonts w:ascii="Arial" w:eastAsia="Arial" w:hAnsi="Arial"/>
                <w:b/>
                <w:color w:val="000000"/>
                <w:kern w:val="0"/>
                <w:sz w:val="20"/>
                <w:szCs w:val="22"/>
              </w:rPr>
              <w:t>Positivism</w:t>
            </w:r>
          </w:p>
          <w:p w14:paraId="7DA3846A" w14:textId="77777777" w:rsidR="000C2202" w:rsidRDefault="00DA46A9">
            <w:pPr>
              <w:spacing w:after="0" w:line="240" w:lineRule="auto"/>
            </w:pPr>
            <w:r>
              <w:rPr>
                <w:rFonts w:ascii="Arial" w:eastAsia="Arial" w:hAnsi="Arial"/>
                <w:i/>
                <w:color w:val="000000"/>
                <w:kern w:val="0"/>
                <w:sz w:val="20"/>
                <w:szCs w:val="22"/>
              </w:rPr>
              <w:t>forces premature operationalisation of contested constructs (empathy, trust).</w:t>
            </w:r>
          </w:p>
          <w:p w14:paraId="051BD01F" w14:textId="77777777" w:rsidR="000C2202" w:rsidRDefault="00DA46A9">
            <w:pPr>
              <w:spacing w:after="0" w:line="240" w:lineRule="auto"/>
            </w:pPr>
            <w:r>
              <w:rPr>
                <w:rFonts w:ascii="Arial" w:eastAsia="Arial" w:hAnsi="Arial"/>
                <w:b/>
                <w:color w:val="000000"/>
                <w:kern w:val="0"/>
                <w:sz w:val="20"/>
                <w:szCs w:val="22"/>
              </w:rPr>
              <w:t>Pragmatism</w:t>
            </w:r>
          </w:p>
          <w:p w14:paraId="170BE13F" w14:textId="77777777" w:rsidR="000C2202" w:rsidRDefault="00DA46A9">
            <w:pPr>
              <w:spacing w:after="0" w:line="240" w:lineRule="auto"/>
            </w:pPr>
            <w:r>
              <w:rPr>
                <w:rFonts w:ascii="Arial" w:eastAsia="Arial" w:hAnsi="Arial"/>
                <w:i/>
                <w:color w:val="000000"/>
                <w:kern w:val="0"/>
                <w:sz w:val="20"/>
                <w:szCs w:val="22"/>
              </w:rPr>
              <w:t>premature for early-stage theory refinement.</w:t>
            </w:r>
          </w:p>
        </w:tc>
      </w:tr>
      <w:tr w:rsidR="000C2202" w14:paraId="28C328CA" w14:textId="77777777">
        <w:trPr>
          <w:jc w:val="center"/>
        </w:trPr>
        <w:tc>
          <w:tcPr>
            <w:tcW w:w="1318"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7B837533" w14:textId="77777777" w:rsidR="000C2202" w:rsidRDefault="00DA46A9">
            <w:pPr>
              <w:spacing w:after="0" w:line="240" w:lineRule="auto"/>
              <w:jc w:val="center"/>
            </w:pPr>
            <w:r>
              <w:rPr>
                <w:rFonts w:ascii="Arial" w:eastAsia="Arial" w:hAnsi="Arial"/>
                <w:b/>
                <w:color w:val="000000"/>
                <w:kern w:val="0"/>
                <w:sz w:val="20"/>
                <w:szCs w:val="22"/>
              </w:rPr>
              <w:t>Approach</w:t>
            </w:r>
          </w:p>
        </w:tc>
        <w:tc>
          <w:tcPr>
            <w:tcW w:w="2685"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D341B03" w14:textId="77777777" w:rsidR="000C2202" w:rsidRDefault="00DA46A9">
            <w:pPr>
              <w:spacing w:after="0" w:line="240" w:lineRule="auto"/>
            </w:pPr>
            <w:r>
              <w:rPr>
                <w:rFonts w:ascii="Arial" w:eastAsia="Arial" w:hAnsi="Arial"/>
                <w:b/>
                <w:color w:val="000000"/>
                <w:kern w:val="0"/>
                <w:sz w:val="20"/>
                <w:szCs w:val="22"/>
              </w:rPr>
              <w:t>Inductive</w:t>
            </w:r>
          </w:p>
          <w:p w14:paraId="52FD3B19" w14:textId="77777777" w:rsidR="000C2202" w:rsidRDefault="00DA46A9">
            <w:pPr>
              <w:spacing w:after="0" w:line="240" w:lineRule="auto"/>
            </w:pPr>
            <w:r>
              <w:rPr>
                <w:rFonts w:ascii="Arial" w:eastAsia="Arial" w:hAnsi="Arial"/>
                <w:i/>
                <w:color w:val="000000"/>
                <w:kern w:val="0"/>
                <w:sz w:val="20"/>
                <w:szCs w:val="22"/>
              </w:rPr>
              <w:t>Themes built from evidence; theory refined not confirmed.</w:t>
            </w:r>
          </w:p>
        </w:tc>
        <w:tc>
          <w:tcPr>
            <w:tcW w:w="544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7D11568" w14:textId="77777777" w:rsidR="000C2202" w:rsidRDefault="00DA46A9">
            <w:pPr>
              <w:spacing w:after="0" w:line="240" w:lineRule="auto"/>
            </w:pPr>
            <w:r>
              <w:rPr>
                <w:rFonts w:ascii="Arial" w:eastAsia="Arial" w:hAnsi="Arial"/>
                <w:b/>
                <w:color w:val="000000"/>
                <w:kern w:val="0"/>
                <w:sz w:val="20"/>
                <w:szCs w:val="22"/>
              </w:rPr>
              <w:t>Deductive</w:t>
            </w:r>
          </w:p>
          <w:p w14:paraId="0B2F2322" w14:textId="77777777" w:rsidR="000C2202" w:rsidRDefault="00DA46A9">
            <w:pPr>
              <w:spacing w:after="0" w:line="240" w:lineRule="auto"/>
            </w:pPr>
            <w:r>
              <w:rPr>
                <w:rFonts w:ascii="Arial" w:eastAsia="Arial" w:hAnsi="Arial"/>
                <w:i/>
                <w:color w:val="000000"/>
                <w:kern w:val="0"/>
                <w:sz w:val="20"/>
                <w:szCs w:val="22"/>
              </w:rPr>
              <w:t>SERVQUAL/TAM contested for chatbots (see Chapter 2).</w:t>
            </w:r>
          </w:p>
          <w:p w14:paraId="2A63757E" w14:textId="77777777" w:rsidR="000C2202" w:rsidRDefault="00DA46A9">
            <w:pPr>
              <w:spacing w:after="0" w:line="240" w:lineRule="auto"/>
            </w:pPr>
            <w:r>
              <w:rPr>
                <w:rFonts w:ascii="Arial" w:eastAsia="Arial" w:hAnsi="Arial"/>
                <w:b/>
                <w:color w:val="000000"/>
                <w:kern w:val="0"/>
                <w:sz w:val="20"/>
                <w:szCs w:val="22"/>
              </w:rPr>
              <w:t>Abductive</w:t>
            </w:r>
          </w:p>
          <w:p w14:paraId="449F27B5" w14:textId="77777777" w:rsidR="000C2202" w:rsidRDefault="00DA46A9">
            <w:pPr>
              <w:spacing w:after="0" w:line="240" w:lineRule="auto"/>
            </w:pPr>
            <w:r>
              <w:rPr>
                <w:rFonts w:ascii="Arial" w:eastAsia="Arial" w:hAnsi="Arial"/>
                <w:i/>
                <w:color w:val="000000"/>
                <w:kern w:val="0"/>
                <w:sz w:val="20"/>
                <w:szCs w:val="22"/>
              </w:rPr>
              <w:t>no surprising anomaly to iterate around.</w:t>
            </w:r>
          </w:p>
        </w:tc>
      </w:tr>
      <w:tr w:rsidR="000C2202" w14:paraId="2CCF4CB3" w14:textId="77777777">
        <w:trPr>
          <w:jc w:val="center"/>
        </w:trPr>
        <w:tc>
          <w:tcPr>
            <w:tcW w:w="1318"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6200A5A6" w14:textId="77777777" w:rsidR="000C2202" w:rsidRDefault="00DA46A9">
            <w:pPr>
              <w:spacing w:after="0" w:line="240" w:lineRule="auto"/>
              <w:jc w:val="center"/>
            </w:pPr>
            <w:r>
              <w:rPr>
                <w:rFonts w:ascii="Arial" w:eastAsia="Arial" w:hAnsi="Arial"/>
                <w:b/>
                <w:color w:val="000000"/>
                <w:kern w:val="0"/>
                <w:sz w:val="20"/>
                <w:szCs w:val="22"/>
              </w:rPr>
              <w:t>Strategy</w:t>
            </w:r>
          </w:p>
        </w:tc>
        <w:tc>
          <w:tcPr>
            <w:tcW w:w="2685"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DDFAA18" w14:textId="77777777" w:rsidR="000C2202" w:rsidRDefault="00DA46A9">
            <w:pPr>
              <w:spacing w:after="0" w:line="240" w:lineRule="auto"/>
            </w:pPr>
            <w:r>
              <w:rPr>
                <w:rFonts w:ascii="Arial" w:eastAsia="Arial" w:hAnsi="Arial"/>
                <w:b/>
                <w:color w:val="000000"/>
                <w:kern w:val="0"/>
                <w:sz w:val="20"/>
                <w:szCs w:val="22"/>
              </w:rPr>
              <w:t>Single case  —  Tesco</w:t>
            </w:r>
          </w:p>
          <w:p w14:paraId="188D3DED" w14:textId="77777777" w:rsidR="000C2202" w:rsidRDefault="00DA46A9">
            <w:pPr>
              <w:spacing w:after="0" w:line="240" w:lineRule="auto"/>
            </w:pPr>
            <w:r>
              <w:rPr>
                <w:rFonts w:ascii="Arial" w:eastAsia="Arial" w:hAnsi="Arial"/>
                <w:i/>
                <w:color w:val="000000"/>
                <w:kern w:val="0"/>
                <w:sz w:val="20"/>
                <w:szCs w:val="22"/>
              </w:rPr>
              <w:t>Revelatory case: market leader with active AI rollout (Yin, 2018).</w:t>
            </w:r>
          </w:p>
        </w:tc>
        <w:tc>
          <w:tcPr>
            <w:tcW w:w="544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D8D7374" w14:textId="77777777" w:rsidR="000C2202" w:rsidRDefault="00DA46A9">
            <w:pPr>
              <w:spacing w:after="0" w:line="240" w:lineRule="auto"/>
            </w:pPr>
            <w:r>
              <w:rPr>
                <w:rFonts w:ascii="Arial" w:eastAsia="Arial" w:hAnsi="Arial"/>
                <w:b/>
                <w:color w:val="000000"/>
                <w:kern w:val="0"/>
                <w:sz w:val="20"/>
                <w:szCs w:val="22"/>
              </w:rPr>
              <w:t>Multi-case</w:t>
            </w:r>
          </w:p>
          <w:p w14:paraId="3693187C" w14:textId="77777777" w:rsidR="000C2202" w:rsidRDefault="00DA46A9">
            <w:pPr>
              <w:spacing w:after="0" w:line="240" w:lineRule="auto"/>
            </w:pPr>
            <w:r>
              <w:rPr>
                <w:rFonts w:ascii="Arial" w:eastAsia="Arial" w:hAnsi="Arial"/>
                <w:i/>
                <w:color w:val="000000"/>
                <w:kern w:val="0"/>
                <w:sz w:val="20"/>
                <w:szCs w:val="22"/>
              </w:rPr>
              <w:t>spreads depth too thin at 6,000 words.</w:t>
            </w:r>
          </w:p>
          <w:p w14:paraId="441F23BD" w14:textId="77777777" w:rsidR="000C2202" w:rsidRDefault="00DA46A9">
            <w:pPr>
              <w:spacing w:after="0" w:line="240" w:lineRule="auto"/>
            </w:pPr>
            <w:r>
              <w:rPr>
                <w:rFonts w:ascii="Arial" w:eastAsia="Arial" w:hAnsi="Arial"/>
                <w:b/>
                <w:color w:val="000000"/>
                <w:kern w:val="0"/>
                <w:sz w:val="20"/>
                <w:szCs w:val="22"/>
              </w:rPr>
              <w:t>Survey / experiment</w:t>
            </w:r>
          </w:p>
          <w:p w14:paraId="79AAE991" w14:textId="77777777" w:rsidR="000C2202" w:rsidRDefault="00DA46A9">
            <w:pPr>
              <w:spacing w:after="0" w:line="240" w:lineRule="auto"/>
            </w:pPr>
            <w:r>
              <w:rPr>
                <w:rFonts w:ascii="Arial" w:eastAsia="Arial" w:hAnsi="Arial"/>
                <w:i/>
                <w:color w:val="000000"/>
                <w:kern w:val="0"/>
                <w:sz w:val="20"/>
                <w:szCs w:val="22"/>
              </w:rPr>
              <w:t>require primary data outside the study’s scope.</w:t>
            </w:r>
          </w:p>
        </w:tc>
      </w:tr>
      <w:tr w:rsidR="000C2202" w14:paraId="17BEC99C" w14:textId="77777777">
        <w:trPr>
          <w:jc w:val="center"/>
        </w:trPr>
        <w:tc>
          <w:tcPr>
            <w:tcW w:w="1318"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27BE2D98" w14:textId="77777777" w:rsidR="000C2202" w:rsidRDefault="00DA46A9">
            <w:pPr>
              <w:spacing w:after="0" w:line="240" w:lineRule="auto"/>
              <w:jc w:val="center"/>
            </w:pPr>
            <w:r>
              <w:rPr>
                <w:rFonts w:ascii="Arial" w:eastAsia="Arial" w:hAnsi="Arial"/>
                <w:b/>
                <w:color w:val="000000"/>
                <w:kern w:val="0"/>
                <w:sz w:val="20"/>
                <w:szCs w:val="22"/>
              </w:rPr>
              <w:t>Design</w:t>
            </w:r>
          </w:p>
        </w:tc>
        <w:tc>
          <w:tcPr>
            <w:tcW w:w="2685"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5E7ED65" w14:textId="77777777" w:rsidR="000C2202" w:rsidRDefault="00DA46A9">
            <w:pPr>
              <w:spacing w:after="0" w:line="240" w:lineRule="auto"/>
            </w:pPr>
            <w:r>
              <w:rPr>
                <w:rFonts w:ascii="Arial" w:eastAsia="Arial" w:hAnsi="Arial"/>
                <w:b/>
                <w:color w:val="000000"/>
                <w:kern w:val="0"/>
                <w:sz w:val="20"/>
                <w:szCs w:val="22"/>
              </w:rPr>
              <w:t>Qualitative secondary</w:t>
            </w:r>
          </w:p>
          <w:p w14:paraId="6D8B18FA" w14:textId="77777777" w:rsidR="000C2202" w:rsidRDefault="00DA46A9">
            <w:pPr>
              <w:spacing w:after="0" w:line="240" w:lineRule="auto"/>
            </w:pPr>
            <w:r>
              <w:rPr>
                <w:rFonts w:ascii="Arial" w:eastAsia="Arial" w:hAnsi="Arial"/>
                <w:i/>
                <w:color w:val="000000"/>
                <w:kern w:val="0"/>
                <w:sz w:val="20"/>
                <w:szCs w:val="22"/>
              </w:rPr>
              <w:t>Rich public evidence already exists; re-analysis avoids duplicating fieldwork.</w:t>
            </w:r>
          </w:p>
        </w:tc>
        <w:tc>
          <w:tcPr>
            <w:tcW w:w="544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C4A0E22" w14:textId="77777777" w:rsidR="000C2202" w:rsidRDefault="00DA46A9">
            <w:pPr>
              <w:spacing w:after="0" w:line="240" w:lineRule="auto"/>
            </w:pPr>
            <w:r>
              <w:rPr>
                <w:rFonts w:ascii="Arial" w:eastAsia="Arial" w:hAnsi="Arial"/>
                <w:b/>
                <w:color w:val="000000"/>
                <w:kern w:val="0"/>
                <w:sz w:val="20"/>
                <w:szCs w:val="22"/>
              </w:rPr>
              <w:t>Primary interviews</w:t>
            </w:r>
          </w:p>
          <w:p w14:paraId="100CE3A1" w14:textId="77777777" w:rsidR="000C2202" w:rsidRDefault="00DA46A9">
            <w:pPr>
              <w:spacing w:after="0" w:line="240" w:lineRule="auto"/>
            </w:pPr>
            <w:r>
              <w:rPr>
                <w:rFonts w:ascii="Arial" w:eastAsia="Arial" w:hAnsi="Arial"/>
                <w:i/>
                <w:color w:val="000000"/>
                <w:kern w:val="0"/>
                <w:sz w:val="20"/>
                <w:szCs w:val="22"/>
              </w:rPr>
              <w:t>access, ethics timeline, and word count all constrain feasibility.</w:t>
            </w:r>
          </w:p>
          <w:p w14:paraId="59855095" w14:textId="77777777" w:rsidR="000C2202" w:rsidRDefault="00DA46A9">
            <w:pPr>
              <w:spacing w:after="0" w:line="240" w:lineRule="auto"/>
            </w:pPr>
            <w:r>
              <w:rPr>
                <w:rFonts w:ascii="Arial" w:eastAsia="Arial" w:hAnsi="Arial"/>
                <w:b/>
                <w:color w:val="000000"/>
                <w:kern w:val="0"/>
                <w:sz w:val="20"/>
                <w:szCs w:val="22"/>
              </w:rPr>
              <w:t>Mixed methods</w:t>
            </w:r>
          </w:p>
          <w:p w14:paraId="6A714DB3" w14:textId="77777777" w:rsidR="000C2202" w:rsidRDefault="00DA46A9">
            <w:pPr>
              <w:spacing w:after="0" w:line="240" w:lineRule="auto"/>
            </w:pPr>
            <w:r>
              <w:rPr>
                <w:rFonts w:ascii="Arial" w:eastAsia="Arial" w:hAnsi="Arial"/>
                <w:i/>
                <w:color w:val="000000"/>
                <w:kern w:val="0"/>
                <w:sz w:val="20"/>
                <w:szCs w:val="22"/>
              </w:rPr>
              <w:t>quantitative arm violates the interpretivist stance.</w:t>
            </w:r>
          </w:p>
        </w:tc>
      </w:tr>
      <w:tr w:rsidR="000C2202" w14:paraId="04DB3011" w14:textId="77777777">
        <w:trPr>
          <w:jc w:val="center"/>
        </w:trPr>
        <w:tc>
          <w:tcPr>
            <w:tcW w:w="1318"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0D4929A3" w14:textId="77777777" w:rsidR="000C2202" w:rsidRDefault="00DA46A9">
            <w:pPr>
              <w:spacing w:after="0" w:line="240" w:lineRule="auto"/>
              <w:jc w:val="center"/>
            </w:pPr>
            <w:r>
              <w:rPr>
                <w:rFonts w:ascii="Arial" w:eastAsia="Arial" w:hAnsi="Arial"/>
                <w:b/>
                <w:color w:val="000000"/>
                <w:kern w:val="0"/>
                <w:sz w:val="20"/>
                <w:szCs w:val="22"/>
              </w:rPr>
              <w:t>Sampling</w:t>
            </w:r>
          </w:p>
        </w:tc>
        <w:tc>
          <w:tcPr>
            <w:tcW w:w="2685"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ACEFC06" w14:textId="77777777" w:rsidR="000C2202" w:rsidRDefault="00DA46A9">
            <w:pPr>
              <w:spacing w:after="0" w:line="240" w:lineRule="auto"/>
            </w:pPr>
            <w:r>
              <w:rPr>
                <w:rFonts w:ascii="Arial" w:eastAsia="Arial" w:hAnsi="Arial"/>
                <w:b/>
                <w:color w:val="000000"/>
                <w:kern w:val="0"/>
                <w:sz w:val="20"/>
                <w:szCs w:val="22"/>
              </w:rPr>
              <w:t>Purposive document sampling</w:t>
            </w:r>
          </w:p>
          <w:p w14:paraId="01A759A9" w14:textId="77777777" w:rsidR="000C2202" w:rsidRDefault="00DA46A9">
            <w:pPr>
              <w:spacing w:after="0" w:line="240" w:lineRule="auto"/>
            </w:pPr>
            <w:r>
              <w:rPr>
                <w:rFonts w:ascii="Arial" w:eastAsia="Arial" w:hAnsi="Arial"/>
                <w:i/>
                <w:color w:val="000000"/>
                <w:kern w:val="0"/>
                <w:sz w:val="20"/>
                <w:szCs w:val="22"/>
              </w:rPr>
              <w:t>Pre-defined credibility, date, and topical relevance criteria.</w:t>
            </w:r>
          </w:p>
        </w:tc>
        <w:tc>
          <w:tcPr>
            <w:tcW w:w="544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C2755F4" w14:textId="77777777" w:rsidR="000C2202" w:rsidRDefault="00DA46A9">
            <w:pPr>
              <w:spacing w:after="0" w:line="240" w:lineRule="auto"/>
            </w:pPr>
            <w:r>
              <w:rPr>
                <w:rFonts w:ascii="Arial" w:eastAsia="Arial" w:hAnsi="Arial"/>
                <w:b/>
                <w:color w:val="000000"/>
                <w:kern w:val="0"/>
                <w:sz w:val="20"/>
                <w:szCs w:val="22"/>
              </w:rPr>
              <w:t>Random</w:t>
            </w:r>
          </w:p>
          <w:p w14:paraId="5C1935E6" w14:textId="77777777" w:rsidR="000C2202" w:rsidRDefault="00DA46A9">
            <w:pPr>
              <w:spacing w:after="0" w:line="240" w:lineRule="auto"/>
            </w:pPr>
            <w:r>
              <w:rPr>
                <w:rFonts w:ascii="Arial" w:eastAsia="Arial" w:hAnsi="Arial"/>
                <w:i/>
                <w:color w:val="000000"/>
                <w:kern w:val="0"/>
                <w:sz w:val="20"/>
                <w:szCs w:val="22"/>
              </w:rPr>
              <w:t>inappropriate for interpretive qualitative work.</w:t>
            </w:r>
          </w:p>
          <w:p w14:paraId="4E35B01A" w14:textId="77777777" w:rsidR="000C2202" w:rsidRDefault="00DA46A9">
            <w:pPr>
              <w:spacing w:after="0" w:line="240" w:lineRule="auto"/>
            </w:pPr>
            <w:r>
              <w:rPr>
                <w:rFonts w:ascii="Arial" w:eastAsia="Arial" w:hAnsi="Arial"/>
                <w:b/>
                <w:color w:val="000000"/>
                <w:kern w:val="0"/>
                <w:sz w:val="20"/>
                <w:szCs w:val="22"/>
              </w:rPr>
              <w:t>Convenience</w:t>
            </w:r>
          </w:p>
          <w:p w14:paraId="7CB1BB1F" w14:textId="77777777" w:rsidR="000C2202" w:rsidRDefault="00DA46A9">
            <w:pPr>
              <w:spacing w:after="0" w:line="240" w:lineRule="auto"/>
            </w:pPr>
            <w:r>
              <w:rPr>
                <w:rFonts w:ascii="Arial" w:eastAsia="Arial" w:hAnsi="Arial"/>
                <w:i/>
                <w:color w:val="000000"/>
                <w:kern w:val="0"/>
                <w:sz w:val="20"/>
                <w:szCs w:val="22"/>
              </w:rPr>
              <w:t>dilutes evidence quality.</w:t>
            </w:r>
          </w:p>
          <w:p w14:paraId="496480C2" w14:textId="77777777" w:rsidR="000C2202" w:rsidRDefault="00DA46A9">
            <w:pPr>
              <w:spacing w:after="0" w:line="240" w:lineRule="auto"/>
            </w:pPr>
            <w:r>
              <w:rPr>
                <w:rFonts w:ascii="Arial" w:eastAsia="Arial" w:hAnsi="Arial"/>
                <w:b/>
                <w:color w:val="000000"/>
                <w:kern w:val="0"/>
                <w:sz w:val="20"/>
                <w:szCs w:val="22"/>
              </w:rPr>
              <w:t>Theoretical</w:t>
            </w:r>
          </w:p>
          <w:p w14:paraId="2FAC6CEB" w14:textId="77777777" w:rsidR="000C2202" w:rsidRDefault="00DA46A9">
            <w:pPr>
              <w:spacing w:after="0" w:line="240" w:lineRule="auto"/>
            </w:pPr>
            <w:r>
              <w:rPr>
                <w:rFonts w:ascii="Arial" w:eastAsia="Arial" w:hAnsi="Arial"/>
                <w:i/>
                <w:color w:val="000000"/>
                <w:kern w:val="0"/>
                <w:sz w:val="20"/>
                <w:szCs w:val="22"/>
              </w:rPr>
              <w:t>fits grounded theory, not thematic analysis.</w:t>
            </w:r>
          </w:p>
        </w:tc>
      </w:tr>
      <w:tr w:rsidR="000C2202" w14:paraId="5430627C" w14:textId="77777777">
        <w:trPr>
          <w:jc w:val="center"/>
        </w:trPr>
        <w:tc>
          <w:tcPr>
            <w:tcW w:w="1318"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67CFB498" w14:textId="77777777" w:rsidR="000C2202" w:rsidRDefault="00DA46A9">
            <w:pPr>
              <w:spacing w:after="0" w:line="240" w:lineRule="auto"/>
              <w:jc w:val="center"/>
            </w:pPr>
            <w:r>
              <w:rPr>
                <w:rFonts w:ascii="Arial" w:eastAsia="Arial" w:hAnsi="Arial"/>
                <w:b/>
                <w:color w:val="000000"/>
                <w:kern w:val="0"/>
                <w:sz w:val="20"/>
                <w:szCs w:val="22"/>
              </w:rPr>
              <w:t>Analysis</w:t>
            </w:r>
          </w:p>
        </w:tc>
        <w:tc>
          <w:tcPr>
            <w:tcW w:w="2685"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65022CE" w14:textId="77777777" w:rsidR="000C2202" w:rsidRDefault="00DA46A9">
            <w:pPr>
              <w:spacing w:after="0" w:line="240" w:lineRule="auto"/>
            </w:pPr>
            <w:r>
              <w:rPr>
                <w:rFonts w:ascii="Arial" w:eastAsia="Arial" w:hAnsi="Arial"/>
                <w:b/>
                <w:color w:val="000000"/>
                <w:kern w:val="0"/>
                <w:sz w:val="20"/>
                <w:szCs w:val="22"/>
              </w:rPr>
              <w:t>Reflexive thematic analysis</w:t>
            </w:r>
          </w:p>
          <w:p w14:paraId="6B540EC7" w14:textId="77777777" w:rsidR="000C2202" w:rsidRDefault="00DA46A9">
            <w:pPr>
              <w:spacing w:after="0" w:line="240" w:lineRule="auto"/>
            </w:pPr>
            <w:r>
              <w:rPr>
                <w:rFonts w:ascii="Arial" w:eastAsia="Arial" w:hAnsi="Arial"/>
                <w:i/>
                <w:color w:val="000000"/>
                <w:kern w:val="0"/>
                <w:sz w:val="20"/>
                <w:szCs w:val="22"/>
              </w:rPr>
              <w:t>Braun and Clarke (2019); six phases, reflexivity as an analytical resource.</w:t>
            </w:r>
          </w:p>
        </w:tc>
        <w:tc>
          <w:tcPr>
            <w:tcW w:w="544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2C7CF3F" w14:textId="77777777" w:rsidR="000C2202" w:rsidRDefault="00DA46A9">
            <w:pPr>
              <w:spacing w:after="0" w:line="240" w:lineRule="auto"/>
            </w:pPr>
            <w:r>
              <w:rPr>
                <w:rFonts w:ascii="Arial" w:eastAsia="Arial" w:hAnsi="Arial"/>
                <w:b/>
                <w:color w:val="000000"/>
                <w:kern w:val="0"/>
                <w:sz w:val="20"/>
                <w:szCs w:val="22"/>
              </w:rPr>
              <w:t>Content analysis</w:t>
            </w:r>
          </w:p>
          <w:p w14:paraId="16666D65" w14:textId="77777777" w:rsidR="000C2202" w:rsidRDefault="00DA46A9">
            <w:pPr>
              <w:spacing w:after="0" w:line="240" w:lineRule="auto"/>
            </w:pPr>
            <w:r>
              <w:rPr>
                <w:rFonts w:ascii="Arial" w:eastAsia="Arial" w:hAnsi="Arial"/>
                <w:i/>
                <w:color w:val="000000"/>
                <w:kern w:val="0"/>
                <w:sz w:val="20"/>
                <w:szCs w:val="22"/>
              </w:rPr>
              <w:t>frequency-only, strips interpretive meaning.</w:t>
            </w:r>
          </w:p>
          <w:p w14:paraId="727F766F" w14:textId="77777777" w:rsidR="000C2202" w:rsidRDefault="00DA46A9">
            <w:pPr>
              <w:spacing w:after="0" w:line="240" w:lineRule="auto"/>
            </w:pPr>
            <w:r>
              <w:rPr>
                <w:rFonts w:ascii="Arial" w:eastAsia="Arial" w:hAnsi="Arial"/>
                <w:b/>
                <w:color w:val="000000"/>
                <w:kern w:val="0"/>
                <w:sz w:val="20"/>
                <w:szCs w:val="22"/>
              </w:rPr>
              <w:t>Grounded theory</w:t>
            </w:r>
          </w:p>
          <w:p w14:paraId="1EEF69C0" w14:textId="77777777" w:rsidR="000C2202" w:rsidRDefault="00DA46A9">
            <w:pPr>
              <w:spacing w:after="0" w:line="240" w:lineRule="auto"/>
            </w:pPr>
            <w:r>
              <w:rPr>
                <w:rFonts w:ascii="Arial" w:eastAsia="Arial" w:hAnsi="Arial"/>
                <w:i/>
                <w:color w:val="000000"/>
                <w:kern w:val="0"/>
                <w:sz w:val="20"/>
                <w:szCs w:val="22"/>
              </w:rPr>
              <w:t>for new-theory build, not for theory refinement.</w:t>
            </w:r>
          </w:p>
          <w:p w14:paraId="61B8B41A" w14:textId="77777777" w:rsidR="000C2202" w:rsidRDefault="00DA46A9">
            <w:pPr>
              <w:spacing w:after="0" w:line="240" w:lineRule="auto"/>
            </w:pPr>
            <w:r>
              <w:rPr>
                <w:rFonts w:ascii="Arial" w:eastAsia="Arial" w:hAnsi="Arial"/>
                <w:b/>
                <w:color w:val="000000"/>
                <w:kern w:val="0"/>
                <w:sz w:val="20"/>
                <w:szCs w:val="22"/>
              </w:rPr>
              <w:t>Framework analysis</w:t>
            </w:r>
          </w:p>
          <w:p w14:paraId="05E242FC" w14:textId="77777777" w:rsidR="000C2202" w:rsidRDefault="00DA46A9">
            <w:pPr>
              <w:spacing w:after="0" w:line="240" w:lineRule="auto"/>
            </w:pPr>
            <w:r>
              <w:rPr>
                <w:rFonts w:ascii="Arial" w:eastAsia="Arial" w:hAnsi="Arial"/>
                <w:i/>
                <w:color w:val="000000"/>
                <w:kern w:val="0"/>
                <w:sz w:val="20"/>
                <w:szCs w:val="22"/>
              </w:rPr>
              <w:t>fits policy work with a fixed matrix.</w:t>
            </w:r>
          </w:p>
        </w:tc>
      </w:tr>
    </w:tbl>
    <w:p w14:paraId="5F3F1DF0" w14:textId="77777777" w:rsidR="000C2202" w:rsidRDefault="00DA46A9">
      <w:pPr>
        <w:spacing w:after="0" w:line="240" w:lineRule="auto"/>
        <w:jc w:val="center"/>
      </w:pPr>
      <w:r>
        <w:rPr>
          <w:rFonts w:ascii="Arial" w:eastAsia="Arial" w:hAnsi="Arial"/>
          <w:i/>
          <w:color w:val="595959"/>
          <w:kern w:val="0"/>
        </w:rPr>
        <w:t>Figure 3.1: Methodology decision framework — chosen approach against realistic alternatives at each Research Onion layer.</w:t>
      </w:r>
    </w:p>
    <w:p w14:paraId="136C79CD" w14:textId="77777777" w:rsidR="000C2202" w:rsidRDefault="000C2202">
      <w:pPr>
        <w:spacing w:after="120" w:line="360" w:lineRule="auto"/>
        <w:ind w:left="567" w:hanging="567"/>
        <w:rPr>
          <w:rFonts w:ascii="Arial" w:eastAsia="Arial" w:hAnsi="Arial"/>
          <w:kern w:val="0"/>
        </w:rPr>
      </w:pPr>
    </w:p>
    <w:p w14:paraId="43895961" w14:textId="77777777" w:rsidR="000C2202" w:rsidRDefault="000C2202">
      <w:pPr>
        <w:spacing w:after="120" w:line="360" w:lineRule="auto"/>
        <w:ind w:left="567" w:hanging="567"/>
        <w:rPr>
          <w:rFonts w:ascii="Arial" w:eastAsia="Arial" w:hAnsi="Arial"/>
          <w:kern w:val="0"/>
        </w:rPr>
      </w:pPr>
    </w:p>
    <w:p w14:paraId="0736C904" w14:textId="77777777" w:rsidR="000C2202" w:rsidRDefault="000C2202">
      <w:pPr>
        <w:spacing w:after="120" w:line="360" w:lineRule="auto"/>
        <w:ind w:left="567" w:hanging="567"/>
        <w:rPr>
          <w:rFonts w:ascii="Arial" w:eastAsia="Arial" w:hAnsi="Arial"/>
          <w:kern w:val="0"/>
        </w:rPr>
      </w:pPr>
    </w:p>
    <w:p w14:paraId="5BCA4BB5" w14:textId="77777777" w:rsidR="000C2202" w:rsidRDefault="000C2202">
      <w:pPr>
        <w:spacing w:after="120" w:line="360" w:lineRule="auto"/>
        <w:ind w:left="567" w:hanging="567"/>
        <w:rPr>
          <w:rFonts w:ascii="Arial" w:eastAsia="Arial" w:hAnsi="Arial"/>
          <w:kern w:val="0"/>
        </w:rPr>
      </w:pPr>
    </w:p>
    <w:p w14:paraId="7AC753DD" w14:textId="77777777" w:rsidR="000C2202" w:rsidRDefault="000C2202">
      <w:pPr>
        <w:spacing w:after="120" w:line="360" w:lineRule="auto"/>
        <w:ind w:left="567" w:hanging="567"/>
        <w:rPr>
          <w:rFonts w:ascii="Arial" w:eastAsia="Arial" w:hAnsi="Arial"/>
          <w:kern w:val="0"/>
        </w:rPr>
      </w:pPr>
    </w:p>
    <w:p w14:paraId="4BE941D1" w14:textId="77777777" w:rsidR="000C2202" w:rsidRDefault="000C2202">
      <w:pPr>
        <w:spacing w:after="120" w:line="360" w:lineRule="auto"/>
        <w:ind w:left="567" w:hanging="567"/>
        <w:rPr>
          <w:rFonts w:ascii="Arial" w:eastAsia="Arial" w:hAnsi="Arial"/>
          <w:kern w:val="0"/>
        </w:rPr>
      </w:pPr>
    </w:p>
    <w:p w14:paraId="4E8EC46B" w14:textId="77777777" w:rsidR="000C2202" w:rsidRDefault="000C2202">
      <w:pPr>
        <w:spacing w:after="120" w:line="360" w:lineRule="auto"/>
        <w:ind w:left="567" w:hanging="567"/>
        <w:rPr>
          <w:rFonts w:ascii="Arial" w:eastAsia="Arial" w:hAnsi="Arial"/>
          <w:kern w:val="0"/>
        </w:rPr>
      </w:pPr>
    </w:p>
    <w:p w14:paraId="56122060" w14:textId="77777777" w:rsidR="000C2202" w:rsidRDefault="000C2202">
      <w:pPr>
        <w:spacing w:after="120" w:line="360" w:lineRule="auto"/>
        <w:ind w:left="567" w:hanging="567"/>
        <w:rPr>
          <w:rFonts w:ascii="Arial" w:eastAsia="Arial" w:hAnsi="Arial"/>
          <w:kern w:val="0"/>
        </w:rPr>
      </w:pPr>
    </w:p>
    <w:p w14:paraId="1070E51C" w14:textId="77777777" w:rsidR="000C2202" w:rsidRDefault="000C2202">
      <w:pPr>
        <w:spacing w:after="120" w:line="360" w:lineRule="auto"/>
        <w:ind w:left="567" w:hanging="567"/>
        <w:rPr>
          <w:rFonts w:ascii="Arial" w:eastAsia="Arial" w:hAnsi="Arial"/>
          <w:kern w:val="0"/>
        </w:rPr>
      </w:pPr>
    </w:p>
    <w:p w14:paraId="56121BAB" w14:textId="77777777" w:rsidR="000C2202" w:rsidRDefault="000C2202">
      <w:pPr>
        <w:spacing w:after="120" w:line="360" w:lineRule="auto"/>
        <w:ind w:left="567" w:hanging="567"/>
        <w:rPr>
          <w:rFonts w:ascii="Arial" w:eastAsia="Arial" w:hAnsi="Arial"/>
          <w:kern w:val="0"/>
        </w:rPr>
      </w:pPr>
    </w:p>
    <w:p w14:paraId="0FBC4751" w14:textId="77777777" w:rsidR="000C2202" w:rsidRDefault="000C2202">
      <w:pPr>
        <w:spacing w:after="120" w:line="360" w:lineRule="auto"/>
        <w:ind w:left="567" w:hanging="567"/>
        <w:rPr>
          <w:rFonts w:ascii="Arial" w:eastAsia="Arial" w:hAnsi="Arial"/>
          <w:kern w:val="0"/>
        </w:rPr>
      </w:pPr>
    </w:p>
    <w:p w14:paraId="450899E2" w14:textId="77777777" w:rsidR="000C2202" w:rsidRDefault="000C2202">
      <w:pPr>
        <w:spacing w:after="120" w:line="360" w:lineRule="auto"/>
        <w:ind w:left="567" w:hanging="567"/>
        <w:rPr>
          <w:rFonts w:ascii="Arial" w:eastAsia="Arial" w:hAnsi="Arial"/>
          <w:kern w:val="0"/>
        </w:rPr>
      </w:pPr>
    </w:p>
    <w:p w14:paraId="76045A6D" w14:textId="77777777" w:rsidR="000C2202" w:rsidRDefault="000C2202">
      <w:pPr>
        <w:spacing w:after="120" w:line="360" w:lineRule="auto"/>
        <w:ind w:left="567" w:hanging="567"/>
        <w:rPr>
          <w:rFonts w:ascii="Arial" w:eastAsia="Arial" w:hAnsi="Arial"/>
          <w:kern w:val="0"/>
        </w:rPr>
      </w:pPr>
    </w:p>
    <w:p w14:paraId="200DF3F2" w14:textId="77777777" w:rsidR="000C2202" w:rsidRDefault="00DA46A9">
      <w:pPr>
        <w:keepNext/>
        <w:keepLines/>
        <w:spacing w:before="480" w:after="0" w:line="360" w:lineRule="auto"/>
        <w:jc w:val="center"/>
        <w:outlineLvl w:val="0"/>
        <w:rPr>
          <w:rFonts w:ascii="Calibri" w:eastAsia="MS Gothic" w:hAnsi="Calibri"/>
          <w:b/>
          <w:bCs/>
          <w:color w:val="365F91"/>
          <w:kern w:val="0"/>
          <w:sz w:val="32"/>
          <w:szCs w:val="28"/>
        </w:rPr>
      </w:pPr>
      <w:bookmarkStart w:id="59" w:name="_Toc235807064"/>
      <w:r>
        <w:rPr>
          <w:rFonts w:ascii="Calibri" w:eastAsia="MS Gothic" w:hAnsi="Calibri"/>
          <w:b/>
          <w:bCs/>
          <w:color w:val="365F91"/>
          <w:kern w:val="0"/>
          <w:sz w:val="32"/>
          <w:szCs w:val="28"/>
        </w:rPr>
        <w:t>Chapter 4 Analysis, Findings and Discussion</w:t>
      </w:r>
      <w:bookmarkEnd w:id="59"/>
    </w:p>
    <w:p w14:paraId="5254576A" w14:textId="77777777" w:rsidR="000C2202" w:rsidRDefault="00DA46A9">
      <w:pPr>
        <w:keepNext/>
        <w:keepLines/>
        <w:spacing w:before="200" w:after="0" w:line="360" w:lineRule="auto"/>
        <w:outlineLvl w:val="1"/>
        <w:rPr>
          <w:rFonts w:ascii="Calibri" w:eastAsia="MS Gothic" w:hAnsi="Calibri"/>
          <w:b/>
          <w:bCs/>
          <w:color w:val="4F81BD"/>
          <w:kern w:val="0"/>
          <w:sz w:val="26"/>
          <w:szCs w:val="26"/>
        </w:rPr>
      </w:pPr>
      <w:bookmarkStart w:id="60" w:name="_Toc235807065"/>
      <w:r>
        <w:rPr>
          <w:rFonts w:ascii="Calibri" w:eastAsia="MS Gothic" w:hAnsi="Calibri"/>
          <w:b/>
          <w:bCs/>
          <w:color w:val="4F81BD"/>
          <w:kern w:val="0"/>
          <w:sz w:val="26"/>
          <w:szCs w:val="26"/>
        </w:rPr>
        <w:t>4.1 Introduction</w:t>
      </w:r>
      <w:bookmarkEnd w:id="60"/>
    </w:p>
    <w:p w14:paraId="08AA68CF" w14:textId="77777777" w:rsidR="000C2202" w:rsidRDefault="00DA46A9">
      <w:pPr>
        <w:spacing w:after="120" w:line="360" w:lineRule="auto"/>
        <w:jc w:val="both"/>
        <w:rPr>
          <w:rFonts w:ascii="Arial" w:eastAsia="Arial" w:hAnsi="Arial"/>
          <w:kern w:val="0"/>
        </w:rPr>
      </w:pPr>
      <w:r>
        <w:rPr>
          <w:rFonts w:ascii="Arial" w:eastAsia="Arial" w:hAnsi="Arial"/>
          <w:kern w:val="0"/>
        </w:rPr>
        <w:t>The findings from the reflexive thematic analysis of the qualitative secondary corpus (QSC) described in chapter 3 are presented and interpreted in this chapter using the conceptual framework developed in chapter 2. Five themes emerged: response time and 24/7 availability; accuracy, reliability and complexity of queries; trust, data privacy and perceived empathy; handover and escalation friction; and personalisation and the generative AI shift. The themes are discussed along each pathway that was identified by the SERVQUAL and TAM pathways and the query-complexity-fit pathway in Figure 2.1, and the themes are combined to provide specific answers to the three research questions that were formulated in Chapter 1 and are presented in Section 4.8.</w:t>
      </w:r>
    </w:p>
    <w:p w14:paraId="0C8384E0" w14:textId="77777777" w:rsidR="000C2202" w:rsidRDefault="00DA46A9">
      <w:pPr>
        <w:keepNext/>
        <w:keepLines/>
        <w:spacing w:before="200" w:after="0" w:line="360" w:lineRule="auto"/>
        <w:outlineLvl w:val="1"/>
      </w:pPr>
      <w:bookmarkStart w:id="61" w:name="_Toc235807066"/>
      <w:r>
        <w:rPr>
          <w:rFonts w:ascii="Calibri" w:eastAsia="MS Gothic" w:hAnsi="Calibri"/>
          <w:b/>
          <w:bCs/>
          <w:color w:val="4F81BD"/>
          <w:kern w:val="0"/>
          <w:sz w:val="26"/>
          <w:szCs w:val="26"/>
        </w:rPr>
        <w:t>4.2 Overview of the Evidence Base</w:t>
      </w:r>
      <w:bookmarkEnd w:id="61"/>
    </w:p>
    <w:p w14:paraId="2C8D3747" w14:textId="77777777" w:rsidR="000C2202" w:rsidRDefault="00DA46A9">
      <w:pPr>
        <w:spacing w:after="120" w:line="360" w:lineRule="auto"/>
        <w:jc w:val="both"/>
      </w:pPr>
      <w:r>
        <w:rPr>
          <w:rFonts w:ascii="Arial" w:eastAsia="Arial" w:hAnsi="Arial"/>
          <w:kern w:val="0"/>
          <w:szCs w:val="22"/>
        </w:rPr>
        <w:t>The structured searches returned 700 records across databases and source streams. Application of the inclusion and exclusion criteria produced 81 provisionally eligible records; six overlapping records were removed during deduplication, leaving a final corpus of 75 unique sources. The corpus comprised 26 peer-reviewed journal articles, eight industry and market reports, six Tesco corporate publications, 30 anonymised customer reviews from Trustpilot and Reevoo, and five trade-press items. Coding followed Braun and Clarke's (2019) six phases and used two iterative theme-review passes. Table 4.2 presents the distribution of coded evidence, Figure 4.1 reports theme prevalence, and Figure 4.2 displays the descriptive query-type satisfaction scores calculated using the procedure specified in Section 3.8.</w:t>
      </w:r>
    </w:p>
    <w:p w14:paraId="408E7795" w14:textId="77777777" w:rsidR="000C2202" w:rsidRDefault="000C2202">
      <w:pPr>
        <w:spacing w:after="120" w:line="360" w:lineRule="auto"/>
        <w:jc w:val="both"/>
        <w:rPr>
          <w:rFonts w:ascii="Arial" w:eastAsia="Arial" w:hAnsi="Arial"/>
          <w:kern w:val="0"/>
        </w:rPr>
      </w:pPr>
    </w:p>
    <w:p w14:paraId="348E7256" w14:textId="77777777" w:rsidR="000C2202" w:rsidRDefault="00DA46A9">
      <w:pPr>
        <w:spacing w:after="120" w:line="360" w:lineRule="auto"/>
        <w:jc w:val="center"/>
      </w:pPr>
      <w:r>
        <w:rPr>
          <w:rFonts w:ascii="Arial" w:eastAsia="Arial" w:hAnsi="Arial"/>
          <w:noProof/>
          <w:kern w:val="0"/>
        </w:rPr>
        <w:drawing>
          <wp:inline distT="0" distB="0" distL="0" distR="0" wp14:anchorId="33AAF11F" wp14:editId="3FF0F7CC">
            <wp:extent cx="5486400" cy="3200400"/>
            <wp:effectExtent l="0" t="0" r="0" b="0"/>
            <wp:docPr id="1038246954" name="Chart 41" title="Theme prevalence"/>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7C51399" w14:textId="77777777" w:rsidR="000C2202" w:rsidRDefault="00DA46A9">
      <w:pPr>
        <w:spacing w:after="240" w:line="360" w:lineRule="auto"/>
        <w:jc w:val="center"/>
      </w:pPr>
      <w:r>
        <w:rPr>
          <w:rFonts w:ascii="Arial" w:eastAsia="Arial" w:hAnsi="Arial"/>
          <w:i/>
          <w:color w:val="595959"/>
          <w:kern w:val="0"/>
        </w:rPr>
        <w:t xml:space="preserve">Figure 4.1: Theme prevalence across the 75-source corpus (number of sources coded to each theme). </w:t>
      </w:r>
    </w:p>
    <w:p w14:paraId="3E8DC3ED" w14:textId="77777777" w:rsidR="000C2202" w:rsidRDefault="00DA46A9">
      <w:pPr>
        <w:keepNext/>
        <w:keepLines/>
        <w:spacing w:before="200" w:after="0" w:line="360" w:lineRule="auto"/>
        <w:outlineLvl w:val="1"/>
      </w:pPr>
      <w:bookmarkStart w:id="62" w:name="_Toc235807067"/>
      <w:r>
        <w:rPr>
          <w:rFonts w:ascii="Calibri" w:eastAsia="MS Gothic" w:hAnsi="Calibri"/>
          <w:b/>
          <w:bCs/>
          <w:color w:val="4F81BD"/>
          <w:kern w:val="0"/>
          <w:sz w:val="26"/>
          <w:szCs w:val="26"/>
        </w:rPr>
        <w:t>4.3 Theme 1 — Response Time and 24/7 Availability</w:t>
      </w:r>
      <w:bookmarkEnd w:id="62"/>
    </w:p>
    <w:p w14:paraId="5FA231CA" w14:textId="77777777" w:rsidR="000C2202" w:rsidRDefault="00DA46A9">
      <w:pPr>
        <w:spacing w:after="120" w:line="360" w:lineRule="auto"/>
        <w:jc w:val="both"/>
      </w:pPr>
      <w:r>
        <w:rPr>
          <w:rFonts w:ascii="Arial" w:eastAsia="Arial" w:hAnsi="Arial"/>
          <w:kern w:val="0"/>
          <w:szCs w:val="22"/>
        </w:rPr>
        <w:t>The evidence consistently indicates that Tesco customers appreciate the swiftness and constant presence of AI chatbots in handling transactional queries (Tesco PLC, 2026). Response-time gains are particularly appreciated outside call centre hours of operation – when there is no alternative to a delayed or no response. This is a measure of how responsive the service is in the sense of SERVQUAL as adapted by Chopra, Ranjani and Narsipur (2023) and is in line with the operational-efficiency gains highlighted by Uzoka, Cadet and Ojukwu (2024). A critical tension that the aggregate literature underemphasises, however, is the need for a resolution for fast response time to be a satisfaction-enhancing characteristic. The review sub-corpus contains repeated cases of the chatbot receiving questions and responding quickly but still providing a template acknowledgement, not a resolution, as noted by Shahbandi (2025) that no matter how quickly a bot responds, when the complexity of a query increases, they further go on to say that they will not increase satisfaction. The implication is that responses in a chatbot setting should be evaluated on two dimensions: latency and resolution, as Chapter 2 suggested. The 24/7 element is also more important for Tesco, as the time of delivery and substitutions when products are out of stock is important in the grocery business, whereas this is less pronounced in banking or telecoms.</w:t>
      </w:r>
    </w:p>
    <w:p w14:paraId="6C5CF24A" w14:textId="77777777" w:rsidR="000C2202" w:rsidRDefault="00DA46A9">
      <w:pPr>
        <w:spacing w:after="240" w:line="360" w:lineRule="auto"/>
        <w:jc w:val="center"/>
      </w:pPr>
      <w:r>
        <w:rPr>
          <w:rFonts w:ascii="Arial" w:eastAsia="Arial" w:hAnsi="Arial"/>
          <w:i/>
          <w:noProof/>
          <w:color w:val="595959"/>
          <w:kern w:val="0"/>
        </w:rPr>
        <w:drawing>
          <wp:inline distT="0" distB="0" distL="0" distR="0" wp14:anchorId="1A5F162B" wp14:editId="4CE226EB">
            <wp:extent cx="5943600" cy="3648712"/>
            <wp:effectExtent l="0" t="0" r="0" b="8888"/>
            <wp:docPr id="76375520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648712"/>
                    </a:xfrm>
                    <a:prstGeom prst="rect">
                      <a:avLst/>
                    </a:prstGeom>
                    <a:noFill/>
                    <a:ln>
                      <a:noFill/>
                      <a:prstDash/>
                    </a:ln>
                  </pic:spPr>
                </pic:pic>
              </a:graphicData>
            </a:graphic>
          </wp:inline>
        </w:drawing>
      </w:r>
    </w:p>
    <w:p w14:paraId="44C7EDE7" w14:textId="77777777" w:rsidR="000C2202" w:rsidRDefault="00DA46A9">
      <w:pPr>
        <w:spacing w:after="240" w:line="360" w:lineRule="auto"/>
        <w:jc w:val="center"/>
      </w:pPr>
      <w:r>
        <w:rPr>
          <w:rFonts w:ascii="Arial" w:eastAsia="Arial" w:hAnsi="Arial"/>
          <w:i/>
          <w:color w:val="595959"/>
          <w:kern w:val="0"/>
        </w:rPr>
        <w:t>Table 4.2: Coded-evidence distribution across the five themes and the four source streams (row totals shown).</w:t>
      </w:r>
    </w:p>
    <w:p w14:paraId="44FE9BD9" w14:textId="77777777" w:rsidR="000C2202" w:rsidRDefault="00DA46A9">
      <w:pPr>
        <w:keepNext/>
        <w:keepLines/>
        <w:spacing w:before="200" w:after="0" w:line="360" w:lineRule="auto"/>
        <w:outlineLvl w:val="1"/>
      </w:pPr>
      <w:bookmarkStart w:id="63" w:name="_Toc235807068"/>
      <w:r>
        <w:rPr>
          <w:rFonts w:ascii="Calibri" w:eastAsia="MS Gothic" w:hAnsi="Calibri"/>
          <w:b/>
          <w:bCs/>
          <w:color w:val="4F81BD"/>
          <w:kern w:val="0"/>
          <w:sz w:val="26"/>
          <w:szCs w:val="26"/>
        </w:rPr>
        <w:t>4.4 Theme 2 — Accuracy, Reliability and Query Complexity</w:t>
      </w:r>
      <w:bookmarkEnd w:id="63"/>
    </w:p>
    <w:p w14:paraId="76ADA101" w14:textId="77777777" w:rsidR="000C2202" w:rsidRDefault="00DA46A9">
      <w:pPr>
        <w:spacing w:after="120" w:line="360" w:lineRule="auto"/>
        <w:jc w:val="both"/>
      </w:pPr>
      <w:r>
        <w:rPr>
          <w:rFonts w:ascii="Arial" w:eastAsia="Arial" w:hAnsi="Arial"/>
          <w:kern w:val="0"/>
          <w:szCs w:val="22"/>
        </w:rPr>
        <w:t>The two factors that differentiated between satisfaction and dissatisfaction the most were accuracy and query complexity. In the case of simple and structured queries (like order status, store hours, and product location), the accuracy of the chatbot is high and the satisfaction outcomes are positive, which aligns with the satisfaction-continuance path proposed by Ashfaq et al. (2020). The more complicated the query is, the more problems will be encountered and the less favourable satisfaction outcomes become -- multi-step returns, substitution disputes, and Clubcard changes. This is quantified in Figure 4.2, in four bands of queries coded during coding. The literature reviewed does not adequately theorise of this threshold effect in the literature reviewed. Chung et al. (2020) partially predict it in the context of luxury retail, where they find that the concept of brand fit can explain the role of human agents. Human agents are more relevant in grocery; however, as Shahbandi (2025) suggests, once customer queries reach a certain complexity, that preference switches back to human agents. It seems this is lower for groceries than banking or hospitality: a simple-looking delivery slot gets complicated when it concerns a substitution or refund. This finding hones the pathway the authors suggest in Figure 2.1: query complexity does not equal difficulty; it equals the query topology for groceries in the UK, which is high time-sensitivity and low fault-tolerance. The descriptive difference between simple and complex query classes in Figure 4.2 exceeds one point on the −1 to +1 scale; however, it should be interpreted as a corpus-specific pattern rather than an inferential statistical effect, which provides descriptive support for the interpretation that the moderating variable is grocery-specific query topology.</w:t>
      </w:r>
    </w:p>
    <w:p w14:paraId="7E06A702" w14:textId="77777777" w:rsidR="000C2202" w:rsidRDefault="00DA46A9">
      <w:pPr>
        <w:spacing w:after="120" w:line="360" w:lineRule="auto"/>
        <w:jc w:val="center"/>
      </w:pPr>
      <w:r>
        <w:rPr>
          <w:rFonts w:ascii="Arial" w:eastAsia="Arial" w:hAnsi="Arial"/>
          <w:noProof/>
          <w:kern w:val="0"/>
        </w:rPr>
        <w:drawing>
          <wp:inline distT="0" distB="0" distL="0" distR="0" wp14:anchorId="1AFBE129" wp14:editId="4BF9A8ED">
            <wp:extent cx="5486400" cy="3018791"/>
            <wp:effectExtent l="0" t="0" r="0" b="0"/>
            <wp:docPr id="1278679448" name="Chart 42" title="Satisfaction by query type"/>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041FD79" w14:textId="77777777" w:rsidR="000C2202" w:rsidRDefault="00DA46A9">
      <w:pPr>
        <w:spacing w:after="240" w:line="360" w:lineRule="auto"/>
        <w:jc w:val="center"/>
      </w:pPr>
      <w:r>
        <w:rPr>
          <w:rFonts w:ascii="Arial" w:eastAsia="Arial" w:hAnsi="Arial"/>
          <w:i/>
          <w:color w:val="595959"/>
          <w:kern w:val="0"/>
        </w:rPr>
        <w:t>Figure 4.2: Net satisfaction score by query type (author’s coding, scale −1 to +1). Simple informational queries perform strongly; complex complaints drive strongly negative outcomes.</w:t>
      </w:r>
    </w:p>
    <w:p w14:paraId="5EA5EDA3" w14:textId="77777777" w:rsidR="000C2202" w:rsidRDefault="00DA46A9">
      <w:pPr>
        <w:keepNext/>
        <w:keepLines/>
        <w:spacing w:before="200" w:after="0" w:line="360" w:lineRule="auto"/>
        <w:outlineLvl w:val="1"/>
      </w:pPr>
      <w:bookmarkStart w:id="64" w:name="_Toc235807069"/>
      <w:r>
        <w:rPr>
          <w:rFonts w:ascii="Calibri" w:eastAsia="MS Gothic" w:hAnsi="Calibri"/>
          <w:b/>
          <w:bCs/>
          <w:color w:val="4F81BD"/>
          <w:kern w:val="0"/>
          <w:sz w:val="26"/>
          <w:szCs w:val="26"/>
        </w:rPr>
        <w:t>4.5 Theme 3 — Trust, Data Privacy and Perceived Empathy</w:t>
      </w:r>
      <w:bookmarkEnd w:id="64"/>
    </w:p>
    <w:p w14:paraId="1E9A6886" w14:textId="77777777" w:rsidR="000C2202" w:rsidRDefault="00DA46A9">
      <w:pPr>
        <w:spacing w:after="120" w:line="360" w:lineRule="auto"/>
        <w:jc w:val="both"/>
        <w:rPr>
          <w:rFonts w:ascii="Arial" w:eastAsia="Arial" w:hAnsi="Arial"/>
          <w:kern w:val="0"/>
        </w:rPr>
      </w:pPr>
      <w:r>
        <w:rPr>
          <w:rFonts w:ascii="Arial" w:eastAsia="Arial" w:hAnsi="Arial"/>
          <w:kern w:val="0"/>
        </w:rPr>
        <w:t>Trust is a compound antecedent, comprising three sub-currents: trust in accuracy, trust in data handling, and trust in the empathy signal. These are discussed as a single construct in the literature, closest to breaking them down into the anthropomorphism dimension being differentiated by Sheehan, Jin and Gottlieb (2020); however, the Tesco corpus suggests they are empirically distinct. The question complexity dynamics in Theme 2 remove much of the problem of trust and trust in accuracy. In the context of Tesco, the level of trust is exceptionally high, as it has a long history of visible data use with the Clubcard, and the corpus indicates that this trust is carried over to the chatbot channel, the latter being a boundary condition that the TAM-privacy extension by Ashfaq et al. (2020) does not predict for the retail sector. But there is a general lack of trust in the empathy signal, as outlined in the Chapter 2 critique that the empathy of a chatbot is reduced to lexical mimicry. Review evidence shows that when a chatbot fails to complete the substitution, and it renders the family meal "spoilt", the customer explicitly mentions the mismatch in tone. This confirms the hypothesis that the empathy dimension of SERVQUAL needs to be reconstructed before it can be applied in the service provided by chatbots. The corpus clearly shows that when it comes to lexical mimicry (e.g., 'I understand this must be frustrating'), it is not neutral but is even counter-productive when it comes to a service failure; it indicates that the system has detected a problem but has no means of solving it. The purpose of the framework re-specification in Table 4.3 is to highlight this asymmetry between recognition and action that is the particular mechanism by which the empathy channel produces dissatisfaction. One of the study's original theoretical contributions, the three-channel disaggregation, is formalised in terms of a framework re-specification in Table 4.3.</w:t>
      </w:r>
    </w:p>
    <w:p w14:paraId="24A89C25" w14:textId="77777777" w:rsidR="000C2202" w:rsidRDefault="00DA46A9">
      <w:pPr>
        <w:spacing w:after="240" w:line="360" w:lineRule="auto"/>
        <w:jc w:val="center"/>
      </w:pPr>
      <w:r>
        <w:rPr>
          <w:rFonts w:ascii="Arial" w:eastAsia="Arial" w:hAnsi="Arial"/>
          <w:i/>
          <w:noProof/>
          <w:kern w:val="0"/>
          <w:szCs w:val="22"/>
        </w:rPr>
        <w:drawing>
          <wp:inline distT="0" distB="0" distL="0" distR="0" wp14:anchorId="43D26D6E" wp14:editId="7ABCECEC">
            <wp:extent cx="5934904" cy="2600690"/>
            <wp:effectExtent l="0" t="0" r="8696" b="9160"/>
            <wp:docPr id="134592824"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34904" cy="2600690"/>
                    </a:xfrm>
                    <a:prstGeom prst="rect">
                      <a:avLst/>
                    </a:prstGeom>
                    <a:noFill/>
                    <a:ln>
                      <a:noFill/>
                      <a:prstDash/>
                    </a:ln>
                  </pic:spPr>
                </pic:pic>
              </a:graphicData>
            </a:graphic>
          </wp:inline>
        </w:drawing>
      </w:r>
    </w:p>
    <w:p w14:paraId="737B0B82" w14:textId="77777777" w:rsidR="000C2202" w:rsidRDefault="00DA46A9">
      <w:pPr>
        <w:spacing w:after="240" w:line="360" w:lineRule="auto"/>
        <w:jc w:val="center"/>
      </w:pPr>
      <w:r>
        <w:rPr>
          <w:rFonts w:ascii="Arial" w:eastAsia="Arial" w:hAnsi="Arial"/>
          <w:i/>
          <w:kern w:val="0"/>
          <w:szCs w:val="22"/>
        </w:rPr>
        <w:t>Table 4.3: Trust as three parallel channels — evidence-informed re-specification of the trust pathway in Figure 2.1.</w:t>
      </w:r>
    </w:p>
    <w:p w14:paraId="527572C9" w14:textId="77777777" w:rsidR="000C2202" w:rsidRDefault="00DA46A9">
      <w:pPr>
        <w:keepNext/>
        <w:keepLines/>
        <w:spacing w:before="200" w:after="0" w:line="360" w:lineRule="auto"/>
        <w:outlineLvl w:val="1"/>
      </w:pPr>
      <w:bookmarkStart w:id="65" w:name="_Toc235807070"/>
      <w:r>
        <w:rPr>
          <w:rFonts w:ascii="Calibri" w:eastAsia="MS Gothic" w:hAnsi="Calibri"/>
          <w:b/>
          <w:bCs/>
          <w:color w:val="4F81BD"/>
          <w:kern w:val="0"/>
          <w:sz w:val="26"/>
          <w:szCs w:val="26"/>
        </w:rPr>
        <w:t>4.6 Theme 4 — Human Handover and Escalation Friction</w:t>
      </w:r>
      <w:bookmarkEnd w:id="65"/>
    </w:p>
    <w:p w14:paraId="7EC16CE5" w14:textId="77777777" w:rsidR="000C2202" w:rsidRDefault="00DA46A9">
      <w:pPr>
        <w:spacing w:after="120" w:line="360" w:lineRule="auto"/>
        <w:jc w:val="both"/>
      </w:pPr>
      <w:r>
        <w:rPr>
          <w:rFonts w:ascii="Arial" w:eastAsia="Arial" w:hAnsi="Arial"/>
          <w:kern w:val="0"/>
          <w:szCs w:val="22"/>
        </w:rPr>
        <w:t>The strongest concentration for dissatisfaction in the corpus is the handover interface between the chatbot and the human agent. The pattern that repeatedly appears when reviewing evidence is that the chatbot is able to address the initial query stage fairly well but is unable to escalate a complex sub-issue or escalates to a human agent who lacks the context of the conversation and requires the customer to repeat their query. This failure mode is repeated and returns an objective cost that is likely to diminish customer satisfaction, notably if it occurs when a customer is asking a time-sensitive question related to grocery shopping. The continuum of AI-employee service that Prentice and Nguyen (2020) suggest does not involve a satisfaction-diminishing process per se, but rather a technology-integration challenge. The corpus indicates that escalation friction is considered a separate pathway rather than a subcase of accuracy. The theoretical implication for the Figure 2.1 framework is that a chatbot capability is only satisfaction-enhancing to the extent that it maintains conversational continuity; that is, a bot that can answer well but hand off poorly is potentially less satisfaction-enhancing than a well-designed human-first pathway – an argument that is systematically obscured by the market-orientated positive conclusions cited by Uzoka, Cadet and Ojukwu (2024). Escalation friction is most frequently associated with churn-signalling language (customers saying they will switch to a competitor or discontinue online delivery) in the corpus, whereas speed dissatisfaction and accuracy dissatisfaction are not as strong. Once again, the magnitude of this signal is what drives the recommendations in Chapter 5 on the nature of the handover architecture.</w:t>
      </w:r>
    </w:p>
    <w:p w14:paraId="5D7B9243" w14:textId="77777777" w:rsidR="000C2202" w:rsidRDefault="00DA46A9">
      <w:pPr>
        <w:keepNext/>
        <w:keepLines/>
        <w:spacing w:before="200" w:after="0" w:line="360" w:lineRule="auto"/>
        <w:outlineLvl w:val="1"/>
      </w:pPr>
      <w:bookmarkStart w:id="66" w:name="_Toc235807071"/>
      <w:r>
        <w:rPr>
          <w:rFonts w:ascii="Calibri" w:eastAsia="MS Gothic" w:hAnsi="Calibri"/>
          <w:b/>
          <w:bCs/>
          <w:color w:val="4F81BD"/>
          <w:kern w:val="0"/>
          <w:sz w:val="26"/>
          <w:szCs w:val="26"/>
        </w:rPr>
        <w:t>4.7 Theme 5 — Personalisation and the Generative-AI Shift</w:t>
      </w:r>
      <w:bookmarkEnd w:id="66"/>
    </w:p>
    <w:p w14:paraId="68A704F4" w14:textId="77777777" w:rsidR="000C2202" w:rsidRDefault="00DA46A9">
      <w:pPr>
        <w:spacing w:after="120" w:line="360" w:lineRule="auto"/>
        <w:jc w:val="both"/>
      </w:pPr>
      <w:r>
        <w:rPr>
          <w:rFonts w:ascii="Arial" w:eastAsia="Arial" w:hAnsi="Arial"/>
          <w:kern w:val="0"/>
          <w:szCs w:val="22"/>
        </w:rPr>
        <w:t>The final theme is on the emergent effect of the transition to generative AI at Tesco (Tesco PLC, 2026). The previous generation of chatbots (up until 2024) relied heavily on rule-based dialogue trees, and customer expectation was similarly set: customers spoke to the bot as they would use a search engine instead of a service agent. The 2026 assistant, based on a generative architecture, may be producing a step-change in expectation. The evidence indicates that customers increasingly expect the assistant to be able to remember previous interactions, understand context across turns, and personalise responses to their household situation in late 2025 and early 2026. If these expectations are fulfilled, satisfaction ratings may increase; if they are not, the level of dissatisfaction may be greater than under the previous generation, because the expectations of ability are violated and then not met. This coincides directly with Melián-González, Gutiérrez-Taño and Bulchand-Gidumal (2021) who argue that trust and previous experience play a crucial role in technology acceptance that the base TAM does not explain. Figure 4.3 illustrates the split on the five themes and clarifies the asymmetry during the transition: Themes 1, 2 and 5 have the most positive sentiment shares, while Theme 4 has the most negative sentiment share for data handling, and Theme 3 has a split with both positive sentiment for data handling and negative for empathy. The evidence suggests that Tesco is in a high-risk transition period because current capability has now surpassed the customer's mental model, and this may influence of satisfaction. Any static satisfaction score determined on the current deployment is thus a compound of capability and expectation drift, not one of these two factors alone, and should be interpreted accordingly when used to guide managerial decisions.</w:t>
      </w:r>
    </w:p>
    <w:p w14:paraId="6A760511" w14:textId="77777777" w:rsidR="000C2202" w:rsidRDefault="00DA46A9">
      <w:pPr>
        <w:spacing w:after="120" w:line="360" w:lineRule="auto"/>
        <w:jc w:val="center"/>
      </w:pPr>
      <w:r>
        <w:rPr>
          <w:rFonts w:ascii="Arial" w:eastAsia="Arial" w:hAnsi="Arial"/>
          <w:noProof/>
          <w:kern w:val="0"/>
        </w:rPr>
        <w:drawing>
          <wp:inline distT="0" distB="0" distL="0" distR="0" wp14:anchorId="3CDA2361" wp14:editId="178C0DA4">
            <wp:extent cx="5486400" cy="3200400"/>
            <wp:effectExtent l="0" t="0" r="0" b="0"/>
            <wp:docPr id="693600914" name="Chart 43" title="Sentiment per theme"/>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CAD43C1" w14:textId="77777777" w:rsidR="000C2202" w:rsidRDefault="00DA46A9">
      <w:pPr>
        <w:spacing w:after="240" w:line="360" w:lineRule="auto"/>
        <w:jc w:val="center"/>
      </w:pPr>
      <w:r>
        <w:rPr>
          <w:rFonts w:ascii="Arial" w:eastAsia="Arial" w:hAnsi="Arial"/>
          <w:i/>
          <w:color w:val="595959"/>
          <w:kern w:val="0"/>
        </w:rPr>
        <w:t>Figure 4.3: Sentiment distribution across the five themes (positive / mixed / negative citations, coded from the 75-source corpus).</w:t>
      </w:r>
    </w:p>
    <w:p w14:paraId="2E0D1024" w14:textId="77777777" w:rsidR="000C2202" w:rsidRDefault="00DA46A9">
      <w:pPr>
        <w:keepNext/>
        <w:keepLines/>
        <w:spacing w:before="200" w:after="0" w:line="360" w:lineRule="auto"/>
        <w:outlineLvl w:val="1"/>
      </w:pPr>
      <w:bookmarkStart w:id="67" w:name="_Toc235807072"/>
      <w:r>
        <w:rPr>
          <w:rFonts w:ascii="Calibri" w:eastAsia="MS Gothic" w:hAnsi="Calibri"/>
          <w:b/>
          <w:bCs/>
          <w:color w:val="4F81BD"/>
          <w:kern w:val="0"/>
          <w:sz w:val="26"/>
          <w:szCs w:val="26"/>
        </w:rPr>
        <w:t>4.8 Cross-Theme Discussion — Answering the Research Questions</w:t>
      </w:r>
      <w:bookmarkEnd w:id="67"/>
    </w:p>
    <w:p w14:paraId="4631046D" w14:textId="77777777" w:rsidR="000C2202" w:rsidRDefault="00DA46A9">
      <w:pPr>
        <w:spacing w:after="120" w:line="360" w:lineRule="auto"/>
        <w:jc w:val="both"/>
        <w:rPr>
          <w:rFonts w:ascii="Arial" w:eastAsia="Arial" w:hAnsi="Arial"/>
          <w:kern w:val="0"/>
        </w:rPr>
      </w:pPr>
      <w:r>
        <w:rPr>
          <w:rFonts w:ascii="Arial" w:eastAsia="Arial" w:hAnsi="Arial"/>
          <w:kern w:val="0"/>
        </w:rPr>
        <w:t>The themes are brought together, and direct answers to the three research questions can now be given, which are summarised in Table 4.1.</w:t>
      </w:r>
    </w:p>
    <w:p w14:paraId="6183B126" w14:textId="77777777" w:rsidR="000C2202" w:rsidRDefault="00DA46A9">
      <w:pPr>
        <w:spacing w:after="120" w:line="360" w:lineRule="auto"/>
        <w:jc w:val="both"/>
        <w:rPr>
          <w:rFonts w:ascii="Arial" w:eastAsia="Arial" w:hAnsi="Arial"/>
          <w:kern w:val="0"/>
        </w:rPr>
      </w:pPr>
      <w:r>
        <w:rPr>
          <w:rFonts w:ascii="Arial" w:eastAsia="Arial" w:hAnsi="Arial"/>
          <w:kern w:val="0"/>
        </w:rPr>
        <w:t>RQ1 (Role of chatbots): The findings indicated that the chatbots were used in three partly overlapping roles at Tesco: first line of query triage for transactional-type queries, out-of-hours agent replacement and an emerging personalisation layer in the generative AI configuration. The relative importance of these roles is changing quite rapidly, with the personalisation role gaining importance during 2025-2026.</w:t>
      </w:r>
    </w:p>
    <w:p w14:paraId="142FD9B2" w14:textId="77777777" w:rsidR="000C2202" w:rsidRDefault="00DA46A9">
      <w:pPr>
        <w:spacing w:after="120" w:line="360" w:lineRule="auto"/>
        <w:jc w:val="both"/>
        <w:rPr>
          <w:rFonts w:ascii="Arial" w:eastAsia="Arial" w:hAnsi="Arial"/>
          <w:kern w:val="0"/>
        </w:rPr>
      </w:pPr>
      <w:r>
        <w:rPr>
          <w:rFonts w:ascii="Arial" w:eastAsia="Arial" w:hAnsi="Arial"/>
          <w:kern w:val="0"/>
        </w:rPr>
        <w:t>RQ2 (impact on satisfaction): The impact is not uniformly positive. The gains in speed and convenience have real value but depend on the type of query; the perception of service quality is mixed – response time and accuracy are strong, but empathy signals are weak and handover friction is present; see Figure 4.2. Unlike the sectors with positive findings, the query-mix weighted average for aggregate satisfaction is unfavourable to the service being mediated by a chatbot in the context of grocery shopping in the UK.</w:t>
      </w:r>
    </w:p>
    <w:p w14:paraId="0ABF41CE" w14:textId="77777777" w:rsidR="000C2202" w:rsidRDefault="00DA46A9">
      <w:pPr>
        <w:spacing w:after="120" w:line="360" w:lineRule="auto"/>
        <w:jc w:val="both"/>
      </w:pPr>
      <w:r>
        <w:rPr>
          <w:rFonts w:ascii="Arial" w:eastAsia="Arial" w:hAnsi="Arial"/>
          <w:kern w:val="0"/>
          <w:szCs w:val="22"/>
        </w:rPr>
        <w:t>RQ3 (benefits and limitations): Benefits centre on transactional response speed, 24/7 availability, operational scalability and emerging personalisation. Limitations centre on complex-query handling, escalation friction and the authenticity of empathy signals. These limitations appear structural because they arise from the relationship between chatbot capability and the query topology of UK grocery retail.</w:t>
      </w:r>
    </w:p>
    <w:tbl>
      <w:tblPr>
        <w:tblW w:w="9200" w:type="dxa"/>
        <w:jc w:val="center"/>
        <w:tblCellMar>
          <w:left w:w="10" w:type="dxa"/>
          <w:right w:w="10" w:type="dxa"/>
        </w:tblCellMar>
        <w:tblLook w:val="0000" w:firstRow="0" w:lastRow="0" w:firstColumn="0" w:lastColumn="0" w:noHBand="0" w:noVBand="0"/>
      </w:tblPr>
      <w:tblGrid>
        <w:gridCol w:w="1600"/>
        <w:gridCol w:w="2400"/>
        <w:gridCol w:w="5200"/>
      </w:tblGrid>
      <w:tr w:rsidR="000C2202" w14:paraId="4B7E5A73" w14:textId="77777777">
        <w:trPr>
          <w:jc w:val="center"/>
        </w:trPr>
        <w:tc>
          <w:tcPr>
            <w:tcW w:w="16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vAlign w:val="center"/>
          </w:tcPr>
          <w:p w14:paraId="664C41E4" w14:textId="77777777" w:rsidR="000C2202" w:rsidRDefault="00DA46A9">
            <w:pPr>
              <w:spacing w:before="40" w:after="40" w:line="360" w:lineRule="auto"/>
              <w:jc w:val="center"/>
            </w:pPr>
            <w:r>
              <w:rPr>
                <w:rFonts w:ascii="Arial" w:eastAsia="Arial" w:hAnsi="Arial"/>
                <w:b/>
                <w:color w:val="FFFFFF"/>
                <w:kern w:val="0"/>
              </w:rPr>
              <w:t>Research Question</w:t>
            </w:r>
          </w:p>
        </w:tc>
        <w:tc>
          <w:tcPr>
            <w:tcW w:w="24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vAlign w:val="center"/>
          </w:tcPr>
          <w:p w14:paraId="1688C1AA" w14:textId="77777777" w:rsidR="000C2202" w:rsidRDefault="00DA46A9">
            <w:pPr>
              <w:spacing w:before="40" w:after="40" w:line="360" w:lineRule="auto"/>
              <w:jc w:val="center"/>
            </w:pPr>
            <w:r>
              <w:rPr>
                <w:rFonts w:ascii="Arial" w:eastAsia="Arial" w:hAnsi="Arial"/>
                <w:b/>
                <w:color w:val="FFFFFF"/>
                <w:kern w:val="0"/>
              </w:rPr>
              <w:t>Themes engaged</w:t>
            </w:r>
          </w:p>
        </w:tc>
        <w:tc>
          <w:tcPr>
            <w:tcW w:w="52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vAlign w:val="center"/>
          </w:tcPr>
          <w:p w14:paraId="177A5793" w14:textId="77777777" w:rsidR="000C2202" w:rsidRDefault="00DA46A9">
            <w:pPr>
              <w:spacing w:before="40" w:after="40" w:line="360" w:lineRule="auto"/>
              <w:jc w:val="center"/>
            </w:pPr>
            <w:r>
              <w:rPr>
                <w:rFonts w:ascii="Arial" w:eastAsia="Arial" w:hAnsi="Arial"/>
                <w:b/>
                <w:color w:val="FFFFFF"/>
                <w:kern w:val="0"/>
              </w:rPr>
              <w:t>Headline finding</w:t>
            </w:r>
          </w:p>
        </w:tc>
      </w:tr>
      <w:tr w:rsidR="000C2202" w14:paraId="48AEA399" w14:textId="77777777">
        <w:trPr>
          <w:jc w:val="center"/>
        </w:trPr>
        <w:tc>
          <w:tcPr>
            <w:tcW w:w="1600"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4960C285" w14:textId="77777777" w:rsidR="000C2202" w:rsidRDefault="00DA46A9">
            <w:pPr>
              <w:spacing w:before="40" w:after="40" w:line="360" w:lineRule="auto"/>
              <w:jc w:val="center"/>
            </w:pPr>
            <w:r>
              <w:rPr>
                <w:rFonts w:ascii="Arial" w:eastAsia="Arial" w:hAnsi="Arial"/>
                <w:b/>
                <w:color w:val="000000"/>
                <w:kern w:val="0"/>
              </w:rPr>
              <w:t>RQ1</w:t>
            </w:r>
          </w:p>
          <w:p w14:paraId="201352DE" w14:textId="77777777" w:rsidR="000C2202" w:rsidRDefault="00DA46A9">
            <w:pPr>
              <w:spacing w:before="40" w:after="40" w:line="360" w:lineRule="auto"/>
              <w:jc w:val="center"/>
            </w:pPr>
            <w:r>
              <w:rPr>
                <w:rFonts w:ascii="Arial" w:eastAsia="Arial" w:hAnsi="Arial"/>
                <w:i/>
                <w:color w:val="000000"/>
                <w:kern w:val="0"/>
                <w:sz w:val="18"/>
              </w:rPr>
              <w:t>role of chatbots at Tesco</w:t>
            </w:r>
          </w:p>
        </w:tc>
        <w:tc>
          <w:tcPr>
            <w:tcW w:w="24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05ECD5E" w14:textId="77777777" w:rsidR="000C2202" w:rsidRDefault="00DA46A9">
            <w:pPr>
              <w:spacing w:before="40" w:after="40" w:line="360" w:lineRule="auto"/>
            </w:pPr>
            <w:r>
              <w:rPr>
                <w:rFonts w:ascii="Arial" w:eastAsia="Arial" w:hAnsi="Arial"/>
                <w:color w:val="000000"/>
                <w:kern w:val="0"/>
                <w:sz w:val="20"/>
              </w:rPr>
              <w:t>T1 (response), T5 (personalisation)</w:t>
            </w:r>
          </w:p>
        </w:tc>
        <w:tc>
          <w:tcPr>
            <w:tcW w:w="5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FF943E5" w14:textId="77777777" w:rsidR="000C2202" w:rsidRDefault="00DA46A9">
            <w:pPr>
              <w:spacing w:before="40" w:after="40" w:line="360" w:lineRule="auto"/>
            </w:pPr>
            <w:r>
              <w:rPr>
                <w:rFonts w:ascii="Arial" w:eastAsia="Arial" w:hAnsi="Arial"/>
                <w:color w:val="000000"/>
                <w:kern w:val="0"/>
                <w:sz w:val="20"/>
              </w:rPr>
              <w:t>Three overlapping roles: transactional triage, out-of-hours coverage, and an emergent personalisation layer under the 2026 generative-AI configuration.</w:t>
            </w:r>
          </w:p>
        </w:tc>
      </w:tr>
      <w:tr w:rsidR="000C2202" w14:paraId="716E23DD" w14:textId="77777777">
        <w:trPr>
          <w:jc w:val="center"/>
        </w:trPr>
        <w:tc>
          <w:tcPr>
            <w:tcW w:w="1600"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6EC704B6" w14:textId="77777777" w:rsidR="000C2202" w:rsidRDefault="00DA46A9">
            <w:pPr>
              <w:spacing w:before="40" w:after="40" w:line="360" w:lineRule="auto"/>
              <w:jc w:val="center"/>
            </w:pPr>
            <w:r>
              <w:rPr>
                <w:rFonts w:ascii="Arial" w:eastAsia="Arial" w:hAnsi="Arial"/>
                <w:b/>
                <w:color w:val="000000"/>
                <w:kern w:val="0"/>
              </w:rPr>
              <w:t>RQ2</w:t>
            </w:r>
          </w:p>
          <w:p w14:paraId="640CBC0A" w14:textId="77777777" w:rsidR="000C2202" w:rsidRDefault="00DA46A9">
            <w:pPr>
              <w:spacing w:before="40" w:after="40" w:line="360" w:lineRule="auto"/>
              <w:jc w:val="center"/>
            </w:pPr>
            <w:r>
              <w:rPr>
                <w:rFonts w:ascii="Arial" w:eastAsia="Arial" w:hAnsi="Arial"/>
                <w:i/>
                <w:color w:val="000000"/>
                <w:kern w:val="0"/>
                <w:sz w:val="18"/>
              </w:rPr>
              <w:t>impact on satisfaction</w:t>
            </w:r>
          </w:p>
        </w:tc>
        <w:tc>
          <w:tcPr>
            <w:tcW w:w="24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796CA7C" w14:textId="77777777" w:rsidR="000C2202" w:rsidRDefault="00DA46A9">
            <w:pPr>
              <w:spacing w:before="40" w:after="40" w:line="360" w:lineRule="auto"/>
            </w:pPr>
            <w:r>
              <w:rPr>
                <w:rFonts w:ascii="Arial" w:eastAsia="Arial" w:hAnsi="Arial"/>
                <w:color w:val="000000"/>
                <w:kern w:val="0"/>
                <w:sz w:val="20"/>
              </w:rPr>
              <w:t>T1, T2 (accuracy), T3 (trust and empathy)</w:t>
            </w:r>
          </w:p>
        </w:tc>
        <w:tc>
          <w:tcPr>
            <w:tcW w:w="5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EE2E4BE" w14:textId="77777777" w:rsidR="000C2202" w:rsidRDefault="00DA46A9">
            <w:pPr>
              <w:spacing w:before="40" w:after="40" w:line="360" w:lineRule="auto"/>
            </w:pPr>
            <w:r>
              <w:rPr>
                <w:rFonts w:ascii="Arial" w:eastAsia="Arial" w:hAnsi="Arial"/>
                <w:color w:val="000000"/>
                <w:kern w:val="0"/>
                <w:sz w:val="20"/>
              </w:rPr>
              <w:t>Impact is conditional, not uniform. Speed and convenience gains are real but weighted by query mix; UK grocery’s query mix is materially unfavourable relative to sectors where positive findings dominate.</w:t>
            </w:r>
          </w:p>
        </w:tc>
      </w:tr>
      <w:tr w:rsidR="000C2202" w14:paraId="7C1BC76B" w14:textId="77777777">
        <w:trPr>
          <w:jc w:val="center"/>
        </w:trPr>
        <w:tc>
          <w:tcPr>
            <w:tcW w:w="1600"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2962C322" w14:textId="77777777" w:rsidR="000C2202" w:rsidRDefault="00DA46A9">
            <w:pPr>
              <w:spacing w:before="40" w:after="40" w:line="360" w:lineRule="auto"/>
              <w:jc w:val="center"/>
            </w:pPr>
            <w:r>
              <w:rPr>
                <w:rFonts w:ascii="Arial" w:eastAsia="Arial" w:hAnsi="Arial"/>
                <w:b/>
                <w:color w:val="000000"/>
                <w:kern w:val="0"/>
              </w:rPr>
              <w:t>RQ3</w:t>
            </w:r>
          </w:p>
          <w:p w14:paraId="4CE4ADC4" w14:textId="77777777" w:rsidR="000C2202" w:rsidRDefault="00DA46A9">
            <w:pPr>
              <w:spacing w:before="40" w:after="40" w:line="360" w:lineRule="auto"/>
              <w:jc w:val="center"/>
            </w:pPr>
            <w:r>
              <w:rPr>
                <w:rFonts w:ascii="Arial" w:eastAsia="Arial" w:hAnsi="Arial"/>
                <w:i/>
                <w:color w:val="000000"/>
                <w:kern w:val="0"/>
                <w:sz w:val="18"/>
              </w:rPr>
              <w:t>benefits and limitations</w:t>
            </w:r>
          </w:p>
        </w:tc>
        <w:tc>
          <w:tcPr>
            <w:tcW w:w="24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BEB1DCD" w14:textId="77777777" w:rsidR="000C2202" w:rsidRDefault="00DA46A9">
            <w:pPr>
              <w:spacing w:before="40" w:after="40" w:line="360" w:lineRule="auto"/>
            </w:pPr>
            <w:r>
              <w:rPr>
                <w:rFonts w:ascii="Arial" w:eastAsia="Arial" w:hAnsi="Arial"/>
                <w:color w:val="000000"/>
                <w:kern w:val="0"/>
                <w:sz w:val="20"/>
              </w:rPr>
              <w:t>T1, T2, T3, T4 (handover), T5</w:t>
            </w:r>
          </w:p>
        </w:tc>
        <w:tc>
          <w:tcPr>
            <w:tcW w:w="5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5E34D5E" w14:textId="77777777" w:rsidR="000C2202" w:rsidRDefault="00DA46A9">
            <w:pPr>
              <w:spacing w:before="40" w:after="40" w:line="360" w:lineRule="auto"/>
            </w:pPr>
            <w:r>
              <w:rPr>
                <w:rFonts w:ascii="Arial" w:eastAsia="Arial" w:hAnsi="Arial"/>
                <w:color w:val="000000"/>
                <w:kern w:val="0"/>
                <w:sz w:val="20"/>
              </w:rPr>
              <w:t>Benefits: transactional speed, 24/7 availability, scalability, early personalisation. Limitations: complex-query handling, escalation friction, empathy-signal authenticity — structural rather than incidental.</w:t>
            </w:r>
          </w:p>
        </w:tc>
      </w:tr>
    </w:tbl>
    <w:p w14:paraId="50BE3D85" w14:textId="77777777" w:rsidR="000C2202" w:rsidRDefault="00DA46A9">
      <w:pPr>
        <w:spacing w:after="240" w:line="360" w:lineRule="auto"/>
        <w:jc w:val="center"/>
      </w:pPr>
      <w:r>
        <w:rPr>
          <w:rFonts w:ascii="Arial" w:eastAsia="Arial" w:hAnsi="Arial"/>
          <w:i/>
          <w:color w:val="595959"/>
          <w:kern w:val="0"/>
        </w:rPr>
        <w:t>Table 4.1: Findings mapped to the three research questions (author’s synthesis).</w:t>
      </w:r>
    </w:p>
    <w:p w14:paraId="2D4AF581" w14:textId="77777777" w:rsidR="000C2202" w:rsidRDefault="00DA46A9">
      <w:pPr>
        <w:keepNext/>
        <w:keepLines/>
        <w:spacing w:before="200" w:after="0" w:line="360" w:lineRule="auto"/>
        <w:outlineLvl w:val="1"/>
      </w:pPr>
      <w:bookmarkStart w:id="68" w:name="_Toc235807073"/>
      <w:r>
        <w:rPr>
          <w:rFonts w:ascii="Calibri" w:eastAsia="MS Gothic" w:hAnsi="Calibri"/>
          <w:b/>
          <w:bCs/>
          <w:color w:val="4F81BD"/>
          <w:kern w:val="0"/>
          <w:sz w:val="26"/>
          <w:szCs w:val="26"/>
        </w:rPr>
        <w:t>4.9 Chapter Summary</w:t>
      </w:r>
      <w:bookmarkEnd w:id="68"/>
    </w:p>
    <w:p w14:paraId="2FB915B4" w14:textId="77777777" w:rsidR="000C2202" w:rsidRDefault="00DA46A9">
      <w:pPr>
        <w:spacing w:after="120" w:line="360" w:lineRule="auto"/>
        <w:jc w:val="both"/>
      </w:pPr>
      <w:r>
        <w:rPr>
          <w:rFonts w:ascii="Arial" w:eastAsia="Arial" w:hAnsi="Arial"/>
          <w:kern w:val="0"/>
          <w:szCs w:val="22"/>
        </w:rPr>
        <w:t>Taken together, the five themes show that chatbot satisfaction at Tesco is more conditional and sector-specific than the aggregated literature suggests. Response speed and personalisation provide genuine value, but complex-query handling, empathy-signal authenticity and escalation continuity remain significant constraints. Chapter 5 consolidates these findings against the research objectives, evaluates the study's contribution and limitations, and develops recommendations for Tesco and the wider UK supermarket sector.</w:t>
      </w:r>
    </w:p>
    <w:p w14:paraId="6A826AF0" w14:textId="77777777" w:rsidR="000C2202" w:rsidRDefault="000C2202">
      <w:pPr>
        <w:spacing w:after="120" w:line="360" w:lineRule="auto"/>
        <w:jc w:val="both"/>
        <w:rPr>
          <w:rFonts w:ascii="Arial" w:eastAsia="Arial" w:hAnsi="Arial"/>
          <w:kern w:val="0"/>
        </w:rPr>
      </w:pPr>
    </w:p>
    <w:p w14:paraId="284D5D25" w14:textId="77777777" w:rsidR="000C2202" w:rsidRDefault="000C2202">
      <w:pPr>
        <w:pageBreakBefore/>
        <w:spacing w:after="120" w:line="360" w:lineRule="auto"/>
        <w:rPr>
          <w:rFonts w:ascii="Arial" w:eastAsia="Arial" w:hAnsi="Arial"/>
          <w:kern w:val="0"/>
        </w:rPr>
      </w:pPr>
    </w:p>
    <w:p w14:paraId="3AFB13C2" w14:textId="77777777" w:rsidR="000C2202" w:rsidRDefault="00DA46A9">
      <w:pPr>
        <w:keepNext/>
        <w:keepLines/>
        <w:spacing w:before="480" w:after="0" w:line="360" w:lineRule="auto"/>
        <w:jc w:val="center"/>
        <w:outlineLvl w:val="0"/>
      </w:pPr>
      <w:bookmarkStart w:id="69" w:name="_Toc235807074"/>
      <w:r>
        <w:rPr>
          <w:rFonts w:ascii="Calibri" w:eastAsia="MS Gothic" w:hAnsi="Calibri"/>
          <w:b/>
          <w:bCs/>
          <w:color w:val="365F91"/>
          <w:kern w:val="0"/>
          <w:sz w:val="32"/>
          <w:szCs w:val="28"/>
        </w:rPr>
        <w:t>Chapter 5 Conclusion, Limitations and Recommendations</w:t>
      </w:r>
      <w:bookmarkEnd w:id="69"/>
    </w:p>
    <w:p w14:paraId="4D31BF9C" w14:textId="77777777" w:rsidR="000C2202" w:rsidRDefault="00DA46A9">
      <w:pPr>
        <w:keepNext/>
        <w:keepLines/>
        <w:spacing w:before="200" w:after="0" w:line="360" w:lineRule="auto"/>
        <w:outlineLvl w:val="1"/>
      </w:pPr>
      <w:bookmarkStart w:id="70" w:name="_Toc235807075"/>
      <w:r>
        <w:rPr>
          <w:rFonts w:ascii="Calibri" w:eastAsia="MS Gothic" w:hAnsi="Calibri"/>
          <w:b/>
          <w:bCs/>
          <w:color w:val="4F81BD"/>
          <w:kern w:val="0"/>
          <w:sz w:val="26"/>
          <w:szCs w:val="26"/>
        </w:rPr>
        <w:t>5.1 Introduction</w:t>
      </w:r>
      <w:bookmarkEnd w:id="70"/>
    </w:p>
    <w:p w14:paraId="08909E1D" w14:textId="77777777" w:rsidR="000C2202" w:rsidRDefault="00DA46A9">
      <w:pPr>
        <w:spacing w:after="120" w:line="360" w:lineRule="auto"/>
        <w:jc w:val="both"/>
        <w:rPr>
          <w:rFonts w:ascii="Arial" w:eastAsia="Arial" w:hAnsi="Arial"/>
          <w:kern w:val="0"/>
        </w:rPr>
      </w:pPr>
      <w:r>
        <w:rPr>
          <w:rFonts w:ascii="Arial" w:eastAsia="Arial" w:hAnsi="Arial"/>
          <w:kern w:val="0"/>
        </w:rPr>
        <w:t>This chapter concludes the study. It provides a summary of the research results in relation to the three research objectives, states the achievement of the research aim, explains the original contribution of the research, provides recommendations for stakeholder groups, identifies the limitations of the research, and identifies directions for future research.</w:t>
      </w:r>
    </w:p>
    <w:p w14:paraId="2F0E7B3A" w14:textId="77777777" w:rsidR="000C2202" w:rsidRDefault="00DA46A9">
      <w:pPr>
        <w:keepNext/>
        <w:keepLines/>
        <w:spacing w:before="200" w:after="0" w:line="360" w:lineRule="auto"/>
        <w:outlineLvl w:val="1"/>
      </w:pPr>
      <w:bookmarkStart w:id="71" w:name="_Toc235807076"/>
      <w:r>
        <w:rPr>
          <w:rFonts w:ascii="Calibri" w:eastAsia="MS Gothic" w:hAnsi="Calibri"/>
          <w:b/>
          <w:bCs/>
          <w:color w:val="4F81BD"/>
          <w:kern w:val="0"/>
          <w:sz w:val="26"/>
          <w:szCs w:val="26"/>
        </w:rPr>
        <w:t>5.2 Summary of Findings against Objectives</w:t>
      </w:r>
      <w:bookmarkEnd w:id="71"/>
    </w:p>
    <w:p w14:paraId="599A3EDA" w14:textId="77777777" w:rsidR="000C2202" w:rsidRDefault="00DA46A9">
      <w:pPr>
        <w:spacing w:after="120" w:line="360" w:lineRule="auto"/>
        <w:jc w:val="both"/>
        <w:rPr>
          <w:rFonts w:ascii="Arial" w:eastAsia="Arial" w:hAnsi="Arial"/>
          <w:kern w:val="0"/>
        </w:rPr>
      </w:pPr>
      <w:r>
        <w:rPr>
          <w:rFonts w:ascii="Arial" w:eastAsia="Arial" w:hAnsi="Arial"/>
          <w:kern w:val="0"/>
        </w:rPr>
        <w:t>The finding in Chapter 4 that chatbots are employed at Tesco in three overlapping roles – transactional query triage, out-of-hours agent substitution, and an emergent layer of generative AI personalisation – is relevant to Objective 1 (Explore the role of AI-powered chatbots in customer service at Tesco).</w:t>
      </w:r>
    </w:p>
    <w:p w14:paraId="0D6A28C9" w14:textId="77777777" w:rsidR="000C2202" w:rsidRDefault="00DA46A9">
      <w:pPr>
        <w:spacing w:after="120" w:line="360" w:lineRule="auto"/>
        <w:jc w:val="both"/>
      </w:pPr>
      <w:r>
        <w:rPr>
          <w:rFonts w:ascii="Arial" w:eastAsia="Arial" w:hAnsi="Arial"/>
          <w:kern w:val="0"/>
          <w:szCs w:val="22"/>
        </w:rPr>
        <w:t>Objective 2, which assessed the impact on customer satisfaction, was also addressed. Speed and convenience were beneficial for routine enquiries, but the query topology of grocery retail created disadvantages when issues became time-sensitive or multi-stage. Aggregate satisfaction should therefore be understood as a conditional outcome shaped by the retailer's query mix rather than as a single uniform value.</w:t>
      </w:r>
    </w:p>
    <w:p w14:paraId="3CAB5699" w14:textId="77777777" w:rsidR="000C2202" w:rsidRDefault="00DA46A9">
      <w:pPr>
        <w:spacing w:after="120" w:line="360" w:lineRule="auto"/>
        <w:jc w:val="both"/>
      </w:pPr>
      <w:r>
        <w:rPr>
          <w:rFonts w:ascii="Arial" w:eastAsia="Arial" w:hAnsi="Arial"/>
          <w:kern w:val="0"/>
          <w:szCs w:val="22"/>
        </w:rPr>
        <w:t>Objective 3 was addressed by identifying transactional speed, 24/7 availability, scalability and emerging personalisation as the principal benefits. The principal limitations were complex-query handling, escalation friction and the authenticity of empathy signals. Chapter 4 further showed that these limitations were structural rather than incidental.</w:t>
      </w:r>
    </w:p>
    <w:p w14:paraId="14261289" w14:textId="77777777" w:rsidR="000C2202" w:rsidRDefault="00DA46A9">
      <w:pPr>
        <w:keepNext/>
        <w:keepLines/>
        <w:spacing w:before="200" w:after="0" w:line="360" w:lineRule="auto"/>
        <w:outlineLvl w:val="1"/>
      </w:pPr>
      <w:bookmarkStart w:id="72" w:name="_Toc235807077"/>
      <w:r>
        <w:rPr>
          <w:rFonts w:ascii="Calibri" w:eastAsia="MS Gothic" w:hAnsi="Calibri"/>
          <w:b/>
          <w:bCs/>
          <w:color w:val="4F81BD"/>
          <w:kern w:val="0"/>
          <w:sz w:val="26"/>
          <w:szCs w:val="26"/>
        </w:rPr>
        <w:t>5.3 Accomplishment of the Research Aim</w:t>
      </w:r>
      <w:bookmarkEnd w:id="72"/>
    </w:p>
    <w:p w14:paraId="13A1DB47" w14:textId="77777777" w:rsidR="000C2202" w:rsidRDefault="00DA46A9">
      <w:pPr>
        <w:spacing w:after="120" w:line="360" w:lineRule="auto"/>
        <w:jc w:val="both"/>
      </w:pPr>
      <w:r>
        <w:rPr>
          <w:rFonts w:ascii="Arial" w:eastAsia="Arial" w:hAnsi="Arial"/>
          <w:kern w:val="0"/>
          <w:szCs w:val="22"/>
        </w:rPr>
        <w:t>The research aim was achieved through the qualitative secondary analysis and the three-question synthesis presented in Section 4.8. The findings show that AI customer-service chatbots have a real but conditional effect on satisfaction: outcomes are positive for narrow categories of routine enquiries and less favourable for complex or escalation-dependent cases. Grocery-specific query topology materially mediates this relationship. Table 4.1 maps the evidence directly to each research question.</w:t>
      </w:r>
    </w:p>
    <w:p w14:paraId="4365ED89" w14:textId="77777777" w:rsidR="000C2202" w:rsidRDefault="00DA46A9">
      <w:pPr>
        <w:keepNext/>
        <w:keepLines/>
        <w:spacing w:before="200" w:after="0" w:line="360" w:lineRule="auto"/>
        <w:outlineLvl w:val="1"/>
      </w:pPr>
      <w:bookmarkStart w:id="73" w:name="_Toc235807078"/>
      <w:r>
        <w:rPr>
          <w:rFonts w:ascii="Calibri" w:eastAsia="MS Gothic" w:hAnsi="Calibri"/>
          <w:b/>
          <w:bCs/>
          <w:color w:val="4F81BD"/>
          <w:kern w:val="0"/>
          <w:sz w:val="26"/>
          <w:szCs w:val="26"/>
        </w:rPr>
        <w:t>5.4 Original Contribution</w:t>
      </w:r>
      <w:bookmarkEnd w:id="73"/>
    </w:p>
    <w:p w14:paraId="38568A32" w14:textId="77777777" w:rsidR="000C2202" w:rsidRDefault="00DA46A9">
      <w:pPr>
        <w:spacing w:after="120" w:line="360" w:lineRule="auto"/>
        <w:jc w:val="both"/>
      </w:pPr>
      <w:r>
        <w:rPr>
          <w:rFonts w:ascii="Arial" w:eastAsia="Arial" w:hAnsi="Arial"/>
          <w:kern w:val="0"/>
          <w:szCs w:val="22"/>
        </w:rPr>
        <w:t>The study makes two contributions. Theoretically, it differentiates trust into three evidence-informed channels: trust in accuracy, trust in data handling and trust in the empathy signal. Table 4.3 indicates that the empathy channel is least effectively served by current chatbots. Practically, the study identifies query topology as a key moderating factor in UK grocery chatbot satisfaction and redirects managerial attention from chatbot capability alone to the surrounding service architecture. This reframing identifies conversational handover as a potentially lower-cost and more immediate intervention.</w:t>
      </w:r>
    </w:p>
    <w:p w14:paraId="6B006971" w14:textId="77777777" w:rsidR="000C2202" w:rsidRDefault="00DA46A9">
      <w:pPr>
        <w:keepNext/>
        <w:keepLines/>
        <w:spacing w:before="200" w:after="0" w:line="360" w:lineRule="auto"/>
        <w:outlineLvl w:val="1"/>
      </w:pPr>
      <w:bookmarkStart w:id="74" w:name="_Toc235807079"/>
      <w:r>
        <w:rPr>
          <w:rFonts w:ascii="Calibri" w:eastAsia="MS Gothic" w:hAnsi="Calibri"/>
          <w:b/>
          <w:bCs/>
          <w:color w:val="4F81BD"/>
          <w:kern w:val="0"/>
          <w:sz w:val="26"/>
          <w:szCs w:val="26"/>
        </w:rPr>
        <w:t>5.5 Recommendations</w:t>
      </w:r>
      <w:bookmarkEnd w:id="74"/>
    </w:p>
    <w:p w14:paraId="09DA069F" w14:textId="77777777" w:rsidR="000C2202" w:rsidRDefault="00DA46A9">
      <w:pPr>
        <w:spacing w:after="120" w:line="360" w:lineRule="auto"/>
        <w:jc w:val="both"/>
        <w:rPr>
          <w:rFonts w:ascii="Arial" w:eastAsia="Arial" w:hAnsi="Arial"/>
          <w:kern w:val="0"/>
        </w:rPr>
      </w:pPr>
      <w:r>
        <w:rPr>
          <w:rFonts w:ascii="Arial" w:eastAsia="Arial" w:hAnsi="Arial"/>
          <w:kern w:val="0"/>
        </w:rPr>
        <w:t>Some stakeholder group recommendations are presented in Table 5.1. The most significant recommendation is that Tesco should not focus on enhancing the capabilities of the chatbot but rather focus on maintaining the conversational context between the chatbot and agent in the current deployment phase and continue to work on the handover architecture going forward.</w:t>
      </w:r>
    </w:p>
    <w:tbl>
      <w:tblPr>
        <w:tblW w:w="9000" w:type="dxa"/>
        <w:jc w:val="center"/>
        <w:tblCellMar>
          <w:left w:w="10" w:type="dxa"/>
          <w:right w:w="10" w:type="dxa"/>
        </w:tblCellMar>
        <w:tblLook w:val="0000" w:firstRow="0" w:lastRow="0" w:firstColumn="0" w:lastColumn="0" w:noHBand="0" w:noVBand="0"/>
      </w:tblPr>
      <w:tblGrid>
        <w:gridCol w:w="1800"/>
        <w:gridCol w:w="3500"/>
        <w:gridCol w:w="3700"/>
      </w:tblGrid>
      <w:tr w:rsidR="000C2202" w14:paraId="771831CF"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vAlign w:val="center"/>
          </w:tcPr>
          <w:p w14:paraId="0C3CAAE7" w14:textId="77777777" w:rsidR="000C2202" w:rsidRDefault="00DA46A9">
            <w:pPr>
              <w:spacing w:before="60" w:after="60" w:line="360" w:lineRule="auto"/>
              <w:jc w:val="center"/>
            </w:pPr>
            <w:r>
              <w:rPr>
                <w:rFonts w:ascii="Arial" w:eastAsia="Arial" w:hAnsi="Arial"/>
                <w:b/>
                <w:color w:val="FFFFFF"/>
                <w:kern w:val="0"/>
              </w:rPr>
              <w:t>Stakeholder</w:t>
            </w:r>
          </w:p>
        </w:tc>
        <w:tc>
          <w:tcPr>
            <w:tcW w:w="35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vAlign w:val="center"/>
          </w:tcPr>
          <w:p w14:paraId="0E7508AF" w14:textId="77777777" w:rsidR="000C2202" w:rsidRDefault="00DA46A9">
            <w:pPr>
              <w:spacing w:before="60" w:after="60" w:line="360" w:lineRule="auto"/>
              <w:jc w:val="center"/>
            </w:pPr>
            <w:r>
              <w:rPr>
                <w:rFonts w:ascii="Arial" w:eastAsia="Arial" w:hAnsi="Arial"/>
                <w:b/>
                <w:color w:val="FFFFFF"/>
                <w:kern w:val="0"/>
              </w:rPr>
              <w:t>Recommendation</w:t>
            </w:r>
          </w:p>
        </w:tc>
        <w:tc>
          <w:tcPr>
            <w:tcW w:w="37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vAlign w:val="center"/>
          </w:tcPr>
          <w:p w14:paraId="3ADACDDC" w14:textId="77777777" w:rsidR="000C2202" w:rsidRDefault="00DA46A9">
            <w:pPr>
              <w:spacing w:before="60" w:after="60" w:line="360" w:lineRule="auto"/>
              <w:jc w:val="center"/>
            </w:pPr>
            <w:r>
              <w:rPr>
                <w:rFonts w:ascii="Arial" w:eastAsia="Arial" w:hAnsi="Arial"/>
                <w:b/>
                <w:color w:val="FFFFFF"/>
                <w:kern w:val="0"/>
              </w:rPr>
              <w:t>Rationale (Chapter 4 evidence)</w:t>
            </w:r>
          </w:p>
        </w:tc>
      </w:tr>
      <w:tr w:rsidR="000C2202" w14:paraId="0DDAF1A8"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763BB793" w14:textId="77777777" w:rsidR="000C2202" w:rsidRDefault="00DA46A9">
            <w:pPr>
              <w:spacing w:before="60" w:after="60" w:line="360" w:lineRule="auto"/>
              <w:jc w:val="center"/>
            </w:pPr>
            <w:r>
              <w:rPr>
                <w:rFonts w:ascii="Arial" w:eastAsia="Arial" w:hAnsi="Arial"/>
                <w:b/>
                <w:color w:val="000000"/>
                <w:kern w:val="0"/>
              </w:rPr>
              <w:t>Tesco</w:t>
            </w:r>
          </w:p>
          <w:p w14:paraId="6BFE7976" w14:textId="77777777" w:rsidR="000C2202" w:rsidRDefault="00DA46A9">
            <w:pPr>
              <w:spacing w:before="60" w:after="60" w:line="360" w:lineRule="auto"/>
              <w:jc w:val="center"/>
            </w:pPr>
            <w:r>
              <w:rPr>
                <w:rFonts w:ascii="Arial" w:eastAsia="Arial" w:hAnsi="Arial"/>
                <w:i/>
                <w:color w:val="000000"/>
                <w:kern w:val="0"/>
                <w:sz w:val="18"/>
              </w:rPr>
              <w:t>operations &amp; customer services</w:t>
            </w:r>
          </w:p>
        </w:tc>
        <w:tc>
          <w:tcPr>
            <w:tcW w:w="35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C8695D6" w14:textId="77777777" w:rsidR="000C2202" w:rsidRDefault="00DA46A9">
            <w:pPr>
              <w:spacing w:before="60" w:after="60" w:line="360" w:lineRule="auto"/>
            </w:pPr>
            <w:r>
              <w:rPr>
                <w:rFonts w:ascii="Arial" w:eastAsia="Arial" w:hAnsi="Arial"/>
                <w:color w:val="000000"/>
                <w:kern w:val="0"/>
                <w:sz w:val="20"/>
              </w:rPr>
              <w:t>Invest in handover architecture (conversational-context preservation across the chatbot–agent boundary) as the first-order design variable, not further chatbot capability.</w:t>
            </w:r>
          </w:p>
        </w:tc>
        <w:tc>
          <w:tcPr>
            <w:tcW w:w="37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22EF0DB" w14:textId="77777777" w:rsidR="000C2202" w:rsidRDefault="00DA46A9">
            <w:pPr>
              <w:spacing w:before="60" w:after="60" w:line="360" w:lineRule="auto"/>
            </w:pPr>
            <w:r>
              <w:rPr>
                <w:rFonts w:ascii="Arial" w:eastAsia="Arial" w:hAnsi="Arial"/>
                <w:color w:val="000000"/>
                <w:kern w:val="0"/>
                <w:sz w:val="20"/>
              </w:rPr>
              <w:t>Theme 4 shows escalation friction is the single most concentrated satisfaction penalty in the corpus, correlating with churn-signalling language.</w:t>
            </w:r>
          </w:p>
        </w:tc>
      </w:tr>
      <w:tr w:rsidR="000C2202" w14:paraId="6E0F99A5"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23756352" w14:textId="77777777" w:rsidR="000C2202" w:rsidRDefault="00DA46A9">
            <w:pPr>
              <w:spacing w:before="60" w:after="60" w:line="360" w:lineRule="auto"/>
              <w:jc w:val="center"/>
            </w:pPr>
            <w:r>
              <w:rPr>
                <w:rFonts w:ascii="Arial" w:eastAsia="Arial" w:hAnsi="Arial"/>
                <w:b/>
                <w:color w:val="000000"/>
                <w:kern w:val="0"/>
              </w:rPr>
              <w:t>Tesco</w:t>
            </w:r>
          </w:p>
          <w:p w14:paraId="696FF77C" w14:textId="77777777" w:rsidR="000C2202" w:rsidRDefault="00DA46A9">
            <w:pPr>
              <w:spacing w:before="60" w:after="60" w:line="360" w:lineRule="auto"/>
              <w:jc w:val="center"/>
            </w:pPr>
            <w:r>
              <w:rPr>
                <w:rFonts w:ascii="Arial" w:eastAsia="Arial" w:hAnsi="Arial"/>
                <w:i/>
                <w:color w:val="000000"/>
                <w:kern w:val="0"/>
                <w:sz w:val="18"/>
              </w:rPr>
              <w:t>design &amp; UX</w:t>
            </w:r>
          </w:p>
        </w:tc>
        <w:tc>
          <w:tcPr>
            <w:tcW w:w="35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77640D1" w14:textId="77777777" w:rsidR="000C2202" w:rsidRDefault="00DA46A9">
            <w:pPr>
              <w:spacing w:before="60" w:after="60" w:line="360" w:lineRule="auto"/>
            </w:pPr>
            <w:r>
              <w:rPr>
                <w:rFonts w:ascii="Arial" w:eastAsia="Arial" w:hAnsi="Arial"/>
                <w:color w:val="000000"/>
                <w:kern w:val="0"/>
                <w:sz w:val="20"/>
              </w:rPr>
              <w:t>Retire scripted empathic phrasing from failure-state responses; substitute a factual acknowledgement plus a concrete next-step statement.</w:t>
            </w:r>
          </w:p>
        </w:tc>
        <w:tc>
          <w:tcPr>
            <w:tcW w:w="37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EA15390" w14:textId="77777777" w:rsidR="000C2202" w:rsidRDefault="00DA46A9">
            <w:pPr>
              <w:spacing w:before="60" w:after="60" w:line="360" w:lineRule="auto"/>
            </w:pPr>
            <w:r>
              <w:rPr>
                <w:rFonts w:ascii="Arial" w:eastAsia="Arial" w:hAnsi="Arial"/>
                <w:color w:val="000000"/>
                <w:kern w:val="0"/>
                <w:sz w:val="20"/>
              </w:rPr>
              <w:t>Theme 3 shows lexical mimicry is actively counter-productive during service failures because it signals recognition without operational capacity.</w:t>
            </w:r>
          </w:p>
        </w:tc>
      </w:tr>
      <w:tr w:rsidR="000C2202" w14:paraId="72CB5C7E"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67864314" w14:textId="77777777" w:rsidR="000C2202" w:rsidRDefault="00DA46A9">
            <w:pPr>
              <w:spacing w:before="60" w:after="60" w:line="360" w:lineRule="auto"/>
              <w:jc w:val="center"/>
            </w:pPr>
            <w:r>
              <w:rPr>
                <w:rFonts w:ascii="Arial" w:eastAsia="Arial" w:hAnsi="Arial"/>
                <w:b/>
                <w:color w:val="000000"/>
                <w:kern w:val="0"/>
              </w:rPr>
              <w:t>UK grocery sector</w:t>
            </w:r>
          </w:p>
          <w:p w14:paraId="24C844F0" w14:textId="77777777" w:rsidR="000C2202" w:rsidRDefault="00DA46A9">
            <w:pPr>
              <w:spacing w:before="60" w:after="60" w:line="360" w:lineRule="auto"/>
              <w:jc w:val="center"/>
            </w:pPr>
            <w:r>
              <w:rPr>
                <w:rFonts w:ascii="Arial" w:eastAsia="Arial" w:hAnsi="Arial"/>
                <w:i/>
                <w:color w:val="000000"/>
                <w:kern w:val="0"/>
                <w:sz w:val="18"/>
              </w:rPr>
              <w:t>sector governance</w:t>
            </w:r>
          </w:p>
        </w:tc>
        <w:tc>
          <w:tcPr>
            <w:tcW w:w="35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2096987" w14:textId="77777777" w:rsidR="000C2202" w:rsidRDefault="00DA46A9">
            <w:pPr>
              <w:spacing w:before="60" w:after="60" w:line="360" w:lineRule="auto"/>
            </w:pPr>
            <w:r>
              <w:rPr>
                <w:rFonts w:ascii="Arial" w:eastAsia="Arial" w:hAnsi="Arial"/>
                <w:color w:val="000000"/>
                <w:kern w:val="0"/>
                <w:sz w:val="20"/>
              </w:rPr>
              <w:t>Publish a shared taxonomy of chatbot query classes and their expected resolution paths so that sector-level benchmarking of satisfaction becomes possible.</w:t>
            </w:r>
          </w:p>
        </w:tc>
        <w:tc>
          <w:tcPr>
            <w:tcW w:w="37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E223EAE" w14:textId="77777777" w:rsidR="000C2202" w:rsidRDefault="00DA46A9">
            <w:pPr>
              <w:spacing w:before="60" w:after="60" w:line="360" w:lineRule="auto"/>
            </w:pPr>
            <w:r>
              <w:rPr>
                <w:rFonts w:ascii="Arial" w:eastAsia="Arial" w:hAnsi="Arial"/>
                <w:color w:val="000000"/>
                <w:kern w:val="0"/>
                <w:sz w:val="20"/>
              </w:rPr>
              <w:t>Theme 2 and Figure 4.2 show query mix is the primary satisfaction moderator; without a shared taxonomy, cross-retailer comparisons are not currently meaningful.</w:t>
            </w:r>
          </w:p>
        </w:tc>
      </w:tr>
      <w:tr w:rsidR="000C2202" w14:paraId="5D5F134B"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80" w:type="dxa"/>
              <w:left w:w="120" w:type="dxa"/>
              <w:bottom w:w="80" w:type="dxa"/>
              <w:right w:w="120" w:type="dxa"/>
            </w:tcMar>
            <w:vAlign w:val="center"/>
          </w:tcPr>
          <w:p w14:paraId="7EA85251" w14:textId="77777777" w:rsidR="000C2202" w:rsidRDefault="00DA46A9">
            <w:pPr>
              <w:spacing w:before="60" w:after="60" w:line="360" w:lineRule="auto"/>
              <w:jc w:val="center"/>
            </w:pPr>
            <w:r>
              <w:rPr>
                <w:rFonts w:ascii="Arial" w:eastAsia="Arial" w:hAnsi="Arial"/>
                <w:b/>
                <w:color w:val="000000"/>
                <w:kern w:val="0"/>
              </w:rPr>
              <w:t>Research</w:t>
            </w:r>
          </w:p>
          <w:p w14:paraId="1A6AFA12" w14:textId="77777777" w:rsidR="000C2202" w:rsidRDefault="00DA46A9">
            <w:pPr>
              <w:spacing w:before="60" w:after="60" w:line="360" w:lineRule="auto"/>
              <w:jc w:val="center"/>
            </w:pPr>
            <w:r>
              <w:rPr>
                <w:rFonts w:ascii="Arial" w:eastAsia="Arial" w:hAnsi="Arial"/>
                <w:i/>
                <w:color w:val="000000"/>
                <w:kern w:val="0"/>
                <w:sz w:val="18"/>
              </w:rPr>
              <w:t>academic community</w:t>
            </w:r>
          </w:p>
        </w:tc>
        <w:tc>
          <w:tcPr>
            <w:tcW w:w="35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50835C5" w14:textId="77777777" w:rsidR="000C2202" w:rsidRDefault="00DA46A9">
            <w:pPr>
              <w:spacing w:before="60" w:after="60" w:line="360" w:lineRule="auto"/>
            </w:pPr>
            <w:r>
              <w:rPr>
                <w:rFonts w:ascii="Arial" w:eastAsia="Arial" w:hAnsi="Arial"/>
                <w:color w:val="000000"/>
                <w:kern w:val="0"/>
                <w:sz w:val="20"/>
              </w:rPr>
              <w:t>Adopt the trust three-channel re-specification (Table 4.3) in future TAM- and SERVQUAL-based chatbot studies, and report the empathy channel separately.</w:t>
            </w:r>
          </w:p>
        </w:tc>
        <w:tc>
          <w:tcPr>
            <w:tcW w:w="37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7038700" w14:textId="77777777" w:rsidR="000C2202" w:rsidRDefault="00DA46A9">
            <w:pPr>
              <w:spacing w:before="60" w:after="60" w:line="360" w:lineRule="auto"/>
            </w:pPr>
            <w:r>
              <w:rPr>
                <w:rFonts w:ascii="Arial" w:eastAsia="Arial" w:hAnsi="Arial"/>
                <w:color w:val="000000"/>
                <w:kern w:val="0"/>
                <w:sz w:val="20"/>
              </w:rPr>
              <w:t>Theme 3 demonstrates that treating trust as a single construct averages out an empathy-channel deficit that is the strongest single driver of framework mis-fit.</w:t>
            </w:r>
          </w:p>
        </w:tc>
      </w:tr>
    </w:tbl>
    <w:p w14:paraId="23740DAC" w14:textId="77777777" w:rsidR="000C2202" w:rsidRDefault="00DA46A9">
      <w:pPr>
        <w:spacing w:after="240" w:line="360" w:lineRule="auto"/>
        <w:jc w:val="center"/>
      </w:pPr>
      <w:r>
        <w:rPr>
          <w:rFonts w:ascii="Arial" w:eastAsia="Arial" w:hAnsi="Arial"/>
          <w:i/>
          <w:color w:val="595959"/>
          <w:kern w:val="0"/>
        </w:rPr>
        <w:t>Table 5.1: Study recommendations by stakeholder group.</w:t>
      </w:r>
    </w:p>
    <w:p w14:paraId="363D48C4" w14:textId="77777777" w:rsidR="000C2202" w:rsidRDefault="00DA46A9">
      <w:pPr>
        <w:keepNext/>
        <w:keepLines/>
        <w:spacing w:before="200" w:after="0" w:line="360" w:lineRule="auto"/>
        <w:outlineLvl w:val="1"/>
      </w:pPr>
      <w:bookmarkStart w:id="75" w:name="_Toc235807080"/>
      <w:r>
        <w:rPr>
          <w:rFonts w:ascii="Calibri" w:eastAsia="MS Gothic" w:hAnsi="Calibri"/>
          <w:b/>
          <w:bCs/>
          <w:color w:val="4F81BD"/>
          <w:kern w:val="0"/>
          <w:sz w:val="26"/>
          <w:szCs w:val="26"/>
        </w:rPr>
        <w:t>5.6 Limitations</w:t>
      </w:r>
      <w:bookmarkEnd w:id="75"/>
    </w:p>
    <w:p w14:paraId="681D5367" w14:textId="77777777" w:rsidR="000C2202" w:rsidRDefault="00DA46A9">
      <w:pPr>
        <w:spacing w:after="120" w:line="360" w:lineRule="auto"/>
        <w:jc w:val="both"/>
        <w:rPr>
          <w:rFonts w:ascii="Arial" w:eastAsia="Arial" w:hAnsi="Arial"/>
          <w:kern w:val="0"/>
          <w:szCs w:val="22"/>
        </w:rPr>
      </w:pPr>
      <w:r>
        <w:rPr>
          <w:rFonts w:ascii="Arial" w:eastAsia="Arial" w:hAnsi="Arial"/>
          <w:kern w:val="0"/>
          <w:szCs w:val="22"/>
        </w:rPr>
        <w:t>The study has the following main limitations. First, it uses secondary qualitative evidence and isn't able to triangulate interpretations with primary customer interviews. Second, it looks at one organisation in UK grocery retail, restricting transferability. Third, only information published in English was included. Fourth, the findings reflect the transition to generative AI and may need to be revisited as the adoption advances. Lastly, even though public customer reviews can be very analytical, they may be more likely to come from extreme experiences and not the neutral ones.</w:t>
      </w:r>
    </w:p>
    <w:p w14:paraId="48158C34" w14:textId="77777777" w:rsidR="000C2202" w:rsidRDefault="00DA46A9">
      <w:pPr>
        <w:keepNext/>
        <w:keepLines/>
        <w:spacing w:before="200" w:after="0" w:line="360" w:lineRule="auto"/>
        <w:outlineLvl w:val="1"/>
      </w:pPr>
      <w:bookmarkStart w:id="76" w:name="_Toc235807081"/>
      <w:r>
        <w:rPr>
          <w:rFonts w:ascii="Calibri" w:eastAsia="MS Gothic" w:hAnsi="Calibri"/>
          <w:b/>
          <w:bCs/>
          <w:color w:val="4F81BD"/>
          <w:kern w:val="0"/>
          <w:sz w:val="26"/>
          <w:szCs w:val="26"/>
        </w:rPr>
        <w:t>5.7 Suggestions for Further Research</w:t>
      </w:r>
      <w:bookmarkEnd w:id="76"/>
    </w:p>
    <w:p w14:paraId="7DB09568" w14:textId="77777777" w:rsidR="000C2202" w:rsidRDefault="00DA46A9">
      <w:pPr>
        <w:spacing w:after="120" w:line="360" w:lineRule="auto"/>
        <w:jc w:val="both"/>
        <w:rPr>
          <w:rFonts w:ascii="Arial" w:eastAsia="Arial" w:hAnsi="Arial"/>
          <w:kern w:val="0"/>
          <w:szCs w:val="22"/>
        </w:rPr>
      </w:pPr>
      <w:r>
        <w:rPr>
          <w:rFonts w:ascii="Arial" w:eastAsia="Arial" w:hAnsi="Arial"/>
          <w:kern w:val="0"/>
          <w:szCs w:val="22"/>
        </w:rPr>
        <w:t>There are four directions of future research suggested. One of the preliminary surveys to be conducted on Tesco customers would be to test the difference between customer satisfaction and the questions asked. Second, a multi-case comparison may be undertaken between Sainsbury's and Asda to evaluate the transferability of the sector level. Third, a longitudinal study could be conducted to determine whether the patterns identified remain following the transition to generative AI. Fourth, an experiment could test the empathy levels at which the statement of fact is presented and see if it leads to better outcomes of factual acknowledgement and clear next steps than simulated empathy when a service failure occurs.</w:t>
      </w:r>
    </w:p>
    <w:p w14:paraId="7A60B3E9" w14:textId="77777777" w:rsidR="000C2202" w:rsidRDefault="000C2202">
      <w:pPr>
        <w:spacing w:after="120" w:line="360" w:lineRule="auto"/>
        <w:jc w:val="both"/>
        <w:rPr>
          <w:rFonts w:ascii="Arial" w:eastAsia="Arial" w:hAnsi="Arial"/>
          <w:kern w:val="0"/>
        </w:rPr>
      </w:pPr>
    </w:p>
    <w:p w14:paraId="6AE2D885" w14:textId="77777777" w:rsidR="000C2202" w:rsidRDefault="00DA46A9">
      <w:pPr>
        <w:keepNext/>
        <w:keepLines/>
        <w:spacing w:before="480" w:after="0" w:line="360" w:lineRule="auto"/>
        <w:jc w:val="center"/>
        <w:outlineLvl w:val="0"/>
        <w:rPr>
          <w:rFonts w:ascii="Calibri" w:eastAsia="MS Gothic" w:hAnsi="Calibri"/>
          <w:b/>
          <w:bCs/>
          <w:color w:val="365F91"/>
          <w:kern w:val="0"/>
          <w:sz w:val="32"/>
          <w:szCs w:val="28"/>
        </w:rPr>
      </w:pPr>
      <w:bookmarkStart w:id="77" w:name="_Toc235807082"/>
      <w:r>
        <w:rPr>
          <w:rFonts w:ascii="Calibri" w:eastAsia="MS Gothic" w:hAnsi="Calibri"/>
          <w:b/>
          <w:bCs/>
          <w:color w:val="365F91"/>
          <w:kern w:val="0"/>
          <w:sz w:val="32"/>
          <w:szCs w:val="28"/>
        </w:rPr>
        <w:t>References</w:t>
      </w:r>
      <w:bookmarkEnd w:id="77"/>
    </w:p>
    <w:p w14:paraId="1B994F4B" w14:textId="77777777" w:rsidR="000C2202" w:rsidRDefault="00DA46A9">
      <w:pPr>
        <w:spacing w:after="120" w:line="360" w:lineRule="auto"/>
        <w:ind w:left="567" w:hanging="567"/>
        <w:jc w:val="both"/>
      </w:pPr>
      <w:r>
        <w:rPr>
          <w:rFonts w:ascii="Arial" w:eastAsia="Arial" w:hAnsi="Arial"/>
          <w:kern w:val="0"/>
        </w:rPr>
        <w:t xml:space="preserve">Adam, M., Wessel, M. and Benlian, A. (2021) ‘AI-based chatbots in customer service and their effects on user compliance’, </w:t>
      </w:r>
      <w:r>
        <w:rPr>
          <w:rFonts w:ascii="Arial" w:eastAsia="Arial" w:hAnsi="Arial"/>
          <w:i/>
          <w:iCs/>
          <w:kern w:val="0"/>
        </w:rPr>
        <w:t>Electronic Markets</w:t>
      </w:r>
      <w:r>
        <w:rPr>
          <w:rFonts w:ascii="Arial" w:eastAsia="Arial" w:hAnsi="Arial"/>
          <w:kern w:val="0"/>
        </w:rPr>
        <w:t xml:space="preserve">, 31, pp. 427–445. Available at: </w:t>
      </w:r>
      <w:hyperlink r:id="rId15" w:history="1">
        <w:r>
          <w:rPr>
            <w:rFonts w:ascii="Arial" w:eastAsia="Arial" w:hAnsi="Arial"/>
            <w:color w:val="0000FF"/>
            <w:kern w:val="0"/>
            <w:u w:val="single"/>
          </w:rPr>
          <w:t>https://doi.org/10.1007/s12525-020-00414-7</w:t>
        </w:r>
      </w:hyperlink>
    </w:p>
    <w:p w14:paraId="6383B627" w14:textId="77777777" w:rsidR="000C2202" w:rsidRDefault="00DA46A9">
      <w:pPr>
        <w:spacing w:after="120" w:line="360" w:lineRule="auto"/>
        <w:ind w:left="567" w:hanging="567"/>
        <w:jc w:val="both"/>
      </w:pPr>
      <w:r>
        <w:rPr>
          <w:rFonts w:ascii="Arial" w:eastAsia="Arial" w:hAnsi="Arial"/>
          <w:kern w:val="0"/>
        </w:rPr>
        <w:t xml:space="preserve">Ashfaq, M., Yun, J., Yu, S. and Loureiro, S.M.C. (2020) ‘I, chatbot: modeling the determinants of users’ satisfaction and continuance intention of AI-powered service agents’, </w:t>
      </w:r>
      <w:r>
        <w:rPr>
          <w:rFonts w:ascii="Arial" w:eastAsia="Arial" w:hAnsi="Arial"/>
          <w:i/>
          <w:iCs/>
          <w:kern w:val="0"/>
        </w:rPr>
        <w:t>Telematics and Informatics</w:t>
      </w:r>
      <w:r>
        <w:rPr>
          <w:rFonts w:ascii="Arial" w:eastAsia="Arial" w:hAnsi="Arial"/>
          <w:kern w:val="0"/>
        </w:rPr>
        <w:t xml:space="preserve">, 54, article 101473. Available at: </w:t>
      </w:r>
      <w:hyperlink r:id="rId16" w:history="1">
        <w:r>
          <w:rPr>
            <w:rFonts w:ascii="Arial" w:eastAsia="Arial" w:hAnsi="Arial"/>
            <w:color w:val="0000FF"/>
            <w:kern w:val="0"/>
            <w:u w:val="single"/>
          </w:rPr>
          <w:t>https://doi.org/10.1016/j.tele.2020.101473</w:t>
        </w:r>
      </w:hyperlink>
    </w:p>
    <w:p w14:paraId="4EEFE210" w14:textId="77777777" w:rsidR="000C2202" w:rsidRDefault="00DA46A9">
      <w:pPr>
        <w:spacing w:after="120" w:line="360" w:lineRule="auto"/>
        <w:ind w:left="567" w:hanging="567"/>
        <w:jc w:val="both"/>
      </w:pPr>
      <w:r>
        <w:rPr>
          <w:rFonts w:ascii="Arial" w:eastAsia="Arial" w:hAnsi="Arial"/>
          <w:kern w:val="0"/>
        </w:rPr>
        <w:t xml:space="preserve">Bell, E., Bryman, A. and Harley, B. (2022) </w:t>
      </w:r>
      <w:r>
        <w:rPr>
          <w:rFonts w:ascii="Arial" w:eastAsia="Arial" w:hAnsi="Arial"/>
          <w:i/>
          <w:iCs/>
          <w:kern w:val="0"/>
        </w:rPr>
        <w:t>Business Research Methods</w:t>
      </w:r>
      <w:r>
        <w:rPr>
          <w:rFonts w:ascii="Arial" w:eastAsia="Arial" w:hAnsi="Arial"/>
          <w:kern w:val="0"/>
        </w:rPr>
        <w:t xml:space="preserve">. 6th edn. Oxford: Oxford University Press. Available at: </w:t>
      </w:r>
      <w:hyperlink r:id="rId17" w:history="1">
        <w:r>
          <w:rPr>
            <w:rFonts w:ascii="Arial" w:eastAsia="Arial" w:hAnsi="Arial"/>
            <w:color w:val="0000FF"/>
            <w:kern w:val="0"/>
            <w:u w:val="single"/>
          </w:rPr>
          <w:t>https://global.oup.com/ukhe/product/business-research-methods-9780198869443</w:t>
        </w:r>
      </w:hyperlink>
    </w:p>
    <w:p w14:paraId="63C06F3B" w14:textId="77777777" w:rsidR="000C2202" w:rsidRDefault="00DA46A9">
      <w:pPr>
        <w:spacing w:after="120" w:line="360" w:lineRule="auto"/>
        <w:ind w:left="567" w:hanging="567"/>
        <w:jc w:val="both"/>
      </w:pPr>
      <w:r>
        <w:rPr>
          <w:rFonts w:ascii="Arial" w:eastAsia="Arial" w:hAnsi="Arial"/>
          <w:kern w:val="0"/>
        </w:rPr>
        <w:t xml:space="preserve">Braun, V. and Clarke, V. (2019) ‘Reflecting on reflexive thematic analysis’, </w:t>
      </w:r>
      <w:r>
        <w:rPr>
          <w:rFonts w:ascii="Arial" w:eastAsia="Arial" w:hAnsi="Arial"/>
          <w:i/>
          <w:iCs/>
          <w:kern w:val="0"/>
        </w:rPr>
        <w:t>Qualitative Research in Sport, Exercise and Health</w:t>
      </w:r>
      <w:r>
        <w:rPr>
          <w:rFonts w:ascii="Arial" w:eastAsia="Arial" w:hAnsi="Arial"/>
          <w:kern w:val="0"/>
        </w:rPr>
        <w:t xml:space="preserve">, 11(4), pp. 589–597. Available at: </w:t>
      </w:r>
      <w:hyperlink r:id="rId18" w:history="1">
        <w:r>
          <w:rPr>
            <w:rFonts w:ascii="Arial" w:eastAsia="Arial" w:hAnsi="Arial"/>
            <w:color w:val="0000FF"/>
            <w:kern w:val="0"/>
            <w:u w:val="single"/>
          </w:rPr>
          <w:t>https://doi.org/10.1080/2159676X.2019.1628806</w:t>
        </w:r>
      </w:hyperlink>
    </w:p>
    <w:p w14:paraId="68780818" w14:textId="77777777" w:rsidR="000C2202" w:rsidRDefault="00DA46A9">
      <w:pPr>
        <w:spacing w:after="120" w:line="360" w:lineRule="auto"/>
        <w:ind w:left="567" w:hanging="567"/>
        <w:jc w:val="both"/>
      </w:pPr>
      <w:r>
        <w:rPr>
          <w:rFonts w:ascii="Arial" w:eastAsia="Arial" w:hAnsi="Arial"/>
          <w:kern w:val="0"/>
        </w:rPr>
        <w:t xml:space="preserve">Chopra, A., Ranjani, K.S. and Narsipur, S. (2023) ‘Service quality dimensions in AI-enabled chatbots leading to customer satisfaction: a study from South Asia’, </w:t>
      </w:r>
      <w:r>
        <w:rPr>
          <w:rFonts w:ascii="Arial" w:eastAsia="Arial" w:hAnsi="Arial"/>
          <w:i/>
          <w:iCs/>
          <w:kern w:val="0"/>
        </w:rPr>
        <w:t>IIFT International Business and Management Review Journal</w:t>
      </w:r>
      <w:r>
        <w:rPr>
          <w:rFonts w:ascii="Arial" w:eastAsia="Arial" w:hAnsi="Arial"/>
          <w:kern w:val="0"/>
        </w:rPr>
        <w:t>, 1(1), pp. 26–49. Available at: https://doi.org/10.1177/jiift.221150355</w:t>
      </w:r>
    </w:p>
    <w:p w14:paraId="5FDB5C81" w14:textId="77777777" w:rsidR="000C2202" w:rsidRDefault="00DA46A9">
      <w:pPr>
        <w:spacing w:after="120" w:line="360" w:lineRule="auto"/>
        <w:ind w:left="567" w:hanging="567"/>
        <w:jc w:val="both"/>
      </w:pPr>
      <w:r>
        <w:rPr>
          <w:rFonts w:ascii="Arial" w:eastAsia="Arial" w:hAnsi="Arial"/>
          <w:kern w:val="0"/>
        </w:rPr>
        <w:t xml:space="preserve">Chung, M., Ko, E., Joung, H. and Kim, S.J. (2020) ‘Chatbot e-service and customer satisfaction regarding luxury brands’, </w:t>
      </w:r>
      <w:r>
        <w:rPr>
          <w:rFonts w:ascii="Arial" w:eastAsia="Arial" w:hAnsi="Arial"/>
          <w:i/>
          <w:iCs/>
          <w:kern w:val="0"/>
        </w:rPr>
        <w:t>Journal of Business Research</w:t>
      </w:r>
      <w:r>
        <w:rPr>
          <w:rFonts w:ascii="Arial" w:eastAsia="Arial" w:hAnsi="Arial"/>
          <w:kern w:val="0"/>
        </w:rPr>
        <w:t>, 117, pp. 587–595. Available at: https://doi.org/10.1016/j.jbusres.2018.10.004</w:t>
      </w:r>
    </w:p>
    <w:p w14:paraId="7D78AE41" w14:textId="77777777" w:rsidR="000C2202" w:rsidRDefault="00DA46A9">
      <w:pPr>
        <w:spacing w:after="120" w:line="360" w:lineRule="auto"/>
        <w:ind w:left="567" w:hanging="567"/>
        <w:jc w:val="both"/>
      </w:pPr>
      <w:r>
        <w:rPr>
          <w:rFonts w:ascii="Arial" w:eastAsia="Arial" w:hAnsi="Arial"/>
          <w:kern w:val="0"/>
        </w:rPr>
        <w:t xml:space="preserve">Davis, F.D. (1989) ‘Perceived usefulness, perceived ease of use, and user acceptance of information technology’, </w:t>
      </w:r>
      <w:r>
        <w:rPr>
          <w:rFonts w:ascii="Arial" w:eastAsia="Arial" w:hAnsi="Arial"/>
          <w:i/>
          <w:iCs/>
          <w:kern w:val="0"/>
        </w:rPr>
        <w:t>MIS Quarterly</w:t>
      </w:r>
      <w:r>
        <w:rPr>
          <w:rFonts w:ascii="Arial" w:eastAsia="Arial" w:hAnsi="Arial"/>
          <w:kern w:val="0"/>
        </w:rPr>
        <w:t xml:space="preserve">, 13(3), pp. 319–340. Available at: </w:t>
      </w:r>
      <w:hyperlink r:id="rId19" w:history="1">
        <w:r>
          <w:rPr>
            <w:rFonts w:ascii="Arial" w:eastAsia="Arial" w:hAnsi="Arial"/>
            <w:color w:val="0000FF"/>
            <w:kern w:val="0"/>
            <w:u w:val="single"/>
          </w:rPr>
          <w:t>https://doi.org/10.2307/249008</w:t>
        </w:r>
      </w:hyperlink>
    </w:p>
    <w:p w14:paraId="19C1FB50" w14:textId="77777777" w:rsidR="000C2202" w:rsidRDefault="00DA46A9">
      <w:pPr>
        <w:spacing w:after="120" w:line="360" w:lineRule="auto"/>
        <w:ind w:left="567" w:hanging="567"/>
        <w:jc w:val="both"/>
      </w:pPr>
      <w:r>
        <w:rPr>
          <w:rFonts w:ascii="Arial" w:eastAsia="Arial" w:hAnsi="Arial"/>
          <w:kern w:val="0"/>
        </w:rPr>
        <w:t xml:space="preserve">Grand View Research (2026) </w:t>
      </w:r>
      <w:r>
        <w:rPr>
          <w:rFonts w:ascii="Arial" w:eastAsia="Arial" w:hAnsi="Arial"/>
          <w:i/>
          <w:iCs/>
          <w:kern w:val="0"/>
        </w:rPr>
        <w:t>Chatbot Market Size, Share &amp; Trends Analysis Report, 2033</w:t>
      </w:r>
      <w:r>
        <w:rPr>
          <w:rFonts w:ascii="Arial" w:eastAsia="Arial" w:hAnsi="Arial"/>
          <w:kern w:val="0"/>
        </w:rPr>
        <w:t xml:space="preserve">. Available at: </w:t>
      </w:r>
      <w:hyperlink r:id="rId20" w:history="1">
        <w:r>
          <w:rPr>
            <w:rFonts w:ascii="Arial" w:eastAsia="Arial" w:hAnsi="Arial"/>
            <w:color w:val="0000FF"/>
            <w:kern w:val="0"/>
            <w:u w:val="single"/>
          </w:rPr>
          <w:t>https://www.grandviewresearch.com/industry-analysis/chatbot-market</w:t>
        </w:r>
      </w:hyperlink>
      <w:r>
        <w:rPr>
          <w:rFonts w:ascii="Arial" w:eastAsia="Arial" w:hAnsi="Arial"/>
          <w:kern w:val="0"/>
        </w:rPr>
        <w:t xml:space="preserve"> (Accessed: 24 July 2026).</w:t>
      </w:r>
    </w:p>
    <w:p w14:paraId="41D2DDBD" w14:textId="77777777" w:rsidR="000C2202" w:rsidRDefault="00DA46A9">
      <w:pPr>
        <w:spacing w:after="120" w:line="360" w:lineRule="auto"/>
        <w:ind w:left="567" w:hanging="567"/>
        <w:jc w:val="both"/>
      </w:pPr>
      <w:r>
        <w:rPr>
          <w:rFonts w:ascii="Arial" w:eastAsia="Arial" w:hAnsi="Arial"/>
          <w:kern w:val="0"/>
        </w:rPr>
        <w:t xml:space="preserve">Kantar (2026) </w:t>
      </w:r>
      <w:r>
        <w:rPr>
          <w:rFonts w:ascii="Arial" w:eastAsia="Arial" w:hAnsi="Arial"/>
          <w:i/>
          <w:iCs/>
          <w:kern w:val="0"/>
        </w:rPr>
        <w:t>Grocery Market Share</w:t>
      </w:r>
      <w:r>
        <w:rPr>
          <w:rFonts w:ascii="Arial" w:eastAsia="Arial" w:hAnsi="Arial"/>
          <w:kern w:val="0"/>
        </w:rPr>
        <w:t xml:space="preserve">. Available at: </w:t>
      </w:r>
      <w:hyperlink r:id="rId21" w:history="1">
        <w:r>
          <w:rPr>
            <w:rFonts w:ascii="Arial" w:eastAsia="Arial" w:hAnsi="Arial"/>
            <w:color w:val="0000FF"/>
            <w:kern w:val="0"/>
            <w:u w:val="single"/>
          </w:rPr>
          <w:t>https://www.kantar.com/uki/campaigns/grocery-market-share</w:t>
        </w:r>
      </w:hyperlink>
      <w:r>
        <w:rPr>
          <w:rFonts w:ascii="Arial" w:eastAsia="Arial" w:hAnsi="Arial"/>
          <w:kern w:val="0"/>
        </w:rPr>
        <w:t xml:space="preserve"> (Accessed: 24 July 2026).</w:t>
      </w:r>
    </w:p>
    <w:p w14:paraId="519185E8" w14:textId="77777777" w:rsidR="000C2202" w:rsidRDefault="00DA46A9">
      <w:pPr>
        <w:spacing w:after="120" w:line="360" w:lineRule="auto"/>
        <w:ind w:left="567" w:hanging="567"/>
        <w:jc w:val="both"/>
      </w:pPr>
      <w:r>
        <w:rPr>
          <w:rFonts w:ascii="Arial" w:eastAsia="Arial" w:hAnsi="Arial"/>
          <w:kern w:val="0"/>
        </w:rPr>
        <w:t xml:space="preserve">Lincoln, Y.S. and Guba, E.G. (1985) </w:t>
      </w:r>
      <w:r>
        <w:rPr>
          <w:rFonts w:ascii="Arial" w:eastAsia="Arial" w:hAnsi="Arial"/>
          <w:i/>
          <w:iCs/>
          <w:kern w:val="0"/>
        </w:rPr>
        <w:t>Naturalistic Inquiry</w:t>
      </w:r>
      <w:r>
        <w:rPr>
          <w:rFonts w:ascii="Arial" w:eastAsia="Arial" w:hAnsi="Arial"/>
          <w:kern w:val="0"/>
        </w:rPr>
        <w:t xml:space="preserve">. Beverly Hills, CA: SAGE Publications. Available at: </w:t>
      </w:r>
      <w:hyperlink r:id="rId22" w:history="1">
        <w:r>
          <w:rPr>
            <w:rFonts w:ascii="Arial" w:eastAsia="Arial" w:hAnsi="Arial"/>
            <w:color w:val="0000FF"/>
            <w:kern w:val="0"/>
            <w:u w:val="single"/>
          </w:rPr>
          <w:t>https://uk.sagepub.com/en-gb/eur/naturalistic-inquiry/book842</w:t>
        </w:r>
      </w:hyperlink>
    </w:p>
    <w:p w14:paraId="56CB04D9" w14:textId="77777777" w:rsidR="000C2202" w:rsidRDefault="00DA46A9">
      <w:pPr>
        <w:spacing w:after="120" w:line="360" w:lineRule="auto"/>
        <w:ind w:left="567" w:hanging="567"/>
        <w:jc w:val="both"/>
      </w:pPr>
      <w:r>
        <w:rPr>
          <w:rFonts w:ascii="Arial" w:eastAsia="Arial" w:hAnsi="Arial"/>
          <w:kern w:val="0"/>
        </w:rPr>
        <w:t xml:space="preserve">Melián-González, S., Gutiérrez-Taño, D. and Bulchand-Gidumal, J. (2021) ‘Predicting the intentions to use chatbots for travel and tourism’, </w:t>
      </w:r>
      <w:r>
        <w:rPr>
          <w:rFonts w:ascii="Arial" w:eastAsia="Arial" w:hAnsi="Arial"/>
          <w:i/>
          <w:iCs/>
          <w:kern w:val="0"/>
        </w:rPr>
        <w:t>Current Issues in Tourism</w:t>
      </w:r>
      <w:r>
        <w:rPr>
          <w:rFonts w:ascii="Arial" w:eastAsia="Arial" w:hAnsi="Arial"/>
          <w:kern w:val="0"/>
        </w:rPr>
        <w:t xml:space="preserve">, 24(2), pp. 192–210. Available at: </w:t>
      </w:r>
      <w:hyperlink r:id="rId23" w:history="1">
        <w:r>
          <w:rPr>
            <w:rFonts w:ascii="Arial" w:eastAsia="Arial" w:hAnsi="Arial"/>
            <w:color w:val="0000FF"/>
            <w:kern w:val="0"/>
            <w:u w:val="single"/>
          </w:rPr>
          <w:t>https://doi.org/10.1080/13683500.2019.1706457</w:t>
        </w:r>
      </w:hyperlink>
    </w:p>
    <w:p w14:paraId="4585E46E" w14:textId="77777777" w:rsidR="000C2202" w:rsidRDefault="00DA46A9">
      <w:pPr>
        <w:spacing w:after="120" w:line="360" w:lineRule="auto"/>
        <w:ind w:left="567" w:hanging="567"/>
        <w:jc w:val="both"/>
      </w:pPr>
      <w:r>
        <w:rPr>
          <w:rFonts w:ascii="Arial" w:eastAsia="Arial" w:hAnsi="Arial"/>
          <w:kern w:val="0"/>
        </w:rPr>
        <w:t xml:space="preserve">Mordor Intelligence (2026) </w:t>
      </w:r>
      <w:r>
        <w:rPr>
          <w:rFonts w:ascii="Arial" w:eastAsia="Arial" w:hAnsi="Arial"/>
          <w:i/>
          <w:iCs/>
          <w:kern w:val="0"/>
        </w:rPr>
        <w:t>Chatbot Market Size &amp; Share Analysis – Growth Trends and Forecast (2026–2031)</w:t>
      </w:r>
      <w:r>
        <w:rPr>
          <w:rFonts w:ascii="Arial" w:eastAsia="Arial" w:hAnsi="Arial"/>
          <w:kern w:val="0"/>
        </w:rPr>
        <w:t xml:space="preserve">. Available at: </w:t>
      </w:r>
      <w:hyperlink r:id="rId24" w:history="1">
        <w:r>
          <w:rPr>
            <w:rFonts w:ascii="Arial" w:eastAsia="Arial" w:hAnsi="Arial"/>
            <w:color w:val="0000FF"/>
            <w:kern w:val="0"/>
            <w:u w:val="single"/>
          </w:rPr>
          <w:t>https://www.mordorintelligence.com/industry-reports/global-chatbot-market</w:t>
        </w:r>
      </w:hyperlink>
      <w:r>
        <w:rPr>
          <w:rFonts w:ascii="Arial" w:eastAsia="Arial" w:hAnsi="Arial"/>
          <w:kern w:val="0"/>
        </w:rPr>
        <w:t xml:space="preserve"> (Accessed: 24 July 2026).</w:t>
      </w:r>
    </w:p>
    <w:p w14:paraId="3C992382" w14:textId="77777777" w:rsidR="000C2202" w:rsidRDefault="00DA46A9">
      <w:pPr>
        <w:spacing w:after="120" w:line="360" w:lineRule="auto"/>
        <w:ind w:left="567" w:hanging="567"/>
        <w:jc w:val="both"/>
      </w:pPr>
      <w:r>
        <w:rPr>
          <w:rFonts w:ascii="Arial" w:eastAsia="Arial" w:hAnsi="Arial"/>
          <w:kern w:val="0"/>
        </w:rPr>
        <w:t xml:space="preserve">Parasuraman, A., Zeithaml, V.A. and Berry, L.L. (1988) ‘SERVQUAL: a multiple-item scale for measuring consumer perceptions of service quality’, </w:t>
      </w:r>
      <w:r>
        <w:rPr>
          <w:rFonts w:ascii="Arial" w:eastAsia="Arial" w:hAnsi="Arial"/>
          <w:i/>
          <w:iCs/>
          <w:kern w:val="0"/>
        </w:rPr>
        <w:t>Journal of Retailing</w:t>
      </w:r>
      <w:r>
        <w:rPr>
          <w:rFonts w:ascii="Arial" w:eastAsia="Arial" w:hAnsi="Arial"/>
          <w:kern w:val="0"/>
        </w:rPr>
        <w:t>, 64(1), pp. 12–40.</w:t>
      </w:r>
    </w:p>
    <w:p w14:paraId="59F3FA02" w14:textId="77777777" w:rsidR="000C2202" w:rsidRDefault="00DA46A9">
      <w:pPr>
        <w:spacing w:after="120" w:line="360" w:lineRule="auto"/>
        <w:ind w:left="567" w:hanging="567"/>
        <w:jc w:val="both"/>
      </w:pPr>
      <w:r>
        <w:rPr>
          <w:rFonts w:ascii="Arial" w:eastAsia="Arial" w:hAnsi="Arial"/>
          <w:kern w:val="0"/>
        </w:rPr>
        <w:t xml:space="preserve">Polaris Market Research (2026) </w:t>
      </w:r>
      <w:r>
        <w:rPr>
          <w:rFonts w:ascii="Arial" w:eastAsia="Arial" w:hAnsi="Arial"/>
          <w:i/>
          <w:iCs/>
          <w:kern w:val="0"/>
        </w:rPr>
        <w:t>AI for Customer Service Market Size, Share, Trends, Industry Analysis Report, 2025–2034</w:t>
      </w:r>
      <w:r>
        <w:rPr>
          <w:rFonts w:ascii="Arial" w:eastAsia="Arial" w:hAnsi="Arial"/>
          <w:kern w:val="0"/>
        </w:rPr>
        <w:t xml:space="preserve">. Available at: </w:t>
      </w:r>
      <w:hyperlink r:id="rId25" w:history="1">
        <w:r>
          <w:rPr>
            <w:rFonts w:ascii="Arial" w:eastAsia="Arial" w:hAnsi="Arial"/>
            <w:color w:val="0000FF"/>
            <w:kern w:val="0"/>
            <w:u w:val="single"/>
          </w:rPr>
          <w:t>https://www.polarismarketresearch.com/industry-analysis/ai-for-customer-service-market</w:t>
        </w:r>
      </w:hyperlink>
      <w:r>
        <w:rPr>
          <w:rFonts w:ascii="Arial" w:eastAsia="Arial" w:hAnsi="Arial"/>
          <w:kern w:val="0"/>
        </w:rPr>
        <w:t xml:space="preserve"> (Accessed: 24 July 2026).</w:t>
      </w:r>
    </w:p>
    <w:p w14:paraId="7FCAF903" w14:textId="77777777" w:rsidR="000C2202" w:rsidRDefault="00DA46A9">
      <w:pPr>
        <w:spacing w:after="120" w:line="360" w:lineRule="auto"/>
        <w:ind w:left="567" w:hanging="567"/>
        <w:jc w:val="both"/>
      </w:pPr>
      <w:r>
        <w:rPr>
          <w:rFonts w:ascii="Arial" w:eastAsia="Arial" w:hAnsi="Arial"/>
          <w:kern w:val="0"/>
        </w:rPr>
        <w:t xml:space="preserve">Prentice, C. and Nguyen, M. (2020) ‘Engaging and retaining customers with AI and employee service’, </w:t>
      </w:r>
      <w:r>
        <w:rPr>
          <w:rFonts w:ascii="Arial" w:eastAsia="Arial" w:hAnsi="Arial"/>
          <w:i/>
          <w:iCs/>
          <w:kern w:val="0"/>
        </w:rPr>
        <w:t>Journal of Retailing and Consumer Services</w:t>
      </w:r>
      <w:r>
        <w:rPr>
          <w:rFonts w:ascii="Arial" w:eastAsia="Arial" w:hAnsi="Arial"/>
          <w:kern w:val="0"/>
        </w:rPr>
        <w:t>, 56, article 102186. Available at: https://doi.org/10.1016/j.jretconser.2020.102186</w:t>
      </w:r>
    </w:p>
    <w:p w14:paraId="28BFE393" w14:textId="77777777" w:rsidR="000C2202" w:rsidRDefault="00DA46A9">
      <w:pPr>
        <w:spacing w:after="120" w:line="360" w:lineRule="auto"/>
        <w:ind w:left="567" w:hanging="567"/>
        <w:jc w:val="both"/>
      </w:pPr>
      <w:r>
        <w:rPr>
          <w:rFonts w:ascii="Arial" w:eastAsia="Arial" w:hAnsi="Arial"/>
          <w:kern w:val="0"/>
        </w:rPr>
        <w:t xml:space="preserve">Rita, P., Vong, C. and Correia, C. (2026) ‘How AI-driven chatbots shape customer satisfaction and loyalty to chatbot usage in digital service experience’, </w:t>
      </w:r>
      <w:r>
        <w:rPr>
          <w:rFonts w:ascii="Arial" w:eastAsia="Arial" w:hAnsi="Arial"/>
          <w:i/>
          <w:iCs/>
          <w:kern w:val="0"/>
        </w:rPr>
        <w:t>Computers in Human Behavior Reports</w:t>
      </w:r>
      <w:r>
        <w:rPr>
          <w:rFonts w:ascii="Arial" w:eastAsia="Arial" w:hAnsi="Arial"/>
          <w:kern w:val="0"/>
        </w:rPr>
        <w:t>, 22, article 101017. Available at: https://doi.org/10.1016/j.chbr.2026.101017</w:t>
      </w:r>
    </w:p>
    <w:p w14:paraId="648A3F10" w14:textId="77777777" w:rsidR="000C2202" w:rsidRDefault="00DA46A9">
      <w:pPr>
        <w:spacing w:after="120" w:line="360" w:lineRule="auto"/>
        <w:ind w:left="567" w:hanging="567"/>
        <w:jc w:val="both"/>
      </w:pPr>
      <w:r>
        <w:rPr>
          <w:rFonts w:ascii="Arial" w:eastAsia="Arial" w:hAnsi="Arial"/>
          <w:kern w:val="0"/>
        </w:rPr>
        <w:t xml:space="preserve">Saunders, M., Lewis, P. and Thornhill, A. (2019) </w:t>
      </w:r>
      <w:r>
        <w:rPr>
          <w:rFonts w:ascii="Arial" w:eastAsia="Arial" w:hAnsi="Arial"/>
          <w:i/>
          <w:iCs/>
          <w:kern w:val="0"/>
        </w:rPr>
        <w:t>Research Methods for Business Students</w:t>
      </w:r>
      <w:r>
        <w:rPr>
          <w:rFonts w:ascii="Arial" w:eastAsia="Arial" w:hAnsi="Arial"/>
          <w:kern w:val="0"/>
        </w:rPr>
        <w:t xml:space="preserve">. 8th edn. Harlow: Pearson. Available at: </w:t>
      </w:r>
      <w:hyperlink r:id="rId26" w:history="1">
        <w:r>
          <w:rPr>
            <w:rFonts w:ascii="Arial" w:eastAsia="Arial" w:hAnsi="Arial"/>
            <w:color w:val="0000FF"/>
            <w:kern w:val="0"/>
            <w:u w:val="single"/>
          </w:rPr>
          <w:t>https://www.pearson.com/en-gb/subject-catalog/p/research-methods-for-business-students/P200000003553/9781292208787</w:t>
        </w:r>
      </w:hyperlink>
    </w:p>
    <w:p w14:paraId="26A23FA7" w14:textId="77777777" w:rsidR="000C2202" w:rsidRDefault="00DA46A9">
      <w:pPr>
        <w:spacing w:after="120" w:line="360" w:lineRule="auto"/>
        <w:ind w:left="567" w:hanging="567"/>
        <w:jc w:val="both"/>
      </w:pPr>
      <w:r>
        <w:rPr>
          <w:rFonts w:ascii="Arial" w:eastAsia="Arial" w:hAnsi="Arial"/>
          <w:kern w:val="0"/>
        </w:rPr>
        <w:t xml:space="preserve">Shahbandi, M. (2025) ‘AI chatbots vs. human customer service: impact on consumer satisfaction and purchase decisions’, </w:t>
      </w:r>
      <w:r>
        <w:rPr>
          <w:rFonts w:ascii="Arial" w:eastAsia="Arial" w:hAnsi="Arial"/>
          <w:i/>
          <w:iCs/>
          <w:kern w:val="0"/>
        </w:rPr>
        <w:t>International Business &amp; Economics Studies</w:t>
      </w:r>
      <w:r>
        <w:rPr>
          <w:rFonts w:ascii="Arial" w:eastAsia="Arial" w:hAnsi="Arial"/>
          <w:kern w:val="0"/>
        </w:rPr>
        <w:t>, 7(3), pp. 36–47. Available at: https://doi.org/10.22158/ibes.v7n3p36</w:t>
      </w:r>
    </w:p>
    <w:p w14:paraId="3970A04B" w14:textId="77777777" w:rsidR="000C2202" w:rsidRDefault="00DA46A9">
      <w:pPr>
        <w:spacing w:after="120" w:line="360" w:lineRule="auto"/>
        <w:ind w:left="567" w:hanging="567"/>
        <w:jc w:val="both"/>
      </w:pPr>
      <w:r>
        <w:rPr>
          <w:rFonts w:ascii="Arial" w:eastAsia="Arial" w:hAnsi="Arial"/>
          <w:kern w:val="0"/>
        </w:rPr>
        <w:t xml:space="preserve">Sheehan, B., Jin, H.S. and Gottlieb, U. (2020) ‘Customer service chatbots: anthropomorphism and adoption’, </w:t>
      </w:r>
      <w:r>
        <w:rPr>
          <w:rFonts w:ascii="Arial" w:eastAsia="Arial" w:hAnsi="Arial"/>
          <w:i/>
          <w:iCs/>
          <w:kern w:val="0"/>
        </w:rPr>
        <w:t>Journal of Business Research</w:t>
      </w:r>
      <w:r>
        <w:rPr>
          <w:rFonts w:ascii="Arial" w:eastAsia="Arial" w:hAnsi="Arial"/>
          <w:kern w:val="0"/>
        </w:rPr>
        <w:t>, 115, pp. 14–24. Available at: https://doi.org/10.1016/j.jbusres.2020.04.030</w:t>
      </w:r>
    </w:p>
    <w:p w14:paraId="30C220AF" w14:textId="77777777" w:rsidR="000C2202" w:rsidRDefault="00DA46A9">
      <w:pPr>
        <w:spacing w:after="120" w:line="360" w:lineRule="auto"/>
        <w:ind w:left="567" w:hanging="567"/>
        <w:jc w:val="both"/>
      </w:pPr>
      <w:r>
        <w:rPr>
          <w:rFonts w:ascii="Arial" w:eastAsia="Arial" w:hAnsi="Arial"/>
          <w:kern w:val="0"/>
        </w:rPr>
        <w:t xml:space="preserve">Slack, N.J., Singh, G. and Sharma, S. (2020) ‘The effect of supermarket service quality dimensions and customer satisfaction on customer loyalty and disloyalty dimensions’, </w:t>
      </w:r>
      <w:r>
        <w:rPr>
          <w:rFonts w:ascii="Arial" w:eastAsia="Arial" w:hAnsi="Arial"/>
          <w:i/>
          <w:iCs/>
          <w:kern w:val="0"/>
        </w:rPr>
        <w:t>International Journal of Quality and Service Sciences</w:t>
      </w:r>
      <w:r>
        <w:rPr>
          <w:rFonts w:ascii="Arial" w:eastAsia="Arial" w:hAnsi="Arial"/>
          <w:kern w:val="0"/>
        </w:rPr>
        <w:t xml:space="preserve">, 12(3), pp. 297–318. Available at: </w:t>
      </w:r>
      <w:hyperlink r:id="rId27" w:history="1">
        <w:r>
          <w:rPr>
            <w:rFonts w:ascii="Arial" w:eastAsia="Arial" w:hAnsi="Arial"/>
            <w:color w:val="0000FF"/>
            <w:kern w:val="0"/>
            <w:u w:val="single"/>
          </w:rPr>
          <w:t>https://doi.org/10.1108/IJQSS-10-2019-0114</w:t>
        </w:r>
      </w:hyperlink>
    </w:p>
    <w:p w14:paraId="226C9F56" w14:textId="77777777" w:rsidR="000C2202" w:rsidRDefault="00DA46A9">
      <w:pPr>
        <w:spacing w:after="120" w:line="360" w:lineRule="auto"/>
        <w:ind w:left="567" w:hanging="567"/>
        <w:jc w:val="both"/>
      </w:pPr>
      <w:r>
        <w:rPr>
          <w:rFonts w:ascii="Arial" w:eastAsia="Arial" w:hAnsi="Arial"/>
          <w:kern w:val="0"/>
        </w:rPr>
        <w:t xml:space="preserve">Statista Research Department (2025) ‘Tesco PLC – statistics &amp; facts’, 17 December. Available at: </w:t>
      </w:r>
      <w:hyperlink r:id="rId28" w:history="1">
        <w:r>
          <w:rPr>
            <w:rFonts w:ascii="Arial" w:eastAsia="Arial" w:hAnsi="Arial"/>
            <w:color w:val="0000FF"/>
            <w:kern w:val="0"/>
            <w:u w:val="single"/>
          </w:rPr>
          <w:t>https://www.statista.com/topics/3807/tesco-plc/</w:t>
        </w:r>
      </w:hyperlink>
      <w:r>
        <w:rPr>
          <w:rFonts w:ascii="Arial" w:eastAsia="Arial" w:hAnsi="Arial"/>
          <w:kern w:val="0"/>
        </w:rPr>
        <w:t xml:space="preserve"> (Accessed: 24 July 2026).</w:t>
      </w:r>
    </w:p>
    <w:p w14:paraId="3C295DD7" w14:textId="77777777" w:rsidR="000C2202" w:rsidRDefault="00DA46A9">
      <w:pPr>
        <w:spacing w:after="120" w:line="360" w:lineRule="auto"/>
        <w:ind w:left="567" w:hanging="567"/>
        <w:jc w:val="both"/>
      </w:pPr>
      <w:r>
        <w:rPr>
          <w:rFonts w:ascii="Arial" w:eastAsia="Arial" w:hAnsi="Arial"/>
          <w:kern w:val="0"/>
        </w:rPr>
        <w:t xml:space="preserve">Tesco PLC (2026) ‘Tesco launches large-scale colleague trial of new AI assistant, designed to lighten the load for customers’, 9 April. Available at: </w:t>
      </w:r>
      <w:hyperlink r:id="rId29" w:history="1">
        <w:r>
          <w:rPr>
            <w:rFonts w:ascii="Arial" w:eastAsia="Arial" w:hAnsi="Arial"/>
            <w:color w:val="0000FF"/>
            <w:kern w:val="0"/>
            <w:u w:val="single"/>
          </w:rPr>
          <w:t>https://www.tescoplc.com/tesco-launches-large-scale-colleague-trial-of-new-ai-assistant-designed-to-lighten-the-load-for-customers/</w:t>
        </w:r>
      </w:hyperlink>
      <w:r>
        <w:rPr>
          <w:rFonts w:ascii="Arial" w:eastAsia="Arial" w:hAnsi="Arial"/>
          <w:kern w:val="0"/>
        </w:rPr>
        <w:t xml:space="preserve"> (Accessed: 24 July 2026).</w:t>
      </w:r>
    </w:p>
    <w:p w14:paraId="1A01D268" w14:textId="77777777" w:rsidR="000C2202" w:rsidRDefault="00DA46A9">
      <w:pPr>
        <w:spacing w:after="120" w:line="360" w:lineRule="auto"/>
        <w:ind w:left="567" w:hanging="567"/>
        <w:jc w:val="both"/>
      </w:pPr>
      <w:r>
        <w:rPr>
          <w:rFonts w:ascii="Arial" w:eastAsia="Arial" w:hAnsi="Arial"/>
          <w:kern w:val="0"/>
        </w:rPr>
        <w:t xml:space="preserve">Uzoka, A., Cadet, E. and Ojukwu, P.U. (2024) ‘Leveraging AI-powered chatbots to enhance customer service efficiency and future opportunities in automated support’, </w:t>
      </w:r>
      <w:r>
        <w:rPr>
          <w:rFonts w:ascii="Arial" w:eastAsia="Arial" w:hAnsi="Arial"/>
          <w:i/>
          <w:iCs/>
          <w:kern w:val="0"/>
        </w:rPr>
        <w:t>Computer Science &amp; IT Research Journal</w:t>
      </w:r>
      <w:r>
        <w:rPr>
          <w:rFonts w:ascii="Arial" w:eastAsia="Arial" w:hAnsi="Arial"/>
          <w:kern w:val="0"/>
        </w:rPr>
        <w:t>, 5(10), pp. 2485–2510. Available at: https://doi.org/10.51594/csitrj.v5i10.1676</w:t>
      </w:r>
    </w:p>
    <w:p w14:paraId="52F19654" w14:textId="77777777" w:rsidR="000C2202" w:rsidRDefault="00DA46A9">
      <w:pPr>
        <w:spacing w:after="120" w:line="360" w:lineRule="auto"/>
        <w:ind w:left="567" w:hanging="567"/>
        <w:jc w:val="both"/>
      </w:pPr>
      <w:r>
        <w:rPr>
          <w:rFonts w:ascii="Arial" w:eastAsia="Arial" w:hAnsi="Arial"/>
          <w:kern w:val="0"/>
        </w:rPr>
        <w:t xml:space="preserve">Yin, R.K. (2018) </w:t>
      </w:r>
      <w:r>
        <w:rPr>
          <w:rFonts w:ascii="Arial" w:eastAsia="Arial" w:hAnsi="Arial"/>
          <w:i/>
          <w:iCs/>
          <w:kern w:val="0"/>
        </w:rPr>
        <w:t>Case Study Research and Applications: Design and Methods</w:t>
      </w:r>
      <w:r>
        <w:rPr>
          <w:rFonts w:ascii="Arial" w:eastAsia="Arial" w:hAnsi="Arial"/>
          <w:kern w:val="0"/>
        </w:rPr>
        <w:t>. 6th edn. Los Angeles, CA: SAGE Publications.</w:t>
      </w:r>
    </w:p>
    <w:p w14:paraId="1920F759" w14:textId="77777777" w:rsidR="000C2202" w:rsidRDefault="00DA46A9">
      <w:pPr>
        <w:spacing w:after="120" w:line="360" w:lineRule="auto"/>
        <w:ind w:left="567" w:hanging="567"/>
        <w:jc w:val="both"/>
      </w:pPr>
      <w:r>
        <w:rPr>
          <w:rFonts w:ascii="Arial" w:eastAsia="Arial" w:hAnsi="Arial"/>
          <w:kern w:val="0"/>
        </w:rPr>
        <w:t xml:space="preserve">Zeithaml, V.A., Bitner, M.J. and Gremler, D.D. (2018) </w:t>
      </w:r>
      <w:r>
        <w:rPr>
          <w:rFonts w:ascii="Arial" w:eastAsia="Arial" w:hAnsi="Arial"/>
          <w:i/>
          <w:iCs/>
          <w:kern w:val="0"/>
        </w:rPr>
        <w:t>Services Marketing: Integrating Customer Focus Across the Firm</w:t>
      </w:r>
      <w:r>
        <w:rPr>
          <w:rFonts w:ascii="Arial" w:eastAsia="Arial" w:hAnsi="Arial"/>
          <w:kern w:val="0"/>
        </w:rPr>
        <w:t>. 7th edn. New York: McGraw-Hill Education.</w:t>
      </w:r>
    </w:p>
    <w:p w14:paraId="20BDDB37" w14:textId="77777777" w:rsidR="000C2202" w:rsidRDefault="000C2202">
      <w:pPr>
        <w:spacing w:after="120" w:line="360" w:lineRule="auto"/>
        <w:ind w:left="567" w:hanging="567"/>
        <w:jc w:val="both"/>
        <w:rPr>
          <w:rFonts w:ascii="Arial" w:eastAsia="Arial" w:hAnsi="Arial"/>
          <w:kern w:val="0"/>
        </w:rPr>
      </w:pPr>
    </w:p>
    <w:p w14:paraId="2E8F8434" w14:textId="77777777" w:rsidR="000C2202" w:rsidRDefault="00DA46A9">
      <w:pPr>
        <w:keepNext/>
        <w:keepLines/>
        <w:spacing w:before="480" w:after="0" w:line="360" w:lineRule="auto"/>
        <w:jc w:val="center"/>
        <w:outlineLvl w:val="0"/>
        <w:rPr>
          <w:rFonts w:ascii="Calibri" w:eastAsia="MS Gothic" w:hAnsi="Calibri"/>
          <w:b/>
          <w:bCs/>
          <w:color w:val="365F91"/>
          <w:kern w:val="0"/>
          <w:sz w:val="32"/>
          <w:szCs w:val="28"/>
        </w:rPr>
      </w:pPr>
      <w:bookmarkStart w:id="78" w:name="_Toc235807083"/>
      <w:r>
        <w:rPr>
          <w:rFonts w:ascii="Calibri" w:eastAsia="MS Gothic" w:hAnsi="Calibri"/>
          <w:b/>
          <w:bCs/>
          <w:color w:val="365F91"/>
          <w:kern w:val="0"/>
          <w:sz w:val="32"/>
          <w:szCs w:val="28"/>
        </w:rPr>
        <w:t>Appendices</w:t>
      </w:r>
      <w:bookmarkEnd w:id="78"/>
      <w:r>
        <w:rPr>
          <w:rFonts w:ascii="Calibri" w:eastAsia="MS Gothic" w:hAnsi="Calibri"/>
          <w:b/>
          <w:bCs/>
          <w:color w:val="365F91"/>
          <w:kern w:val="0"/>
          <w:sz w:val="32"/>
          <w:szCs w:val="28"/>
        </w:rPr>
        <w:t xml:space="preserve"> </w:t>
      </w:r>
    </w:p>
    <w:p w14:paraId="52CF93B5" w14:textId="77777777" w:rsidR="000C2202" w:rsidRDefault="00DA46A9">
      <w:pPr>
        <w:keepNext/>
        <w:keepLines/>
        <w:spacing w:before="200" w:after="0" w:line="360" w:lineRule="auto"/>
        <w:outlineLvl w:val="1"/>
      </w:pPr>
      <w:bookmarkStart w:id="79" w:name="_Toc235807084"/>
      <w:r>
        <w:rPr>
          <w:rFonts w:ascii="Calibri" w:eastAsia="MS Gothic" w:hAnsi="Calibri"/>
          <w:b/>
          <w:bCs/>
          <w:color w:val="4F81BD"/>
          <w:kern w:val="0"/>
          <w:sz w:val="26"/>
          <w:szCs w:val="26"/>
        </w:rPr>
        <w:t>Appendix A Data-Source Inventory (sample)</w:t>
      </w:r>
      <w:bookmarkEnd w:id="79"/>
    </w:p>
    <w:p w14:paraId="00627846" w14:textId="77777777" w:rsidR="000C2202" w:rsidRDefault="00DA46A9">
      <w:pPr>
        <w:spacing w:after="120" w:line="360" w:lineRule="auto"/>
        <w:jc w:val="both"/>
      </w:pPr>
      <w:r>
        <w:rPr>
          <w:rFonts w:ascii="Arial" w:eastAsia="Arial" w:hAnsi="Arial"/>
          <w:kern w:val="0"/>
          <w:szCs w:val="22"/>
        </w:rPr>
        <w:t>The following table shows a sample of sources from the 75-source analytical corpus. The entire inventory is kept in the evidence-management workbook outlined in Section 3.6. The credibility tiers are as follows: Tier 1 – peer reviewed academic evidence, Tier 2 – recognised industry, corporate, trade-press or anonymised public-review evidence (see Section 3.7).</w:t>
      </w:r>
    </w:p>
    <w:tbl>
      <w:tblPr>
        <w:tblW w:w="9300" w:type="dxa"/>
        <w:jc w:val="center"/>
        <w:tblCellMar>
          <w:left w:w="10" w:type="dxa"/>
          <w:right w:w="10" w:type="dxa"/>
        </w:tblCellMar>
        <w:tblLook w:val="0000" w:firstRow="0" w:lastRow="0" w:firstColumn="0" w:lastColumn="0" w:noHBand="0" w:noVBand="0"/>
      </w:tblPr>
      <w:tblGrid>
        <w:gridCol w:w="683"/>
        <w:gridCol w:w="1547"/>
        <w:gridCol w:w="1844"/>
        <w:gridCol w:w="721"/>
        <w:gridCol w:w="2522"/>
        <w:gridCol w:w="875"/>
        <w:gridCol w:w="1108"/>
      </w:tblGrid>
      <w:tr w:rsidR="000C2202" w14:paraId="4810969A"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5CACD006" w14:textId="77777777" w:rsidR="000C2202" w:rsidRDefault="00DA46A9">
            <w:pPr>
              <w:spacing w:before="40" w:after="40" w:line="360" w:lineRule="auto"/>
              <w:jc w:val="center"/>
            </w:pPr>
            <w:r>
              <w:rPr>
                <w:rFonts w:ascii="Arial" w:eastAsia="Arial" w:hAnsi="Arial"/>
                <w:b/>
                <w:color w:val="FFFFFF"/>
                <w:kern w:val="0"/>
              </w:rPr>
              <w:t>ID</w:t>
            </w:r>
          </w:p>
        </w:tc>
        <w:tc>
          <w:tcPr>
            <w:tcW w:w="1547"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6CB551AB" w14:textId="77777777" w:rsidR="000C2202" w:rsidRDefault="00DA46A9">
            <w:pPr>
              <w:spacing w:before="40" w:after="40" w:line="360" w:lineRule="auto"/>
            </w:pPr>
            <w:r>
              <w:rPr>
                <w:rFonts w:ascii="Arial" w:eastAsia="Arial" w:hAnsi="Arial"/>
                <w:b/>
                <w:color w:val="FFFFFF"/>
                <w:kern w:val="0"/>
              </w:rPr>
              <w:t>Source type</w:t>
            </w:r>
          </w:p>
        </w:tc>
        <w:tc>
          <w:tcPr>
            <w:tcW w:w="1844"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030AED09" w14:textId="77777777" w:rsidR="000C2202" w:rsidRDefault="00DA46A9">
            <w:pPr>
              <w:spacing w:before="40" w:after="40" w:line="360" w:lineRule="auto"/>
            </w:pPr>
            <w:r>
              <w:rPr>
                <w:rFonts w:ascii="Arial" w:eastAsia="Arial" w:hAnsi="Arial"/>
                <w:b/>
                <w:color w:val="FFFFFF"/>
                <w:kern w:val="0"/>
              </w:rPr>
              <w:t>Author / Publisher</w:t>
            </w:r>
          </w:p>
        </w:tc>
        <w:tc>
          <w:tcPr>
            <w:tcW w:w="721"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55341290" w14:textId="77777777" w:rsidR="000C2202" w:rsidRDefault="00DA46A9">
            <w:pPr>
              <w:spacing w:before="40" w:after="40" w:line="360" w:lineRule="auto"/>
              <w:jc w:val="center"/>
            </w:pPr>
            <w:r>
              <w:rPr>
                <w:rFonts w:ascii="Arial" w:eastAsia="Arial" w:hAnsi="Arial"/>
                <w:b/>
                <w:color w:val="FFFFFF"/>
                <w:kern w:val="0"/>
              </w:rPr>
              <w:t>Year</w:t>
            </w:r>
          </w:p>
        </w:tc>
        <w:tc>
          <w:tcPr>
            <w:tcW w:w="2522"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49B9032B" w14:textId="77777777" w:rsidR="000C2202" w:rsidRDefault="00DA46A9">
            <w:pPr>
              <w:spacing w:before="40" w:after="40" w:line="360" w:lineRule="auto"/>
            </w:pPr>
            <w:r>
              <w:rPr>
                <w:rFonts w:ascii="Arial" w:eastAsia="Arial" w:hAnsi="Arial"/>
                <w:b/>
                <w:color w:val="FFFFFF"/>
                <w:kern w:val="0"/>
              </w:rPr>
              <w:t>Title / focus (paraphrased)</w:t>
            </w:r>
          </w:p>
        </w:tc>
        <w:tc>
          <w:tcPr>
            <w:tcW w:w="875"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59BB65D5" w14:textId="77777777" w:rsidR="000C2202" w:rsidRDefault="00DA46A9">
            <w:pPr>
              <w:spacing w:before="40" w:after="40" w:line="360" w:lineRule="auto"/>
              <w:jc w:val="center"/>
            </w:pPr>
            <w:r>
              <w:rPr>
                <w:rFonts w:ascii="Arial" w:eastAsia="Arial" w:hAnsi="Arial"/>
                <w:b/>
                <w:color w:val="FFFFFF"/>
                <w:kern w:val="0"/>
              </w:rPr>
              <w:t>Tier</w:t>
            </w:r>
          </w:p>
        </w:tc>
        <w:tc>
          <w:tcPr>
            <w:tcW w:w="1108"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053E74B9" w14:textId="77777777" w:rsidR="000C2202" w:rsidRDefault="00DA46A9">
            <w:pPr>
              <w:spacing w:before="40" w:after="40" w:line="360" w:lineRule="auto"/>
              <w:jc w:val="center"/>
            </w:pPr>
            <w:r>
              <w:rPr>
                <w:rFonts w:ascii="Arial" w:eastAsia="Arial" w:hAnsi="Arial"/>
                <w:b/>
                <w:color w:val="FFFFFF"/>
                <w:kern w:val="0"/>
              </w:rPr>
              <w:t>Themes</w:t>
            </w:r>
          </w:p>
        </w:tc>
      </w:tr>
      <w:tr w:rsidR="000C2202" w14:paraId="3EC320BA"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3F6E7108" w14:textId="77777777" w:rsidR="000C2202" w:rsidRDefault="00DA46A9">
            <w:pPr>
              <w:spacing w:before="40" w:after="40" w:line="360" w:lineRule="auto"/>
              <w:jc w:val="center"/>
            </w:pPr>
            <w:r>
              <w:rPr>
                <w:rFonts w:ascii="Arial" w:eastAsia="Arial" w:hAnsi="Arial"/>
                <w:b/>
                <w:color w:val="000000"/>
                <w:kern w:val="0"/>
                <w:sz w:val="18"/>
              </w:rPr>
              <w:t>A01</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AF306A4" w14:textId="77777777" w:rsidR="000C2202" w:rsidRDefault="00DA46A9">
            <w:pPr>
              <w:spacing w:before="40" w:after="40" w:line="360" w:lineRule="auto"/>
            </w:pPr>
            <w:r>
              <w:rPr>
                <w:rFonts w:ascii="Arial" w:eastAsia="Arial" w:hAnsi="Arial"/>
                <w:color w:val="000000"/>
                <w:kern w:val="0"/>
                <w:sz w:val="18"/>
              </w:rPr>
              <w:t>Peer-reviewed journal</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852870A" w14:textId="77777777" w:rsidR="000C2202" w:rsidRDefault="00DA46A9">
            <w:pPr>
              <w:spacing w:before="40" w:after="40" w:line="360" w:lineRule="auto"/>
            </w:pPr>
            <w:r>
              <w:rPr>
                <w:rFonts w:ascii="Arial" w:eastAsia="Arial" w:hAnsi="Arial"/>
                <w:color w:val="000000"/>
                <w:kern w:val="0"/>
                <w:sz w:val="18"/>
              </w:rPr>
              <w:t>Ashfaq et al.</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1134CB9" w14:textId="77777777" w:rsidR="000C2202" w:rsidRDefault="00DA46A9">
            <w:pPr>
              <w:spacing w:before="40" w:after="40" w:line="360" w:lineRule="auto"/>
              <w:jc w:val="center"/>
            </w:pPr>
            <w:r>
              <w:rPr>
                <w:rFonts w:ascii="Arial" w:eastAsia="Arial" w:hAnsi="Arial"/>
                <w:color w:val="000000"/>
                <w:kern w:val="0"/>
                <w:sz w:val="18"/>
              </w:rPr>
              <w:t>2020</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C7310A0" w14:textId="77777777" w:rsidR="000C2202" w:rsidRDefault="00DA46A9">
            <w:pPr>
              <w:spacing w:before="40" w:after="40" w:line="360" w:lineRule="auto"/>
            </w:pPr>
            <w:r>
              <w:rPr>
                <w:rFonts w:ascii="Arial" w:eastAsia="Arial" w:hAnsi="Arial"/>
                <w:i/>
                <w:color w:val="000000"/>
                <w:kern w:val="0"/>
                <w:sz w:val="18"/>
              </w:rPr>
              <w:t>Chatbot satisfaction / continuance (ECM extension)</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551A58A" w14:textId="77777777" w:rsidR="000C2202" w:rsidRDefault="00DA46A9">
            <w:pPr>
              <w:spacing w:before="40" w:after="40" w:line="360" w:lineRule="auto"/>
              <w:jc w:val="center"/>
            </w:pPr>
            <w:r>
              <w:rPr>
                <w:rFonts w:ascii="Arial" w:eastAsia="Arial" w:hAnsi="Arial"/>
                <w:color w:val="000000"/>
                <w:kern w:val="0"/>
                <w:sz w:val="18"/>
              </w:rPr>
              <w:t>1</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8487526" w14:textId="77777777" w:rsidR="000C2202" w:rsidRDefault="00DA46A9">
            <w:pPr>
              <w:spacing w:before="40" w:after="40" w:line="360" w:lineRule="auto"/>
              <w:jc w:val="center"/>
            </w:pPr>
            <w:r>
              <w:rPr>
                <w:rFonts w:ascii="Arial" w:eastAsia="Arial" w:hAnsi="Arial"/>
                <w:color w:val="000000"/>
                <w:kern w:val="0"/>
                <w:sz w:val="18"/>
              </w:rPr>
              <w:t>T1, T2</w:t>
            </w:r>
          </w:p>
        </w:tc>
      </w:tr>
      <w:tr w:rsidR="000C2202" w14:paraId="5B0161E2"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ECB44F4" w14:textId="77777777" w:rsidR="000C2202" w:rsidRDefault="00DA46A9">
            <w:pPr>
              <w:spacing w:before="40" w:after="40" w:line="360" w:lineRule="auto"/>
              <w:jc w:val="center"/>
            </w:pPr>
            <w:r>
              <w:rPr>
                <w:rFonts w:ascii="Arial" w:eastAsia="Arial" w:hAnsi="Arial"/>
                <w:b/>
                <w:color w:val="000000"/>
                <w:kern w:val="0"/>
                <w:sz w:val="18"/>
              </w:rPr>
              <w:t>A02</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7212620" w14:textId="77777777" w:rsidR="000C2202" w:rsidRDefault="00DA46A9">
            <w:pPr>
              <w:spacing w:before="40" w:after="40" w:line="360" w:lineRule="auto"/>
            </w:pPr>
            <w:r>
              <w:rPr>
                <w:rFonts w:ascii="Arial" w:eastAsia="Arial" w:hAnsi="Arial"/>
                <w:color w:val="000000"/>
                <w:kern w:val="0"/>
                <w:sz w:val="18"/>
              </w:rPr>
              <w:t>Peer-reviewed journal</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DC0592B" w14:textId="77777777" w:rsidR="000C2202" w:rsidRDefault="00DA46A9">
            <w:pPr>
              <w:spacing w:before="40" w:after="40" w:line="360" w:lineRule="auto"/>
            </w:pPr>
            <w:r>
              <w:rPr>
                <w:rFonts w:ascii="Arial" w:eastAsia="Arial" w:hAnsi="Arial"/>
                <w:color w:val="000000"/>
                <w:kern w:val="0"/>
                <w:sz w:val="18"/>
              </w:rPr>
              <w:t>Sheehan, Jin and Gottlieb</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7297B4C" w14:textId="77777777" w:rsidR="000C2202" w:rsidRDefault="00DA46A9">
            <w:pPr>
              <w:spacing w:before="40" w:after="40" w:line="360" w:lineRule="auto"/>
              <w:jc w:val="center"/>
            </w:pPr>
            <w:r>
              <w:rPr>
                <w:rFonts w:ascii="Arial" w:eastAsia="Arial" w:hAnsi="Arial"/>
                <w:color w:val="000000"/>
                <w:kern w:val="0"/>
                <w:sz w:val="18"/>
              </w:rPr>
              <w:t>2020</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D6BE0AE" w14:textId="77777777" w:rsidR="000C2202" w:rsidRDefault="00DA46A9">
            <w:pPr>
              <w:spacing w:before="40" w:after="40" w:line="360" w:lineRule="auto"/>
            </w:pPr>
            <w:r>
              <w:rPr>
                <w:rFonts w:ascii="Arial" w:eastAsia="Arial" w:hAnsi="Arial"/>
                <w:i/>
                <w:color w:val="000000"/>
                <w:kern w:val="0"/>
                <w:sz w:val="18"/>
              </w:rPr>
              <w:t>Anthropomorphism in customer-service chatbots</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E977DC1" w14:textId="77777777" w:rsidR="000C2202" w:rsidRDefault="00DA46A9">
            <w:pPr>
              <w:spacing w:before="40" w:after="40" w:line="360" w:lineRule="auto"/>
              <w:jc w:val="center"/>
            </w:pPr>
            <w:r>
              <w:rPr>
                <w:rFonts w:ascii="Arial" w:eastAsia="Arial" w:hAnsi="Arial"/>
                <w:color w:val="000000"/>
                <w:kern w:val="0"/>
                <w:sz w:val="18"/>
              </w:rPr>
              <w:t>1</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4C02969" w14:textId="77777777" w:rsidR="000C2202" w:rsidRDefault="00DA46A9">
            <w:pPr>
              <w:spacing w:before="40" w:after="40" w:line="360" w:lineRule="auto"/>
              <w:jc w:val="center"/>
            </w:pPr>
            <w:r>
              <w:rPr>
                <w:rFonts w:ascii="Arial" w:eastAsia="Arial" w:hAnsi="Arial"/>
                <w:color w:val="000000"/>
                <w:kern w:val="0"/>
                <w:sz w:val="18"/>
              </w:rPr>
              <w:t>T3, T5</w:t>
            </w:r>
          </w:p>
        </w:tc>
      </w:tr>
      <w:tr w:rsidR="000C2202" w14:paraId="4DC906A3"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F14F28B" w14:textId="77777777" w:rsidR="000C2202" w:rsidRDefault="00DA46A9">
            <w:pPr>
              <w:spacing w:before="40" w:after="40" w:line="360" w:lineRule="auto"/>
              <w:jc w:val="center"/>
            </w:pPr>
            <w:r>
              <w:rPr>
                <w:rFonts w:ascii="Arial" w:eastAsia="Arial" w:hAnsi="Arial"/>
                <w:b/>
                <w:color w:val="000000"/>
                <w:kern w:val="0"/>
                <w:sz w:val="18"/>
              </w:rPr>
              <w:t>A03</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1A9975C" w14:textId="77777777" w:rsidR="000C2202" w:rsidRDefault="00DA46A9">
            <w:pPr>
              <w:spacing w:before="40" w:after="40" w:line="360" w:lineRule="auto"/>
            </w:pPr>
            <w:r>
              <w:rPr>
                <w:rFonts w:ascii="Arial" w:eastAsia="Arial" w:hAnsi="Arial"/>
                <w:color w:val="000000"/>
                <w:kern w:val="0"/>
                <w:sz w:val="18"/>
              </w:rPr>
              <w:t>Peer-reviewed journal</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2208E99" w14:textId="77777777" w:rsidR="000C2202" w:rsidRDefault="00DA46A9">
            <w:pPr>
              <w:spacing w:before="40" w:after="40" w:line="360" w:lineRule="auto"/>
            </w:pPr>
            <w:r>
              <w:rPr>
                <w:rFonts w:ascii="Arial" w:eastAsia="Arial" w:hAnsi="Arial"/>
                <w:color w:val="000000"/>
                <w:kern w:val="0"/>
                <w:sz w:val="18"/>
              </w:rPr>
              <w:t>Chung et al.</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60B45D1" w14:textId="77777777" w:rsidR="000C2202" w:rsidRDefault="00DA46A9">
            <w:pPr>
              <w:spacing w:before="40" w:after="40" w:line="360" w:lineRule="auto"/>
              <w:jc w:val="center"/>
            </w:pPr>
            <w:r>
              <w:rPr>
                <w:rFonts w:ascii="Arial" w:eastAsia="Arial" w:hAnsi="Arial"/>
                <w:color w:val="000000"/>
                <w:kern w:val="0"/>
                <w:sz w:val="18"/>
              </w:rPr>
              <w:t>2020</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98252A6" w14:textId="77777777" w:rsidR="000C2202" w:rsidRDefault="00DA46A9">
            <w:pPr>
              <w:spacing w:before="40" w:after="40" w:line="360" w:lineRule="auto"/>
            </w:pPr>
            <w:r>
              <w:rPr>
                <w:rFonts w:ascii="Arial" w:eastAsia="Arial" w:hAnsi="Arial"/>
                <w:i/>
                <w:color w:val="000000"/>
                <w:kern w:val="0"/>
                <w:sz w:val="18"/>
              </w:rPr>
              <w:t>Chatbot e-service in luxury brand context</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7A9571C" w14:textId="77777777" w:rsidR="000C2202" w:rsidRDefault="00DA46A9">
            <w:pPr>
              <w:spacing w:before="40" w:after="40" w:line="360" w:lineRule="auto"/>
              <w:jc w:val="center"/>
            </w:pPr>
            <w:r>
              <w:rPr>
                <w:rFonts w:ascii="Arial" w:eastAsia="Arial" w:hAnsi="Arial"/>
                <w:color w:val="000000"/>
                <w:kern w:val="0"/>
                <w:sz w:val="18"/>
              </w:rPr>
              <w:t>1</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67FBED6" w14:textId="77777777" w:rsidR="000C2202" w:rsidRDefault="00DA46A9">
            <w:pPr>
              <w:spacing w:before="40" w:after="40" w:line="360" w:lineRule="auto"/>
              <w:jc w:val="center"/>
            </w:pPr>
            <w:r>
              <w:rPr>
                <w:rFonts w:ascii="Arial" w:eastAsia="Arial" w:hAnsi="Arial"/>
                <w:color w:val="000000"/>
                <w:kern w:val="0"/>
                <w:sz w:val="18"/>
              </w:rPr>
              <w:t>T2, T3</w:t>
            </w:r>
          </w:p>
        </w:tc>
      </w:tr>
      <w:tr w:rsidR="000C2202" w14:paraId="31A95F90"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34106E76" w14:textId="77777777" w:rsidR="000C2202" w:rsidRDefault="00DA46A9">
            <w:pPr>
              <w:spacing w:before="40" w:after="40" w:line="360" w:lineRule="auto"/>
              <w:jc w:val="center"/>
            </w:pPr>
            <w:r>
              <w:rPr>
                <w:rFonts w:ascii="Arial" w:eastAsia="Arial" w:hAnsi="Arial"/>
                <w:b/>
                <w:color w:val="000000"/>
                <w:kern w:val="0"/>
                <w:sz w:val="18"/>
              </w:rPr>
              <w:t>A04</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56A7723" w14:textId="77777777" w:rsidR="000C2202" w:rsidRDefault="00DA46A9">
            <w:pPr>
              <w:spacing w:before="40" w:after="40" w:line="360" w:lineRule="auto"/>
            </w:pPr>
            <w:r>
              <w:rPr>
                <w:rFonts w:ascii="Arial" w:eastAsia="Arial" w:hAnsi="Arial"/>
                <w:color w:val="000000"/>
                <w:kern w:val="0"/>
                <w:sz w:val="18"/>
              </w:rPr>
              <w:t>Peer-reviewed journal</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069647E" w14:textId="77777777" w:rsidR="000C2202" w:rsidRDefault="00DA46A9">
            <w:pPr>
              <w:spacing w:before="40" w:after="40" w:line="360" w:lineRule="auto"/>
            </w:pPr>
            <w:r>
              <w:rPr>
                <w:rFonts w:ascii="Arial" w:eastAsia="Arial" w:hAnsi="Arial"/>
                <w:color w:val="000000"/>
                <w:kern w:val="0"/>
                <w:sz w:val="18"/>
              </w:rPr>
              <w:t>Chopra, Ranjani and Narsipur</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640E31B" w14:textId="77777777" w:rsidR="000C2202" w:rsidRDefault="00DA46A9">
            <w:pPr>
              <w:spacing w:before="40" w:after="40" w:line="360" w:lineRule="auto"/>
              <w:jc w:val="center"/>
            </w:pPr>
            <w:r>
              <w:rPr>
                <w:rFonts w:ascii="Arial" w:eastAsia="Arial" w:hAnsi="Arial"/>
                <w:color w:val="000000"/>
                <w:kern w:val="0"/>
                <w:sz w:val="18"/>
              </w:rPr>
              <w:t>2023</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2555886" w14:textId="77777777" w:rsidR="000C2202" w:rsidRDefault="00DA46A9">
            <w:pPr>
              <w:spacing w:before="40" w:after="40" w:line="360" w:lineRule="auto"/>
            </w:pPr>
            <w:r>
              <w:rPr>
                <w:rFonts w:ascii="Arial" w:eastAsia="Arial" w:hAnsi="Arial"/>
                <w:i/>
                <w:color w:val="000000"/>
                <w:kern w:val="0"/>
                <w:sz w:val="18"/>
              </w:rPr>
              <w:t>SERVQUAL applied to chatbot service quality</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F320517" w14:textId="77777777" w:rsidR="000C2202" w:rsidRDefault="00DA46A9">
            <w:pPr>
              <w:spacing w:before="40" w:after="40" w:line="360" w:lineRule="auto"/>
              <w:jc w:val="center"/>
            </w:pPr>
            <w:r>
              <w:rPr>
                <w:rFonts w:ascii="Arial" w:eastAsia="Arial" w:hAnsi="Arial"/>
                <w:color w:val="000000"/>
                <w:kern w:val="0"/>
                <w:sz w:val="18"/>
              </w:rPr>
              <w:t>1</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CFA194C" w14:textId="77777777" w:rsidR="000C2202" w:rsidRDefault="00DA46A9">
            <w:pPr>
              <w:spacing w:before="40" w:after="40" w:line="360" w:lineRule="auto"/>
              <w:jc w:val="center"/>
            </w:pPr>
            <w:r>
              <w:rPr>
                <w:rFonts w:ascii="Arial" w:eastAsia="Arial" w:hAnsi="Arial"/>
                <w:color w:val="000000"/>
                <w:kern w:val="0"/>
                <w:sz w:val="18"/>
              </w:rPr>
              <w:t>T1, T3</w:t>
            </w:r>
          </w:p>
        </w:tc>
      </w:tr>
      <w:tr w:rsidR="000C2202" w14:paraId="4C3594BD"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49C3E0D1" w14:textId="77777777" w:rsidR="000C2202" w:rsidRDefault="00DA46A9">
            <w:pPr>
              <w:spacing w:before="40" w:after="40" w:line="360" w:lineRule="auto"/>
              <w:jc w:val="center"/>
            </w:pPr>
            <w:r>
              <w:rPr>
                <w:rFonts w:ascii="Arial" w:eastAsia="Arial" w:hAnsi="Arial"/>
                <w:b/>
                <w:color w:val="000000"/>
                <w:kern w:val="0"/>
                <w:sz w:val="18"/>
              </w:rPr>
              <w:t>A05</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A949308" w14:textId="77777777" w:rsidR="000C2202" w:rsidRDefault="00DA46A9">
            <w:pPr>
              <w:spacing w:before="40" w:after="40" w:line="360" w:lineRule="auto"/>
            </w:pPr>
            <w:r>
              <w:rPr>
                <w:rFonts w:ascii="Arial" w:eastAsia="Arial" w:hAnsi="Arial"/>
                <w:color w:val="000000"/>
                <w:kern w:val="0"/>
                <w:sz w:val="18"/>
              </w:rPr>
              <w:t>Peer-reviewed journal</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0D98355" w14:textId="77777777" w:rsidR="000C2202" w:rsidRDefault="00DA46A9">
            <w:pPr>
              <w:spacing w:before="40" w:after="40" w:line="360" w:lineRule="auto"/>
            </w:pPr>
            <w:r>
              <w:rPr>
                <w:rFonts w:ascii="Arial" w:eastAsia="Arial" w:hAnsi="Arial"/>
                <w:color w:val="000000"/>
                <w:kern w:val="0"/>
                <w:sz w:val="18"/>
              </w:rPr>
              <w:t>Uzoka, Cadet and Ojukwu</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3901D3C" w14:textId="77777777" w:rsidR="000C2202" w:rsidRDefault="00DA46A9">
            <w:pPr>
              <w:spacing w:before="40" w:after="40" w:line="360" w:lineRule="auto"/>
              <w:jc w:val="center"/>
            </w:pPr>
            <w:r>
              <w:rPr>
                <w:rFonts w:ascii="Arial" w:eastAsia="Arial" w:hAnsi="Arial"/>
                <w:color w:val="000000"/>
                <w:kern w:val="0"/>
                <w:sz w:val="18"/>
              </w:rPr>
              <w:t>2024</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ABE59F7" w14:textId="77777777" w:rsidR="000C2202" w:rsidRDefault="00DA46A9">
            <w:pPr>
              <w:spacing w:before="40" w:after="40" w:line="360" w:lineRule="auto"/>
            </w:pPr>
            <w:r>
              <w:rPr>
                <w:rFonts w:ascii="Arial" w:eastAsia="Arial" w:hAnsi="Arial"/>
                <w:i/>
                <w:color w:val="000000"/>
                <w:kern w:val="0"/>
                <w:sz w:val="18"/>
              </w:rPr>
              <w:t>AI chatbots and customer-service efficiency gains</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38E4A66" w14:textId="77777777" w:rsidR="000C2202" w:rsidRDefault="00DA46A9">
            <w:pPr>
              <w:spacing w:before="40" w:after="40" w:line="360" w:lineRule="auto"/>
              <w:jc w:val="center"/>
            </w:pPr>
            <w:r>
              <w:rPr>
                <w:rFonts w:ascii="Arial" w:eastAsia="Arial" w:hAnsi="Arial"/>
                <w:color w:val="000000"/>
                <w:kern w:val="0"/>
                <w:sz w:val="18"/>
              </w:rPr>
              <w:t>1</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4C8F396" w14:textId="77777777" w:rsidR="000C2202" w:rsidRDefault="00DA46A9">
            <w:pPr>
              <w:spacing w:before="40" w:after="40" w:line="360" w:lineRule="auto"/>
              <w:jc w:val="center"/>
            </w:pPr>
            <w:r>
              <w:rPr>
                <w:rFonts w:ascii="Arial" w:eastAsia="Arial" w:hAnsi="Arial"/>
                <w:color w:val="000000"/>
                <w:kern w:val="0"/>
                <w:sz w:val="18"/>
              </w:rPr>
              <w:t>T1, T5</w:t>
            </w:r>
          </w:p>
        </w:tc>
      </w:tr>
      <w:tr w:rsidR="000C2202" w14:paraId="026F2EAD"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3E97E8EF" w14:textId="77777777" w:rsidR="000C2202" w:rsidRDefault="00DA46A9">
            <w:pPr>
              <w:spacing w:before="40" w:after="40" w:line="360" w:lineRule="auto"/>
              <w:jc w:val="center"/>
            </w:pPr>
            <w:r>
              <w:rPr>
                <w:rFonts w:ascii="Arial" w:eastAsia="Arial" w:hAnsi="Arial"/>
                <w:b/>
                <w:color w:val="000000"/>
                <w:kern w:val="0"/>
                <w:sz w:val="18"/>
              </w:rPr>
              <w:t>A06</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4CFDD3B" w14:textId="77777777" w:rsidR="000C2202" w:rsidRDefault="00DA46A9">
            <w:pPr>
              <w:spacing w:before="40" w:after="40" w:line="360" w:lineRule="auto"/>
            </w:pPr>
            <w:r>
              <w:rPr>
                <w:rFonts w:ascii="Arial" w:eastAsia="Arial" w:hAnsi="Arial"/>
                <w:color w:val="000000"/>
                <w:kern w:val="0"/>
                <w:sz w:val="18"/>
              </w:rPr>
              <w:t>Peer-reviewed journal</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5671A6B" w14:textId="77777777" w:rsidR="000C2202" w:rsidRDefault="00DA46A9">
            <w:pPr>
              <w:spacing w:before="40" w:after="40" w:line="360" w:lineRule="auto"/>
            </w:pPr>
            <w:r>
              <w:rPr>
                <w:rFonts w:ascii="Arial" w:eastAsia="Arial" w:hAnsi="Arial"/>
                <w:color w:val="000000"/>
                <w:kern w:val="0"/>
                <w:sz w:val="18"/>
              </w:rPr>
              <w:t>Shahbandi</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F6D499F" w14:textId="77777777" w:rsidR="000C2202" w:rsidRDefault="00DA46A9">
            <w:pPr>
              <w:spacing w:before="40" w:after="40" w:line="360" w:lineRule="auto"/>
              <w:jc w:val="center"/>
            </w:pPr>
            <w:r>
              <w:rPr>
                <w:rFonts w:ascii="Arial" w:eastAsia="Arial" w:hAnsi="Arial"/>
                <w:color w:val="000000"/>
                <w:kern w:val="0"/>
                <w:sz w:val="18"/>
              </w:rPr>
              <w:t>2025</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EAE2EEF" w14:textId="77777777" w:rsidR="000C2202" w:rsidRDefault="00DA46A9">
            <w:pPr>
              <w:spacing w:before="40" w:after="40" w:line="360" w:lineRule="auto"/>
            </w:pPr>
            <w:r>
              <w:rPr>
                <w:rFonts w:ascii="Arial" w:eastAsia="Arial" w:hAnsi="Arial"/>
                <w:i/>
                <w:color w:val="000000"/>
                <w:kern w:val="0"/>
                <w:sz w:val="18"/>
              </w:rPr>
              <w:t>AI chatbots vs human customer service comparison</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B4B35F4" w14:textId="77777777" w:rsidR="000C2202" w:rsidRDefault="00DA46A9">
            <w:pPr>
              <w:spacing w:before="40" w:after="40" w:line="360" w:lineRule="auto"/>
              <w:jc w:val="center"/>
            </w:pPr>
            <w:r>
              <w:rPr>
                <w:rFonts w:ascii="Arial" w:eastAsia="Arial" w:hAnsi="Arial"/>
                <w:color w:val="000000"/>
                <w:kern w:val="0"/>
                <w:sz w:val="18"/>
              </w:rPr>
              <w:t>1</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F61B526" w14:textId="77777777" w:rsidR="000C2202" w:rsidRDefault="00DA46A9">
            <w:pPr>
              <w:spacing w:before="40" w:after="40" w:line="360" w:lineRule="auto"/>
              <w:jc w:val="center"/>
            </w:pPr>
            <w:r>
              <w:rPr>
                <w:rFonts w:ascii="Arial" w:eastAsia="Arial" w:hAnsi="Arial"/>
                <w:color w:val="000000"/>
                <w:kern w:val="0"/>
                <w:sz w:val="18"/>
              </w:rPr>
              <w:t>T2, T4</w:t>
            </w:r>
          </w:p>
        </w:tc>
      </w:tr>
      <w:tr w:rsidR="000C2202" w14:paraId="2ED6A71A"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7E5E5B57" w14:textId="77777777" w:rsidR="000C2202" w:rsidRDefault="00DA46A9">
            <w:pPr>
              <w:spacing w:before="40" w:after="40" w:line="360" w:lineRule="auto"/>
              <w:jc w:val="center"/>
            </w:pPr>
            <w:r>
              <w:rPr>
                <w:rFonts w:ascii="Arial" w:eastAsia="Arial" w:hAnsi="Arial"/>
                <w:b/>
                <w:color w:val="000000"/>
                <w:kern w:val="0"/>
                <w:sz w:val="18"/>
              </w:rPr>
              <w:t>A07</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4E3172A" w14:textId="77777777" w:rsidR="000C2202" w:rsidRDefault="00DA46A9">
            <w:pPr>
              <w:spacing w:before="40" w:after="40" w:line="360" w:lineRule="auto"/>
            </w:pPr>
            <w:r>
              <w:rPr>
                <w:rFonts w:ascii="Arial" w:eastAsia="Arial" w:hAnsi="Arial"/>
                <w:color w:val="000000"/>
                <w:kern w:val="0"/>
                <w:sz w:val="18"/>
              </w:rPr>
              <w:t>Peer-reviewed journal</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6FC68B9" w14:textId="77777777" w:rsidR="000C2202" w:rsidRDefault="00DA46A9">
            <w:pPr>
              <w:spacing w:before="40" w:after="40" w:line="360" w:lineRule="auto"/>
            </w:pPr>
            <w:r>
              <w:rPr>
                <w:rFonts w:ascii="Arial" w:eastAsia="Arial" w:hAnsi="Arial"/>
                <w:color w:val="000000"/>
                <w:kern w:val="0"/>
                <w:sz w:val="18"/>
              </w:rPr>
              <w:t>Rita, Vong and Correia</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C4A391A" w14:textId="77777777" w:rsidR="000C2202" w:rsidRDefault="00DA46A9">
            <w:pPr>
              <w:spacing w:before="40" w:after="40" w:line="360" w:lineRule="auto"/>
              <w:jc w:val="center"/>
            </w:pPr>
            <w:r>
              <w:rPr>
                <w:rFonts w:ascii="Arial" w:eastAsia="Arial" w:hAnsi="Arial"/>
                <w:color w:val="000000"/>
                <w:kern w:val="0"/>
                <w:sz w:val="18"/>
              </w:rPr>
              <w:t>2026</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67D879D" w14:textId="77777777" w:rsidR="000C2202" w:rsidRDefault="00DA46A9">
            <w:pPr>
              <w:spacing w:before="40" w:after="40" w:line="360" w:lineRule="auto"/>
            </w:pPr>
            <w:r>
              <w:rPr>
                <w:rFonts w:ascii="Arial" w:eastAsia="Arial" w:hAnsi="Arial"/>
                <w:i/>
                <w:color w:val="000000"/>
                <w:kern w:val="0"/>
                <w:sz w:val="18"/>
              </w:rPr>
              <w:t>AI-driven chatbots and digital-service loyalty</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8C884E6" w14:textId="77777777" w:rsidR="000C2202" w:rsidRDefault="00DA46A9">
            <w:pPr>
              <w:spacing w:before="40" w:after="40" w:line="360" w:lineRule="auto"/>
              <w:jc w:val="center"/>
            </w:pPr>
            <w:r>
              <w:rPr>
                <w:rFonts w:ascii="Arial" w:eastAsia="Arial" w:hAnsi="Arial"/>
                <w:color w:val="000000"/>
                <w:kern w:val="0"/>
                <w:sz w:val="18"/>
              </w:rPr>
              <w:t>1</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F9F56ED" w14:textId="77777777" w:rsidR="000C2202" w:rsidRDefault="00DA46A9">
            <w:pPr>
              <w:spacing w:before="40" w:after="40" w:line="360" w:lineRule="auto"/>
              <w:jc w:val="center"/>
            </w:pPr>
            <w:r>
              <w:rPr>
                <w:rFonts w:ascii="Arial" w:eastAsia="Arial" w:hAnsi="Arial"/>
                <w:color w:val="000000"/>
                <w:kern w:val="0"/>
                <w:sz w:val="18"/>
              </w:rPr>
              <w:t>T1, T5</w:t>
            </w:r>
          </w:p>
        </w:tc>
      </w:tr>
      <w:tr w:rsidR="000C2202" w14:paraId="6B17163C"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7BD56496" w14:textId="77777777" w:rsidR="000C2202" w:rsidRDefault="00DA46A9">
            <w:pPr>
              <w:spacing w:before="40" w:after="40" w:line="360" w:lineRule="auto"/>
              <w:jc w:val="center"/>
            </w:pPr>
            <w:r>
              <w:rPr>
                <w:rFonts w:ascii="Arial" w:eastAsia="Arial" w:hAnsi="Arial"/>
                <w:b/>
                <w:color w:val="000000"/>
                <w:kern w:val="0"/>
                <w:sz w:val="18"/>
              </w:rPr>
              <w:t>R08</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480CE05" w14:textId="77777777" w:rsidR="000C2202" w:rsidRDefault="00DA46A9">
            <w:pPr>
              <w:spacing w:before="40" w:after="40" w:line="360" w:lineRule="auto"/>
            </w:pPr>
            <w:r>
              <w:rPr>
                <w:rFonts w:ascii="Arial" w:eastAsia="Arial" w:hAnsi="Arial"/>
                <w:color w:val="000000"/>
                <w:kern w:val="0"/>
                <w:sz w:val="18"/>
              </w:rPr>
              <w:t>Customer review (Trustpilot)</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C6C7581" w14:textId="77777777" w:rsidR="000C2202" w:rsidRDefault="00DA46A9">
            <w:pPr>
              <w:spacing w:before="40" w:after="40" w:line="360" w:lineRule="auto"/>
            </w:pPr>
            <w:r>
              <w:rPr>
                <w:rFonts w:ascii="Arial" w:eastAsia="Arial" w:hAnsi="Arial"/>
                <w:color w:val="000000"/>
                <w:kern w:val="0"/>
                <w:sz w:val="18"/>
              </w:rPr>
              <w:t>Anonymised</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7E4879F" w14:textId="77777777" w:rsidR="000C2202" w:rsidRDefault="00DA46A9">
            <w:pPr>
              <w:spacing w:before="40" w:after="40" w:line="360" w:lineRule="auto"/>
              <w:jc w:val="center"/>
            </w:pPr>
            <w:r>
              <w:rPr>
                <w:rFonts w:ascii="Arial" w:eastAsia="Arial" w:hAnsi="Arial"/>
                <w:color w:val="000000"/>
                <w:kern w:val="0"/>
                <w:sz w:val="18"/>
              </w:rPr>
              <w:t>2025</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5338340" w14:textId="77777777" w:rsidR="000C2202" w:rsidRDefault="00DA46A9">
            <w:pPr>
              <w:spacing w:before="40" w:after="40" w:line="360" w:lineRule="auto"/>
            </w:pPr>
            <w:r>
              <w:rPr>
                <w:rFonts w:ascii="Arial" w:eastAsia="Arial" w:hAnsi="Arial"/>
                <w:i/>
                <w:color w:val="000000"/>
                <w:kern w:val="0"/>
                <w:sz w:val="18"/>
              </w:rPr>
              <w:t>Delivery-slot query resolution — positive</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43F19B3" w14:textId="77777777" w:rsidR="000C2202" w:rsidRDefault="00DA46A9">
            <w:pPr>
              <w:spacing w:before="40" w:after="40" w:line="360" w:lineRule="auto"/>
              <w:jc w:val="center"/>
            </w:pPr>
            <w:r>
              <w:rPr>
                <w:rFonts w:ascii="Arial" w:eastAsia="Arial" w:hAnsi="Arial"/>
                <w:color w:val="000000"/>
                <w:kern w:val="0"/>
                <w:sz w:val="18"/>
              </w:rPr>
              <w:t>2</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3C9ADA4" w14:textId="77777777" w:rsidR="000C2202" w:rsidRDefault="00DA46A9">
            <w:pPr>
              <w:spacing w:before="40" w:after="40" w:line="360" w:lineRule="auto"/>
              <w:jc w:val="center"/>
            </w:pPr>
            <w:r>
              <w:rPr>
                <w:rFonts w:ascii="Arial" w:eastAsia="Arial" w:hAnsi="Arial"/>
                <w:color w:val="000000"/>
                <w:kern w:val="0"/>
                <w:sz w:val="18"/>
              </w:rPr>
              <w:t>T1</w:t>
            </w:r>
          </w:p>
        </w:tc>
      </w:tr>
      <w:tr w:rsidR="000C2202" w14:paraId="6D7128C6"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6FBCFBB2" w14:textId="77777777" w:rsidR="000C2202" w:rsidRDefault="00DA46A9">
            <w:pPr>
              <w:spacing w:before="40" w:after="40" w:line="360" w:lineRule="auto"/>
              <w:jc w:val="center"/>
            </w:pPr>
            <w:r>
              <w:rPr>
                <w:rFonts w:ascii="Arial" w:eastAsia="Arial" w:hAnsi="Arial"/>
                <w:b/>
                <w:color w:val="000000"/>
                <w:kern w:val="0"/>
                <w:sz w:val="18"/>
              </w:rPr>
              <w:t>R09</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010DE44" w14:textId="77777777" w:rsidR="000C2202" w:rsidRDefault="00DA46A9">
            <w:pPr>
              <w:spacing w:before="40" w:after="40" w:line="360" w:lineRule="auto"/>
            </w:pPr>
            <w:r>
              <w:rPr>
                <w:rFonts w:ascii="Arial" w:eastAsia="Arial" w:hAnsi="Arial"/>
                <w:color w:val="000000"/>
                <w:kern w:val="0"/>
                <w:sz w:val="18"/>
              </w:rPr>
              <w:t>Customer review (Trustpilot)</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22BA141" w14:textId="77777777" w:rsidR="000C2202" w:rsidRDefault="00DA46A9">
            <w:pPr>
              <w:spacing w:before="40" w:after="40" w:line="360" w:lineRule="auto"/>
            </w:pPr>
            <w:r>
              <w:rPr>
                <w:rFonts w:ascii="Arial" w:eastAsia="Arial" w:hAnsi="Arial"/>
                <w:color w:val="000000"/>
                <w:kern w:val="0"/>
                <w:sz w:val="18"/>
              </w:rPr>
              <w:t>Anonymised</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ED6308D" w14:textId="77777777" w:rsidR="000C2202" w:rsidRDefault="00DA46A9">
            <w:pPr>
              <w:spacing w:before="40" w:after="40" w:line="360" w:lineRule="auto"/>
              <w:jc w:val="center"/>
            </w:pPr>
            <w:r>
              <w:rPr>
                <w:rFonts w:ascii="Arial" w:eastAsia="Arial" w:hAnsi="Arial"/>
                <w:color w:val="000000"/>
                <w:kern w:val="0"/>
                <w:sz w:val="18"/>
              </w:rPr>
              <w:t>2026</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A116751" w14:textId="77777777" w:rsidR="000C2202" w:rsidRDefault="00DA46A9">
            <w:pPr>
              <w:spacing w:before="40" w:after="40" w:line="360" w:lineRule="auto"/>
            </w:pPr>
            <w:r>
              <w:rPr>
                <w:rFonts w:ascii="Arial" w:eastAsia="Arial" w:hAnsi="Arial"/>
                <w:i/>
                <w:color w:val="000000"/>
                <w:kern w:val="0"/>
                <w:sz w:val="18"/>
              </w:rPr>
              <w:t>Substitution dispute — negative</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8B55CF3" w14:textId="77777777" w:rsidR="000C2202" w:rsidRDefault="00DA46A9">
            <w:pPr>
              <w:spacing w:before="40" w:after="40" w:line="360" w:lineRule="auto"/>
              <w:jc w:val="center"/>
            </w:pPr>
            <w:r>
              <w:rPr>
                <w:rFonts w:ascii="Arial" w:eastAsia="Arial" w:hAnsi="Arial"/>
                <w:color w:val="000000"/>
                <w:kern w:val="0"/>
                <w:sz w:val="18"/>
              </w:rPr>
              <w:t>2</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0BBBDE7" w14:textId="77777777" w:rsidR="000C2202" w:rsidRDefault="00DA46A9">
            <w:pPr>
              <w:spacing w:before="40" w:after="40" w:line="360" w:lineRule="auto"/>
              <w:jc w:val="center"/>
            </w:pPr>
            <w:r>
              <w:rPr>
                <w:rFonts w:ascii="Arial" w:eastAsia="Arial" w:hAnsi="Arial"/>
                <w:color w:val="000000"/>
                <w:kern w:val="0"/>
                <w:sz w:val="18"/>
              </w:rPr>
              <w:t>T2, T4</w:t>
            </w:r>
          </w:p>
        </w:tc>
      </w:tr>
      <w:tr w:rsidR="000C2202" w14:paraId="412EDAF4"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29361650" w14:textId="77777777" w:rsidR="000C2202" w:rsidRDefault="00DA46A9">
            <w:pPr>
              <w:spacing w:before="40" w:after="40" w:line="360" w:lineRule="auto"/>
              <w:jc w:val="center"/>
            </w:pPr>
            <w:r>
              <w:rPr>
                <w:rFonts w:ascii="Arial" w:eastAsia="Arial" w:hAnsi="Arial"/>
                <w:b/>
                <w:color w:val="000000"/>
                <w:kern w:val="0"/>
                <w:sz w:val="18"/>
              </w:rPr>
              <w:t>R10</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B02C193" w14:textId="77777777" w:rsidR="000C2202" w:rsidRDefault="00DA46A9">
            <w:pPr>
              <w:spacing w:before="40" w:after="40" w:line="360" w:lineRule="auto"/>
            </w:pPr>
            <w:r>
              <w:rPr>
                <w:rFonts w:ascii="Arial" w:eastAsia="Arial" w:hAnsi="Arial"/>
                <w:color w:val="000000"/>
                <w:kern w:val="0"/>
                <w:sz w:val="18"/>
              </w:rPr>
              <w:t>Customer review (Reevoo)</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3C8D4F4" w14:textId="77777777" w:rsidR="000C2202" w:rsidRDefault="00DA46A9">
            <w:pPr>
              <w:spacing w:before="40" w:after="40" w:line="360" w:lineRule="auto"/>
            </w:pPr>
            <w:r>
              <w:rPr>
                <w:rFonts w:ascii="Arial" w:eastAsia="Arial" w:hAnsi="Arial"/>
                <w:color w:val="000000"/>
                <w:kern w:val="0"/>
                <w:sz w:val="18"/>
              </w:rPr>
              <w:t>Anonymised</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A9E8974" w14:textId="77777777" w:rsidR="000C2202" w:rsidRDefault="00DA46A9">
            <w:pPr>
              <w:spacing w:before="40" w:after="40" w:line="360" w:lineRule="auto"/>
              <w:jc w:val="center"/>
            </w:pPr>
            <w:r>
              <w:rPr>
                <w:rFonts w:ascii="Arial" w:eastAsia="Arial" w:hAnsi="Arial"/>
                <w:color w:val="000000"/>
                <w:kern w:val="0"/>
                <w:sz w:val="18"/>
              </w:rPr>
              <w:t>2026</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F0C07CD" w14:textId="77777777" w:rsidR="000C2202" w:rsidRDefault="00DA46A9">
            <w:pPr>
              <w:spacing w:before="40" w:after="40" w:line="360" w:lineRule="auto"/>
            </w:pPr>
            <w:r>
              <w:rPr>
                <w:rFonts w:ascii="Arial" w:eastAsia="Arial" w:hAnsi="Arial"/>
                <w:i/>
                <w:color w:val="000000"/>
                <w:kern w:val="0"/>
                <w:sz w:val="18"/>
              </w:rPr>
              <w:t>Empathic phrasing perceived as scripted</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B940316" w14:textId="77777777" w:rsidR="000C2202" w:rsidRDefault="00DA46A9">
            <w:pPr>
              <w:spacing w:before="40" w:after="40" w:line="360" w:lineRule="auto"/>
              <w:jc w:val="center"/>
            </w:pPr>
            <w:r>
              <w:rPr>
                <w:rFonts w:ascii="Arial" w:eastAsia="Arial" w:hAnsi="Arial"/>
                <w:color w:val="000000"/>
                <w:kern w:val="0"/>
                <w:sz w:val="18"/>
              </w:rPr>
              <w:t>2</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84744FF" w14:textId="77777777" w:rsidR="000C2202" w:rsidRDefault="00DA46A9">
            <w:pPr>
              <w:spacing w:before="40" w:after="40" w:line="360" w:lineRule="auto"/>
              <w:jc w:val="center"/>
            </w:pPr>
            <w:r>
              <w:rPr>
                <w:rFonts w:ascii="Arial" w:eastAsia="Arial" w:hAnsi="Arial"/>
                <w:color w:val="000000"/>
                <w:kern w:val="0"/>
                <w:sz w:val="18"/>
              </w:rPr>
              <w:t>T3</w:t>
            </w:r>
          </w:p>
        </w:tc>
      </w:tr>
      <w:tr w:rsidR="000C2202" w14:paraId="03829081"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3D92A732" w14:textId="77777777" w:rsidR="000C2202" w:rsidRDefault="00DA46A9">
            <w:pPr>
              <w:spacing w:before="40" w:after="40" w:line="360" w:lineRule="auto"/>
              <w:jc w:val="center"/>
            </w:pPr>
            <w:r>
              <w:rPr>
                <w:rFonts w:ascii="Arial" w:eastAsia="Arial" w:hAnsi="Arial"/>
                <w:b/>
                <w:color w:val="000000"/>
                <w:kern w:val="0"/>
                <w:sz w:val="18"/>
              </w:rPr>
              <w:t>C11</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E24F9DD" w14:textId="77777777" w:rsidR="000C2202" w:rsidRDefault="00DA46A9">
            <w:pPr>
              <w:spacing w:before="40" w:after="40" w:line="360" w:lineRule="auto"/>
            </w:pPr>
            <w:r>
              <w:rPr>
                <w:rFonts w:ascii="Arial" w:eastAsia="Arial" w:hAnsi="Arial"/>
                <w:color w:val="000000"/>
                <w:kern w:val="0"/>
                <w:sz w:val="18"/>
              </w:rPr>
              <w:t>Corporate publication</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B925ED0" w14:textId="77777777" w:rsidR="000C2202" w:rsidRDefault="00DA46A9">
            <w:pPr>
              <w:spacing w:before="40" w:after="40" w:line="360" w:lineRule="auto"/>
            </w:pPr>
            <w:r>
              <w:rPr>
                <w:rFonts w:ascii="Arial" w:eastAsia="Arial" w:hAnsi="Arial"/>
                <w:color w:val="000000"/>
                <w:kern w:val="0"/>
                <w:sz w:val="18"/>
              </w:rPr>
              <w:t>Tesco PLC</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94C2F00" w14:textId="77777777" w:rsidR="000C2202" w:rsidRDefault="00DA46A9">
            <w:pPr>
              <w:spacing w:before="40" w:after="40" w:line="360" w:lineRule="auto"/>
              <w:jc w:val="center"/>
            </w:pPr>
            <w:r>
              <w:rPr>
                <w:rFonts w:ascii="Arial" w:eastAsia="Arial" w:hAnsi="Arial"/>
                <w:color w:val="000000"/>
                <w:kern w:val="0"/>
                <w:sz w:val="18"/>
              </w:rPr>
              <w:t>2026</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AB3D9E1" w14:textId="77777777" w:rsidR="000C2202" w:rsidRDefault="00DA46A9">
            <w:pPr>
              <w:spacing w:before="40" w:after="40" w:line="360" w:lineRule="auto"/>
            </w:pPr>
            <w:r>
              <w:rPr>
                <w:rFonts w:ascii="Arial" w:eastAsia="Arial" w:hAnsi="Arial"/>
                <w:i/>
                <w:color w:val="000000"/>
                <w:kern w:val="0"/>
                <w:sz w:val="18"/>
              </w:rPr>
              <w:t>Announcement of large-scale AI assistant trial</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0BA8680" w14:textId="77777777" w:rsidR="000C2202" w:rsidRDefault="00DA46A9">
            <w:pPr>
              <w:spacing w:before="40" w:after="40" w:line="360" w:lineRule="auto"/>
              <w:jc w:val="center"/>
            </w:pPr>
            <w:r>
              <w:rPr>
                <w:rFonts w:ascii="Arial" w:eastAsia="Arial" w:hAnsi="Arial"/>
                <w:color w:val="000000"/>
                <w:kern w:val="0"/>
                <w:sz w:val="18"/>
              </w:rPr>
              <w:t>2</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EC69658" w14:textId="77777777" w:rsidR="000C2202" w:rsidRDefault="00DA46A9">
            <w:pPr>
              <w:spacing w:before="40" w:after="40" w:line="360" w:lineRule="auto"/>
              <w:jc w:val="center"/>
            </w:pPr>
            <w:r>
              <w:rPr>
                <w:rFonts w:ascii="Arial" w:eastAsia="Arial" w:hAnsi="Arial"/>
                <w:color w:val="000000"/>
                <w:kern w:val="0"/>
                <w:sz w:val="18"/>
              </w:rPr>
              <w:t>T5</w:t>
            </w:r>
          </w:p>
        </w:tc>
      </w:tr>
      <w:tr w:rsidR="000C2202" w14:paraId="17C7F629"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42EE52DF" w14:textId="77777777" w:rsidR="000C2202" w:rsidRDefault="00DA46A9">
            <w:pPr>
              <w:spacing w:before="40" w:after="40" w:line="360" w:lineRule="auto"/>
              <w:jc w:val="center"/>
            </w:pPr>
            <w:r>
              <w:rPr>
                <w:rFonts w:ascii="Arial" w:eastAsia="Arial" w:hAnsi="Arial"/>
                <w:b/>
                <w:color w:val="000000"/>
                <w:kern w:val="0"/>
                <w:sz w:val="18"/>
              </w:rPr>
              <w:t>C12</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BEDFCB8" w14:textId="77777777" w:rsidR="000C2202" w:rsidRDefault="00DA46A9">
            <w:pPr>
              <w:spacing w:before="40" w:after="40" w:line="360" w:lineRule="auto"/>
            </w:pPr>
            <w:r>
              <w:rPr>
                <w:rFonts w:ascii="Arial" w:eastAsia="Arial" w:hAnsi="Arial"/>
                <w:color w:val="000000"/>
                <w:kern w:val="0"/>
                <w:sz w:val="18"/>
              </w:rPr>
              <w:t>Corporate publication</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404F22B" w14:textId="77777777" w:rsidR="000C2202" w:rsidRDefault="00DA46A9">
            <w:pPr>
              <w:spacing w:before="40" w:after="40" w:line="360" w:lineRule="auto"/>
            </w:pPr>
            <w:r>
              <w:rPr>
                <w:rFonts w:ascii="Arial" w:eastAsia="Arial" w:hAnsi="Arial"/>
                <w:color w:val="000000"/>
                <w:kern w:val="0"/>
                <w:sz w:val="18"/>
              </w:rPr>
              <w:t>Tesco PLC</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CCB0E7F" w14:textId="77777777" w:rsidR="000C2202" w:rsidRDefault="00DA46A9">
            <w:pPr>
              <w:spacing w:before="40" w:after="40" w:line="360" w:lineRule="auto"/>
              <w:jc w:val="center"/>
            </w:pPr>
            <w:r>
              <w:rPr>
                <w:rFonts w:ascii="Arial" w:eastAsia="Arial" w:hAnsi="Arial"/>
                <w:color w:val="000000"/>
                <w:kern w:val="0"/>
                <w:sz w:val="18"/>
              </w:rPr>
              <w:t>2025</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4F804CA" w14:textId="77777777" w:rsidR="000C2202" w:rsidRDefault="00DA46A9">
            <w:pPr>
              <w:spacing w:before="40" w:after="40" w:line="360" w:lineRule="auto"/>
            </w:pPr>
            <w:r>
              <w:rPr>
                <w:rFonts w:ascii="Arial" w:eastAsia="Arial" w:hAnsi="Arial"/>
                <w:i/>
                <w:color w:val="000000"/>
                <w:kern w:val="0"/>
                <w:sz w:val="18"/>
              </w:rPr>
              <w:t>Annual report — digital channels section</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9DC8D60" w14:textId="77777777" w:rsidR="000C2202" w:rsidRDefault="00DA46A9">
            <w:pPr>
              <w:spacing w:before="40" w:after="40" w:line="360" w:lineRule="auto"/>
              <w:jc w:val="center"/>
            </w:pPr>
            <w:r>
              <w:rPr>
                <w:rFonts w:ascii="Arial" w:eastAsia="Arial" w:hAnsi="Arial"/>
                <w:color w:val="000000"/>
                <w:kern w:val="0"/>
                <w:sz w:val="18"/>
              </w:rPr>
              <w:t>2</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D288D76" w14:textId="77777777" w:rsidR="000C2202" w:rsidRDefault="00DA46A9">
            <w:pPr>
              <w:spacing w:before="40" w:after="40" w:line="360" w:lineRule="auto"/>
              <w:jc w:val="center"/>
            </w:pPr>
            <w:r>
              <w:rPr>
                <w:rFonts w:ascii="Arial" w:eastAsia="Arial" w:hAnsi="Arial"/>
                <w:color w:val="000000"/>
                <w:kern w:val="0"/>
                <w:sz w:val="18"/>
              </w:rPr>
              <w:t>T5</w:t>
            </w:r>
          </w:p>
        </w:tc>
      </w:tr>
      <w:tr w:rsidR="000C2202" w14:paraId="1A1D56BD"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6D3B33F8" w14:textId="77777777" w:rsidR="000C2202" w:rsidRDefault="00DA46A9">
            <w:pPr>
              <w:spacing w:before="40" w:after="40" w:line="360" w:lineRule="auto"/>
              <w:jc w:val="center"/>
            </w:pPr>
            <w:r>
              <w:rPr>
                <w:rFonts w:ascii="Arial" w:eastAsia="Arial" w:hAnsi="Arial"/>
                <w:b/>
                <w:color w:val="000000"/>
                <w:kern w:val="0"/>
                <w:sz w:val="18"/>
              </w:rPr>
              <w:t>I13</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345B053" w14:textId="77777777" w:rsidR="000C2202" w:rsidRDefault="00DA46A9">
            <w:pPr>
              <w:spacing w:before="40" w:after="40" w:line="360" w:lineRule="auto"/>
            </w:pPr>
            <w:r>
              <w:rPr>
                <w:rFonts w:ascii="Arial" w:eastAsia="Arial" w:hAnsi="Arial"/>
                <w:color w:val="000000"/>
                <w:kern w:val="0"/>
                <w:sz w:val="18"/>
              </w:rPr>
              <w:t>Industry report</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38A23F6" w14:textId="77777777" w:rsidR="000C2202" w:rsidRDefault="00DA46A9">
            <w:pPr>
              <w:spacing w:before="40" w:after="40" w:line="360" w:lineRule="auto"/>
            </w:pPr>
            <w:r>
              <w:rPr>
                <w:rFonts w:ascii="Arial" w:eastAsia="Arial" w:hAnsi="Arial"/>
                <w:kern w:val="0"/>
                <w:sz w:val="18"/>
                <w:szCs w:val="22"/>
              </w:rPr>
              <w:t>Kantar</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5927CF8" w14:textId="77777777" w:rsidR="000C2202" w:rsidRDefault="00DA46A9">
            <w:pPr>
              <w:spacing w:before="40" w:after="40" w:line="360" w:lineRule="auto"/>
              <w:jc w:val="center"/>
            </w:pPr>
            <w:r>
              <w:rPr>
                <w:rFonts w:ascii="Arial" w:eastAsia="Arial" w:hAnsi="Arial"/>
                <w:kern w:val="0"/>
                <w:sz w:val="18"/>
              </w:rPr>
              <w:t>2026</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FD0FF73" w14:textId="77777777" w:rsidR="000C2202" w:rsidRDefault="00DA46A9">
            <w:pPr>
              <w:spacing w:before="40" w:after="40" w:line="360" w:lineRule="auto"/>
            </w:pPr>
            <w:r>
              <w:rPr>
                <w:rFonts w:ascii="Arial" w:eastAsia="Arial" w:hAnsi="Arial"/>
                <w:i/>
                <w:color w:val="000000"/>
                <w:kern w:val="0"/>
                <w:sz w:val="18"/>
              </w:rPr>
              <w:t>UK grocery market share, Q1 2026</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FE4B1F2" w14:textId="77777777" w:rsidR="000C2202" w:rsidRDefault="00DA46A9">
            <w:pPr>
              <w:spacing w:before="40" w:after="40" w:line="360" w:lineRule="auto"/>
              <w:jc w:val="center"/>
            </w:pPr>
            <w:r>
              <w:rPr>
                <w:rFonts w:ascii="Arial" w:eastAsia="Arial" w:hAnsi="Arial"/>
                <w:color w:val="000000"/>
                <w:kern w:val="0"/>
                <w:sz w:val="18"/>
              </w:rPr>
              <w:t>2</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38B8296" w14:textId="77777777" w:rsidR="000C2202" w:rsidRDefault="00DA46A9">
            <w:pPr>
              <w:spacing w:before="40" w:after="40" w:line="360" w:lineRule="auto"/>
              <w:jc w:val="center"/>
            </w:pPr>
            <w:r>
              <w:rPr>
                <w:rFonts w:ascii="Arial" w:eastAsia="Arial" w:hAnsi="Arial"/>
                <w:color w:val="000000"/>
                <w:kern w:val="0"/>
                <w:sz w:val="18"/>
              </w:rPr>
              <w:t>T5</w:t>
            </w:r>
          </w:p>
        </w:tc>
      </w:tr>
      <w:tr w:rsidR="000C2202" w14:paraId="3C6A34CD"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72954482" w14:textId="77777777" w:rsidR="000C2202" w:rsidRDefault="00DA46A9">
            <w:pPr>
              <w:spacing w:before="40" w:after="40" w:line="360" w:lineRule="auto"/>
              <w:jc w:val="center"/>
            </w:pPr>
            <w:r>
              <w:rPr>
                <w:rFonts w:ascii="Arial" w:eastAsia="Arial" w:hAnsi="Arial"/>
                <w:b/>
                <w:color w:val="000000"/>
                <w:kern w:val="0"/>
                <w:sz w:val="18"/>
              </w:rPr>
              <w:t>I14</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37223BD" w14:textId="77777777" w:rsidR="000C2202" w:rsidRDefault="00DA46A9">
            <w:pPr>
              <w:spacing w:before="40" w:after="40" w:line="360" w:lineRule="auto"/>
            </w:pPr>
            <w:r>
              <w:rPr>
                <w:rFonts w:ascii="Arial" w:eastAsia="Arial" w:hAnsi="Arial"/>
                <w:color w:val="000000"/>
                <w:kern w:val="0"/>
                <w:sz w:val="18"/>
              </w:rPr>
              <w:t>Industry / market analysis</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CD1F4E2" w14:textId="77777777" w:rsidR="000C2202" w:rsidRDefault="00DA46A9">
            <w:pPr>
              <w:spacing w:before="40" w:after="40" w:line="360" w:lineRule="auto"/>
            </w:pPr>
            <w:r>
              <w:rPr>
                <w:rFonts w:ascii="Arial" w:eastAsia="Arial" w:hAnsi="Arial"/>
                <w:kern w:val="0"/>
                <w:sz w:val="18"/>
              </w:rPr>
              <w:t>Mordor Intelligence</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DAC592C" w14:textId="77777777" w:rsidR="000C2202" w:rsidRDefault="00DA46A9">
            <w:pPr>
              <w:spacing w:before="40" w:after="40" w:line="360" w:lineRule="auto"/>
              <w:jc w:val="center"/>
            </w:pPr>
            <w:r>
              <w:rPr>
                <w:rFonts w:ascii="Arial" w:eastAsia="Arial" w:hAnsi="Arial"/>
                <w:kern w:val="0"/>
                <w:sz w:val="18"/>
                <w:szCs w:val="22"/>
              </w:rPr>
              <w:t>2026</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7E5A302" w14:textId="77777777" w:rsidR="000C2202" w:rsidRDefault="00DA46A9">
            <w:pPr>
              <w:spacing w:before="40" w:after="40" w:line="360" w:lineRule="auto"/>
            </w:pPr>
            <w:r>
              <w:rPr>
                <w:rFonts w:ascii="Arial" w:eastAsia="Arial" w:hAnsi="Arial"/>
                <w:i/>
                <w:color w:val="000000"/>
                <w:kern w:val="0"/>
                <w:sz w:val="18"/>
              </w:rPr>
              <w:t>Chatbot market by end-user vertical</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FAB5C25" w14:textId="77777777" w:rsidR="000C2202" w:rsidRDefault="00DA46A9">
            <w:pPr>
              <w:spacing w:before="40" w:after="40" w:line="360" w:lineRule="auto"/>
              <w:jc w:val="center"/>
            </w:pPr>
            <w:r>
              <w:rPr>
                <w:rFonts w:ascii="Arial" w:eastAsia="Arial" w:hAnsi="Arial"/>
                <w:color w:val="000000"/>
                <w:kern w:val="0"/>
                <w:sz w:val="18"/>
              </w:rPr>
              <w:t>2</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BFAB7CE" w14:textId="77777777" w:rsidR="000C2202" w:rsidRDefault="00DA46A9">
            <w:pPr>
              <w:spacing w:before="40" w:after="40" w:line="360" w:lineRule="auto"/>
              <w:jc w:val="center"/>
            </w:pPr>
            <w:r>
              <w:rPr>
                <w:rFonts w:ascii="Arial" w:eastAsia="Arial" w:hAnsi="Arial"/>
                <w:color w:val="000000"/>
                <w:kern w:val="0"/>
                <w:sz w:val="18"/>
              </w:rPr>
              <w:t>T1, T2</w:t>
            </w:r>
          </w:p>
        </w:tc>
      </w:tr>
      <w:tr w:rsidR="000C2202" w14:paraId="6005B331" w14:textId="77777777">
        <w:trPr>
          <w:jc w:val="center"/>
        </w:trPr>
        <w:tc>
          <w:tcPr>
            <w:tcW w:w="683"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1786394" w14:textId="77777777" w:rsidR="000C2202" w:rsidRDefault="00DA46A9">
            <w:pPr>
              <w:spacing w:before="40" w:after="40" w:line="360" w:lineRule="auto"/>
              <w:jc w:val="center"/>
            </w:pPr>
            <w:r>
              <w:rPr>
                <w:rFonts w:ascii="Arial" w:eastAsia="Arial" w:hAnsi="Arial"/>
                <w:b/>
                <w:color w:val="000000"/>
                <w:kern w:val="0"/>
                <w:sz w:val="18"/>
              </w:rPr>
              <w:t>T15</w:t>
            </w:r>
          </w:p>
        </w:tc>
        <w:tc>
          <w:tcPr>
            <w:tcW w:w="1547"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2910D12" w14:textId="77777777" w:rsidR="000C2202" w:rsidRDefault="00DA46A9">
            <w:pPr>
              <w:spacing w:before="40" w:after="40" w:line="360" w:lineRule="auto"/>
            </w:pPr>
            <w:r>
              <w:rPr>
                <w:rFonts w:ascii="Arial" w:eastAsia="Arial" w:hAnsi="Arial"/>
                <w:color w:val="000000"/>
                <w:kern w:val="0"/>
                <w:sz w:val="18"/>
              </w:rPr>
              <w:t>Trade press</w:t>
            </w:r>
          </w:p>
        </w:tc>
        <w:tc>
          <w:tcPr>
            <w:tcW w:w="184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1AF1905" w14:textId="77777777" w:rsidR="000C2202" w:rsidRDefault="00DA46A9">
            <w:pPr>
              <w:spacing w:before="40" w:after="40" w:line="360" w:lineRule="auto"/>
            </w:pPr>
            <w:r>
              <w:rPr>
                <w:rFonts w:ascii="Arial" w:eastAsia="Arial" w:hAnsi="Arial"/>
                <w:color w:val="000000"/>
                <w:kern w:val="0"/>
                <w:sz w:val="18"/>
              </w:rPr>
              <w:t>Retail Week (paraphrased)</w:t>
            </w:r>
          </w:p>
        </w:tc>
        <w:tc>
          <w:tcPr>
            <w:tcW w:w="721"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55FB879" w14:textId="77777777" w:rsidR="000C2202" w:rsidRDefault="00DA46A9">
            <w:pPr>
              <w:spacing w:before="40" w:after="40" w:line="360" w:lineRule="auto"/>
              <w:jc w:val="center"/>
            </w:pPr>
            <w:r>
              <w:rPr>
                <w:rFonts w:ascii="Arial" w:eastAsia="Arial" w:hAnsi="Arial"/>
                <w:color w:val="000000"/>
                <w:kern w:val="0"/>
                <w:sz w:val="18"/>
              </w:rPr>
              <w:t>2025</w:t>
            </w:r>
          </w:p>
        </w:tc>
        <w:tc>
          <w:tcPr>
            <w:tcW w:w="2522"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434C3C4" w14:textId="77777777" w:rsidR="000C2202" w:rsidRDefault="00DA46A9">
            <w:pPr>
              <w:spacing w:before="40" w:after="40" w:line="360" w:lineRule="auto"/>
            </w:pPr>
            <w:r>
              <w:rPr>
                <w:rFonts w:ascii="Arial" w:eastAsia="Arial" w:hAnsi="Arial"/>
                <w:i/>
                <w:color w:val="000000"/>
                <w:kern w:val="0"/>
                <w:sz w:val="18"/>
              </w:rPr>
              <w:t>Coverage of UK grocers’ AI service investments</w:t>
            </w:r>
          </w:p>
        </w:tc>
        <w:tc>
          <w:tcPr>
            <w:tcW w:w="87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746E675" w14:textId="77777777" w:rsidR="000C2202" w:rsidRDefault="00DA46A9">
            <w:pPr>
              <w:spacing w:before="40" w:after="40" w:line="360" w:lineRule="auto"/>
              <w:jc w:val="center"/>
            </w:pPr>
            <w:r>
              <w:rPr>
                <w:rFonts w:ascii="Arial" w:eastAsia="Arial" w:hAnsi="Arial"/>
                <w:color w:val="000000"/>
                <w:kern w:val="0"/>
                <w:sz w:val="18"/>
              </w:rPr>
              <w:t>2</w:t>
            </w:r>
          </w:p>
        </w:tc>
        <w:tc>
          <w:tcPr>
            <w:tcW w:w="110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603EF73" w14:textId="77777777" w:rsidR="000C2202" w:rsidRDefault="00DA46A9">
            <w:pPr>
              <w:spacing w:before="40" w:after="40" w:line="360" w:lineRule="auto"/>
              <w:jc w:val="center"/>
            </w:pPr>
            <w:r>
              <w:rPr>
                <w:rFonts w:ascii="Arial" w:eastAsia="Arial" w:hAnsi="Arial"/>
                <w:color w:val="000000"/>
                <w:kern w:val="0"/>
                <w:sz w:val="18"/>
              </w:rPr>
              <w:t>T5</w:t>
            </w:r>
          </w:p>
        </w:tc>
      </w:tr>
    </w:tbl>
    <w:p w14:paraId="55B84347" w14:textId="77777777" w:rsidR="000C2202" w:rsidRDefault="000C2202">
      <w:pPr>
        <w:pageBreakBefore/>
        <w:spacing w:after="120" w:line="360" w:lineRule="auto"/>
        <w:rPr>
          <w:rFonts w:ascii="Arial" w:eastAsia="Arial" w:hAnsi="Arial"/>
          <w:kern w:val="0"/>
        </w:rPr>
      </w:pPr>
    </w:p>
    <w:p w14:paraId="18F9EAE3" w14:textId="77777777" w:rsidR="000C2202" w:rsidRDefault="00DA46A9">
      <w:pPr>
        <w:keepNext/>
        <w:keepLines/>
        <w:spacing w:before="200" w:after="0" w:line="360" w:lineRule="auto"/>
        <w:outlineLvl w:val="1"/>
      </w:pPr>
      <w:bookmarkStart w:id="80" w:name="_Toc235807085"/>
      <w:r>
        <w:rPr>
          <w:rFonts w:ascii="Calibri" w:eastAsia="MS Gothic" w:hAnsi="Calibri"/>
          <w:b/>
          <w:bCs/>
          <w:color w:val="4F81BD"/>
          <w:kern w:val="0"/>
          <w:sz w:val="26"/>
          <w:szCs w:val="26"/>
        </w:rPr>
        <w:t>Appendix B Coding Book — Themes, Sub-themes, and Initial Codes</w:t>
      </w:r>
      <w:bookmarkEnd w:id="80"/>
    </w:p>
    <w:tbl>
      <w:tblPr>
        <w:tblW w:w="9200" w:type="dxa"/>
        <w:jc w:val="center"/>
        <w:tblCellMar>
          <w:left w:w="10" w:type="dxa"/>
          <w:right w:w="10" w:type="dxa"/>
        </w:tblCellMar>
        <w:tblLook w:val="0000" w:firstRow="0" w:lastRow="0" w:firstColumn="0" w:lastColumn="0" w:noHBand="0" w:noVBand="0"/>
      </w:tblPr>
      <w:tblGrid>
        <w:gridCol w:w="2600"/>
        <w:gridCol w:w="6600"/>
      </w:tblGrid>
      <w:tr w:rsidR="000C2202" w14:paraId="2E3BFEFD" w14:textId="77777777">
        <w:trPr>
          <w:jc w:val="center"/>
        </w:trPr>
        <w:tc>
          <w:tcPr>
            <w:tcW w:w="26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46B4D61D" w14:textId="77777777" w:rsidR="000C2202" w:rsidRDefault="00DA46A9">
            <w:pPr>
              <w:spacing w:before="40" w:after="40" w:line="360" w:lineRule="auto"/>
            </w:pPr>
            <w:r>
              <w:rPr>
                <w:rFonts w:ascii="Arial" w:eastAsia="Arial" w:hAnsi="Arial"/>
                <w:b/>
                <w:color w:val="FFFFFF"/>
                <w:kern w:val="0"/>
                <w:sz w:val="20"/>
                <w:szCs w:val="20"/>
              </w:rPr>
              <w:t>Theme</w:t>
            </w:r>
          </w:p>
        </w:tc>
        <w:tc>
          <w:tcPr>
            <w:tcW w:w="66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2286F399" w14:textId="77777777" w:rsidR="000C2202" w:rsidRDefault="00DA46A9">
            <w:pPr>
              <w:spacing w:before="40" w:after="40" w:line="360" w:lineRule="auto"/>
            </w:pPr>
            <w:r>
              <w:rPr>
                <w:rFonts w:ascii="Arial" w:eastAsia="Arial" w:hAnsi="Arial"/>
                <w:b/>
                <w:color w:val="FFFFFF"/>
                <w:kern w:val="0"/>
                <w:sz w:val="20"/>
                <w:szCs w:val="20"/>
              </w:rPr>
              <w:t>Initial codes (consolidated during Phase 4)</w:t>
            </w:r>
          </w:p>
        </w:tc>
      </w:tr>
      <w:tr w:rsidR="000C2202" w14:paraId="743959F0" w14:textId="77777777">
        <w:trPr>
          <w:jc w:val="center"/>
        </w:trPr>
        <w:tc>
          <w:tcPr>
            <w:tcW w:w="26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4EB1F18C" w14:textId="77777777" w:rsidR="000C2202" w:rsidRDefault="00DA46A9">
            <w:pPr>
              <w:spacing w:before="40" w:after="40" w:line="360" w:lineRule="auto"/>
            </w:pPr>
            <w:r>
              <w:rPr>
                <w:rFonts w:ascii="Arial" w:eastAsia="Arial" w:hAnsi="Arial"/>
                <w:b/>
                <w:color w:val="000000"/>
                <w:kern w:val="0"/>
                <w:sz w:val="20"/>
                <w:szCs w:val="20"/>
              </w:rPr>
              <w:t>T1  Response time and 24/7 availability</w:t>
            </w:r>
          </w:p>
        </w:tc>
        <w:tc>
          <w:tcPr>
            <w:tcW w:w="6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B8C6632" w14:textId="77777777" w:rsidR="000C2202" w:rsidRDefault="00DA46A9">
            <w:pPr>
              <w:spacing w:before="40" w:after="40" w:line="360" w:lineRule="auto"/>
            </w:pPr>
            <w:r>
              <w:rPr>
                <w:rFonts w:ascii="Arial" w:eastAsia="Arial" w:hAnsi="Arial"/>
                <w:color w:val="000000"/>
                <w:kern w:val="0"/>
                <w:sz w:val="20"/>
                <w:szCs w:val="20"/>
              </w:rPr>
              <w:t>instant reply; near-zero latency; 24/7 access; out-of-hours coverage; template acknowledgement; ‘please wait’ pattern; response speed vs resolution mismatch; latency + resolution two-axis measurement.</w:t>
            </w:r>
          </w:p>
        </w:tc>
      </w:tr>
      <w:tr w:rsidR="000C2202" w14:paraId="7ED470D7" w14:textId="77777777">
        <w:trPr>
          <w:jc w:val="center"/>
        </w:trPr>
        <w:tc>
          <w:tcPr>
            <w:tcW w:w="26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73C3ADB" w14:textId="77777777" w:rsidR="000C2202" w:rsidRDefault="00DA46A9">
            <w:pPr>
              <w:spacing w:before="40" w:after="40" w:line="360" w:lineRule="auto"/>
            </w:pPr>
            <w:r>
              <w:rPr>
                <w:rFonts w:ascii="Arial" w:eastAsia="Arial" w:hAnsi="Arial"/>
                <w:b/>
                <w:color w:val="000000"/>
                <w:kern w:val="0"/>
                <w:sz w:val="20"/>
                <w:szCs w:val="20"/>
              </w:rPr>
              <w:t>T2  Accuracy, reliability and query complexity</w:t>
            </w:r>
          </w:p>
        </w:tc>
        <w:tc>
          <w:tcPr>
            <w:tcW w:w="6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CAAC856" w14:textId="77777777" w:rsidR="000C2202" w:rsidRDefault="00DA46A9">
            <w:pPr>
              <w:spacing w:before="40" w:after="40" w:line="360" w:lineRule="auto"/>
            </w:pPr>
            <w:r>
              <w:rPr>
                <w:rFonts w:ascii="Arial" w:eastAsia="Arial" w:hAnsi="Arial"/>
                <w:color w:val="000000"/>
                <w:kern w:val="0"/>
                <w:sz w:val="20"/>
                <w:szCs w:val="20"/>
              </w:rPr>
              <w:t>correct answer for order status; correct answer for store hours; multi-step return failure; substitution dispute confusion; Clubcard-adjustment error; query-complexity threshold; complexity + time-sensitivity interaction; grocery-specific query topology.</w:t>
            </w:r>
          </w:p>
        </w:tc>
      </w:tr>
      <w:tr w:rsidR="000C2202" w14:paraId="116AACB8" w14:textId="77777777">
        <w:trPr>
          <w:jc w:val="center"/>
        </w:trPr>
        <w:tc>
          <w:tcPr>
            <w:tcW w:w="26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36F9F3FF" w14:textId="77777777" w:rsidR="000C2202" w:rsidRDefault="00DA46A9">
            <w:pPr>
              <w:spacing w:before="40" w:after="40" w:line="360" w:lineRule="auto"/>
            </w:pPr>
            <w:r>
              <w:rPr>
                <w:rFonts w:ascii="Arial" w:eastAsia="Arial" w:hAnsi="Arial"/>
                <w:b/>
                <w:color w:val="000000"/>
                <w:kern w:val="0"/>
                <w:sz w:val="20"/>
                <w:szCs w:val="20"/>
              </w:rPr>
              <w:t>T3  Trust, data privacy and perceived empathy</w:t>
            </w:r>
          </w:p>
        </w:tc>
        <w:tc>
          <w:tcPr>
            <w:tcW w:w="6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E125C46" w14:textId="77777777" w:rsidR="000C2202" w:rsidRDefault="00DA46A9">
            <w:pPr>
              <w:spacing w:before="40" w:after="40" w:line="360" w:lineRule="auto"/>
            </w:pPr>
            <w:r>
              <w:rPr>
                <w:rFonts w:ascii="Arial" w:eastAsia="Arial" w:hAnsi="Arial"/>
                <w:color w:val="000000"/>
                <w:kern w:val="0"/>
                <w:sz w:val="20"/>
                <w:szCs w:val="20"/>
              </w:rPr>
              <w:t>trust in bot accuracy; trust in Clubcard data usage; extension of Clubcard trust to chatbot; scripted empathic phrasing; ‘I understand this must be frustrating’ mismatch; recognition-vs-action asymmetry; anthropomorphism cues.</w:t>
            </w:r>
          </w:p>
        </w:tc>
      </w:tr>
      <w:tr w:rsidR="000C2202" w14:paraId="62F5A6EA" w14:textId="77777777">
        <w:trPr>
          <w:jc w:val="center"/>
        </w:trPr>
        <w:tc>
          <w:tcPr>
            <w:tcW w:w="26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4470C6AA" w14:textId="77777777" w:rsidR="000C2202" w:rsidRDefault="00DA46A9">
            <w:pPr>
              <w:spacing w:before="40" w:after="40" w:line="360" w:lineRule="auto"/>
            </w:pPr>
            <w:r>
              <w:rPr>
                <w:rFonts w:ascii="Arial" w:eastAsia="Arial" w:hAnsi="Arial"/>
                <w:b/>
                <w:color w:val="000000"/>
                <w:kern w:val="0"/>
                <w:sz w:val="20"/>
                <w:szCs w:val="20"/>
              </w:rPr>
              <w:t>T4  Human handover and escalation friction</w:t>
            </w:r>
          </w:p>
        </w:tc>
        <w:tc>
          <w:tcPr>
            <w:tcW w:w="6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5824DF6" w14:textId="77777777" w:rsidR="000C2202" w:rsidRDefault="00DA46A9">
            <w:pPr>
              <w:spacing w:before="40" w:after="40" w:line="360" w:lineRule="auto"/>
            </w:pPr>
            <w:r>
              <w:rPr>
                <w:rFonts w:ascii="Arial" w:eastAsia="Arial" w:hAnsi="Arial"/>
                <w:color w:val="000000"/>
                <w:kern w:val="0"/>
                <w:sz w:val="20"/>
                <w:szCs w:val="20"/>
              </w:rPr>
              <w:t>chatbot-to-agent handover failure; repeat-yourself failure mode; loss of conversational context; churn-signalling language; net-negative satisfaction when handover fails; escalation as a distinct pathway.</w:t>
            </w:r>
          </w:p>
        </w:tc>
      </w:tr>
      <w:tr w:rsidR="000C2202" w14:paraId="555B3B7E" w14:textId="77777777">
        <w:trPr>
          <w:jc w:val="center"/>
        </w:trPr>
        <w:tc>
          <w:tcPr>
            <w:tcW w:w="26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051142F7" w14:textId="77777777" w:rsidR="000C2202" w:rsidRDefault="00DA46A9">
            <w:pPr>
              <w:spacing w:before="40" w:after="40" w:line="360" w:lineRule="auto"/>
            </w:pPr>
            <w:r>
              <w:rPr>
                <w:rFonts w:ascii="Arial" w:eastAsia="Arial" w:hAnsi="Arial"/>
                <w:b/>
                <w:color w:val="000000"/>
                <w:kern w:val="0"/>
                <w:sz w:val="20"/>
                <w:szCs w:val="20"/>
              </w:rPr>
              <w:t>T5  Personalisation and the generative-AI shift</w:t>
            </w:r>
          </w:p>
        </w:tc>
        <w:tc>
          <w:tcPr>
            <w:tcW w:w="6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242BD0D" w14:textId="77777777" w:rsidR="000C2202" w:rsidRDefault="00DA46A9">
            <w:pPr>
              <w:spacing w:before="40" w:after="40" w:line="360" w:lineRule="auto"/>
            </w:pPr>
            <w:r>
              <w:rPr>
                <w:rFonts w:ascii="Arial" w:eastAsia="Arial" w:hAnsi="Arial"/>
                <w:color w:val="000000"/>
                <w:kern w:val="0"/>
                <w:sz w:val="20"/>
                <w:szCs w:val="20"/>
              </w:rPr>
              <w:t>pre-2024 rule-based expectations; generative-AI step-change in expectations; expectation drift; disconfirmed capability expectations; memory-of-prior-interaction expectation; household-context personalisation; transition-period asymmetry.</w:t>
            </w:r>
          </w:p>
        </w:tc>
      </w:tr>
    </w:tbl>
    <w:p w14:paraId="28062B37" w14:textId="77777777" w:rsidR="000C2202" w:rsidRDefault="000C2202">
      <w:pPr>
        <w:pageBreakBefore/>
        <w:spacing w:after="120" w:line="360" w:lineRule="auto"/>
        <w:rPr>
          <w:rFonts w:ascii="Arial" w:eastAsia="Arial" w:hAnsi="Arial"/>
          <w:kern w:val="0"/>
        </w:rPr>
      </w:pPr>
    </w:p>
    <w:p w14:paraId="0FB4B0AE" w14:textId="77777777" w:rsidR="000C2202" w:rsidRDefault="00DA46A9">
      <w:pPr>
        <w:keepNext/>
        <w:keepLines/>
        <w:spacing w:before="200" w:after="0" w:line="360" w:lineRule="auto"/>
        <w:outlineLvl w:val="1"/>
      </w:pPr>
      <w:bookmarkStart w:id="81" w:name="_Toc235807086"/>
      <w:r>
        <w:rPr>
          <w:rFonts w:ascii="Calibri" w:eastAsia="MS Gothic" w:hAnsi="Calibri"/>
          <w:b/>
          <w:bCs/>
          <w:color w:val="4F81BD"/>
          <w:kern w:val="0"/>
          <w:sz w:val="26"/>
          <w:szCs w:val="26"/>
        </w:rPr>
        <w:t>Appendix C Thematic Map</w:t>
      </w:r>
      <w:bookmarkEnd w:id="81"/>
    </w:p>
    <w:p w14:paraId="21EAB291" w14:textId="77777777" w:rsidR="000C2202" w:rsidRDefault="00DA46A9">
      <w:pPr>
        <w:spacing w:after="120" w:line="360" w:lineRule="auto"/>
        <w:jc w:val="both"/>
        <w:rPr>
          <w:rFonts w:ascii="Arial" w:eastAsia="Arial" w:hAnsi="Arial"/>
          <w:kern w:val="0"/>
        </w:rPr>
      </w:pPr>
      <w:r>
        <w:rPr>
          <w:rFonts w:ascii="Arial" w:eastAsia="Arial" w:hAnsi="Arial"/>
          <w:kern w:val="0"/>
        </w:rPr>
        <w:t>The thematic map represents the relationships between the five main themes and the SERVQUAL, TAM, and query-complexity-fit pathways introduced in the Chapter 2 conceptual framework (Figure 2.1). Themes are linked to the pathways through which they exert their effect on customer satisfaction.</w:t>
      </w:r>
    </w:p>
    <w:tbl>
      <w:tblPr>
        <w:tblW w:w="9200" w:type="dxa"/>
        <w:jc w:val="center"/>
        <w:tblCellMar>
          <w:left w:w="10" w:type="dxa"/>
          <w:right w:w="10" w:type="dxa"/>
        </w:tblCellMar>
        <w:tblLook w:val="0000" w:firstRow="0" w:lastRow="0" w:firstColumn="0" w:lastColumn="0" w:noHBand="0" w:noVBand="0"/>
      </w:tblPr>
      <w:tblGrid>
        <w:gridCol w:w="2200"/>
        <w:gridCol w:w="3200"/>
        <w:gridCol w:w="3800"/>
      </w:tblGrid>
      <w:tr w:rsidR="000C2202" w14:paraId="01E5FF18" w14:textId="77777777">
        <w:trPr>
          <w:jc w:val="center"/>
        </w:trPr>
        <w:tc>
          <w:tcPr>
            <w:tcW w:w="22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43D136B9" w14:textId="77777777" w:rsidR="000C2202" w:rsidRDefault="00DA46A9">
            <w:pPr>
              <w:spacing w:before="40" w:after="40" w:line="360" w:lineRule="auto"/>
              <w:jc w:val="center"/>
            </w:pPr>
            <w:r>
              <w:rPr>
                <w:rFonts w:ascii="Arial" w:eastAsia="Arial" w:hAnsi="Arial"/>
                <w:b/>
                <w:color w:val="FFFFFF"/>
                <w:kern w:val="0"/>
              </w:rPr>
              <w:t>Theme (Chapter 4)</w:t>
            </w:r>
          </w:p>
        </w:tc>
        <w:tc>
          <w:tcPr>
            <w:tcW w:w="32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4C2D2D13" w14:textId="77777777" w:rsidR="000C2202" w:rsidRDefault="00DA46A9">
            <w:pPr>
              <w:spacing w:before="40" w:after="40" w:line="360" w:lineRule="auto"/>
            </w:pPr>
            <w:r>
              <w:rPr>
                <w:rFonts w:ascii="Arial" w:eastAsia="Arial" w:hAnsi="Arial"/>
                <w:b/>
                <w:color w:val="FFFFFF"/>
                <w:kern w:val="0"/>
              </w:rPr>
              <w:t>Primary pathway (Figure 2.1)</w:t>
            </w:r>
          </w:p>
        </w:tc>
        <w:tc>
          <w:tcPr>
            <w:tcW w:w="38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7C2711E2" w14:textId="77777777" w:rsidR="000C2202" w:rsidRDefault="00DA46A9">
            <w:pPr>
              <w:spacing w:before="40" w:after="40" w:line="360" w:lineRule="auto"/>
            </w:pPr>
            <w:r>
              <w:rPr>
                <w:rFonts w:ascii="Arial" w:eastAsia="Arial" w:hAnsi="Arial"/>
                <w:b/>
                <w:color w:val="FFFFFF"/>
                <w:kern w:val="0"/>
              </w:rPr>
              <w:t>Effect on customer satisfaction</w:t>
            </w:r>
          </w:p>
        </w:tc>
      </w:tr>
      <w:tr w:rsidR="000C2202" w14:paraId="677662A8" w14:textId="77777777">
        <w:trPr>
          <w:jc w:val="center"/>
        </w:trPr>
        <w:tc>
          <w:tcPr>
            <w:tcW w:w="22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6F77F616" w14:textId="77777777" w:rsidR="000C2202" w:rsidRDefault="00DA46A9">
            <w:pPr>
              <w:spacing w:before="40" w:after="40" w:line="360" w:lineRule="auto"/>
              <w:jc w:val="center"/>
            </w:pPr>
            <w:r>
              <w:rPr>
                <w:rFonts w:ascii="Arial" w:eastAsia="Arial" w:hAnsi="Arial"/>
                <w:b/>
                <w:color w:val="000000"/>
                <w:kern w:val="0"/>
                <w:sz w:val="20"/>
              </w:rPr>
              <w:t>T1 Response time &amp; 24/7</w:t>
            </w:r>
          </w:p>
        </w:tc>
        <w:tc>
          <w:tcPr>
            <w:tcW w:w="3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82896F0" w14:textId="77777777" w:rsidR="000C2202" w:rsidRDefault="00DA46A9">
            <w:pPr>
              <w:spacing w:before="40" w:after="40" w:line="360" w:lineRule="auto"/>
            </w:pPr>
            <w:r>
              <w:rPr>
                <w:rFonts w:ascii="Arial" w:eastAsia="Arial" w:hAnsi="Arial"/>
                <w:color w:val="000000"/>
                <w:kern w:val="0"/>
                <w:sz w:val="20"/>
              </w:rPr>
              <w:t>Perceived Service Quality (SERVQUAL responsiveness dimension)</w:t>
            </w:r>
          </w:p>
        </w:tc>
        <w:tc>
          <w:tcPr>
            <w:tcW w:w="3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83369FF" w14:textId="77777777" w:rsidR="000C2202" w:rsidRDefault="00DA46A9">
            <w:pPr>
              <w:spacing w:before="40" w:after="40" w:line="360" w:lineRule="auto"/>
            </w:pPr>
            <w:r>
              <w:rPr>
                <w:rFonts w:ascii="Arial" w:eastAsia="Arial" w:hAnsi="Arial"/>
                <w:color w:val="000000"/>
                <w:kern w:val="0"/>
                <w:sz w:val="20"/>
              </w:rPr>
              <w:t>Positive when speed + resolution both delivered; near-zero when speed without resolution.</w:t>
            </w:r>
          </w:p>
        </w:tc>
      </w:tr>
      <w:tr w:rsidR="000C2202" w14:paraId="207558CE" w14:textId="77777777">
        <w:trPr>
          <w:jc w:val="center"/>
        </w:trPr>
        <w:tc>
          <w:tcPr>
            <w:tcW w:w="22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43B3AD02" w14:textId="77777777" w:rsidR="000C2202" w:rsidRDefault="00DA46A9">
            <w:pPr>
              <w:spacing w:before="40" w:after="40" w:line="360" w:lineRule="auto"/>
              <w:jc w:val="center"/>
            </w:pPr>
            <w:r>
              <w:rPr>
                <w:rFonts w:ascii="Arial" w:eastAsia="Arial" w:hAnsi="Arial"/>
                <w:b/>
                <w:color w:val="000000"/>
                <w:kern w:val="0"/>
                <w:sz w:val="20"/>
              </w:rPr>
              <w:t>T2 Accuracy &amp; query complexity</w:t>
            </w:r>
          </w:p>
        </w:tc>
        <w:tc>
          <w:tcPr>
            <w:tcW w:w="3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F0107BB" w14:textId="77777777" w:rsidR="000C2202" w:rsidRDefault="00DA46A9">
            <w:pPr>
              <w:spacing w:before="40" w:after="40" w:line="360" w:lineRule="auto"/>
            </w:pPr>
            <w:r>
              <w:rPr>
                <w:rFonts w:ascii="Arial" w:eastAsia="Arial" w:hAnsi="Arial"/>
                <w:color w:val="000000"/>
                <w:kern w:val="0"/>
                <w:sz w:val="20"/>
              </w:rPr>
              <w:t>Query-Complexity Fit  +  Perceived Service Quality (reliability dimension)</w:t>
            </w:r>
          </w:p>
        </w:tc>
        <w:tc>
          <w:tcPr>
            <w:tcW w:w="3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5928140" w14:textId="77777777" w:rsidR="000C2202" w:rsidRDefault="00DA46A9">
            <w:pPr>
              <w:spacing w:before="40" w:after="40" w:line="360" w:lineRule="auto"/>
            </w:pPr>
            <w:r>
              <w:rPr>
                <w:rFonts w:ascii="Arial" w:eastAsia="Arial" w:hAnsi="Arial"/>
                <w:color w:val="000000"/>
                <w:kern w:val="0"/>
                <w:sz w:val="20"/>
              </w:rPr>
              <w:t>Positive for simple queries; strongly negative once complexity crosses grocery-specific threshold.</w:t>
            </w:r>
          </w:p>
        </w:tc>
      </w:tr>
      <w:tr w:rsidR="000C2202" w14:paraId="7CBC9E3D" w14:textId="77777777">
        <w:trPr>
          <w:jc w:val="center"/>
        </w:trPr>
        <w:tc>
          <w:tcPr>
            <w:tcW w:w="22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0DCA788" w14:textId="77777777" w:rsidR="000C2202" w:rsidRDefault="00DA46A9">
            <w:pPr>
              <w:spacing w:before="40" w:after="40" w:line="360" w:lineRule="auto"/>
              <w:jc w:val="center"/>
            </w:pPr>
            <w:r>
              <w:rPr>
                <w:rFonts w:ascii="Arial" w:eastAsia="Arial" w:hAnsi="Arial"/>
                <w:b/>
                <w:color w:val="000000"/>
                <w:kern w:val="0"/>
                <w:sz w:val="20"/>
              </w:rPr>
              <w:t>T3 Trust &amp; perceived empathy</w:t>
            </w:r>
          </w:p>
        </w:tc>
        <w:tc>
          <w:tcPr>
            <w:tcW w:w="3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C13FE4C" w14:textId="77777777" w:rsidR="000C2202" w:rsidRDefault="00DA46A9">
            <w:pPr>
              <w:spacing w:before="40" w:after="40" w:line="360" w:lineRule="auto"/>
            </w:pPr>
            <w:r>
              <w:rPr>
                <w:rFonts w:ascii="Arial" w:eastAsia="Arial" w:hAnsi="Arial"/>
                <w:color w:val="000000"/>
                <w:kern w:val="0"/>
                <w:sz w:val="20"/>
              </w:rPr>
              <w:t>Technology Acceptance &amp; Trust (three sub-channels: accuracy / data / empathy)</w:t>
            </w:r>
          </w:p>
        </w:tc>
        <w:tc>
          <w:tcPr>
            <w:tcW w:w="3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60F870B" w14:textId="77777777" w:rsidR="000C2202" w:rsidRDefault="00DA46A9">
            <w:pPr>
              <w:spacing w:before="40" w:after="40" w:line="360" w:lineRule="auto"/>
            </w:pPr>
            <w:r>
              <w:rPr>
                <w:rFonts w:ascii="Arial" w:eastAsia="Arial" w:hAnsi="Arial"/>
                <w:color w:val="000000"/>
                <w:kern w:val="0"/>
                <w:sz w:val="20"/>
              </w:rPr>
              <w:t>Positive on data-handling in Tesco context; strongly negative on empathy signal during failure states.</w:t>
            </w:r>
          </w:p>
        </w:tc>
      </w:tr>
      <w:tr w:rsidR="000C2202" w14:paraId="4AE0EFBD" w14:textId="77777777">
        <w:trPr>
          <w:jc w:val="center"/>
        </w:trPr>
        <w:tc>
          <w:tcPr>
            <w:tcW w:w="22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6B0F83EB" w14:textId="77777777" w:rsidR="000C2202" w:rsidRDefault="00DA46A9">
            <w:pPr>
              <w:spacing w:before="40" w:after="40" w:line="360" w:lineRule="auto"/>
              <w:jc w:val="center"/>
            </w:pPr>
            <w:r>
              <w:rPr>
                <w:rFonts w:ascii="Arial" w:eastAsia="Arial" w:hAnsi="Arial"/>
                <w:b/>
                <w:color w:val="000000"/>
                <w:kern w:val="0"/>
                <w:sz w:val="20"/>
              </w:rPr>
              <w:t>T4 Handover &amp; escalation friction</w:t>
            </w:r>
          </w:p>
        </w:tc>
        <w:tc>
          <w:tcPr>
            <w:tcW w:w="3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D44AEA7" w14:textId="77777777" w:rsidR="000C2202" w:rsidRDefault="00DA46A9">
            <w:pPr>
              <w:spacing w:before="40" w:after="40" w:line="360" w:lineRule="auto"/>
            </w:pPr>
            <w:r>
              <w:rPr>
                <w:rFonts w:ascii="Arial" w:eastAsia="Arial" w:hAnsi="Arial"/>
                <w:color w:val="000000"/>
                <w:kern w:val="0"/>
                <w:sz w:val="20"/>
              </w:rPr>
              <w:t>New pathway: handover architecture as first-order design variable</w:t>
            </w:r>
          </w:p>
        </w:tc>
        <w:tc>
          <w:tcPr>
            <w:tcW w:w="3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EED263E" w14:textId="77777777" w:rsidR="000C2202" w:rsidRDefault="00DA46A9">
            <w:pPr>
              <w:spacing w:before="40" w:after="40" w:line="360" w:lineRule="auto"/>
            </w:pPr>
            <w:r>
              <w:rPr>
                <w:rFonts w:ascii="Arial" w:eastAsia="Arial" w:hAnsi="Arial"/>
                <w:color w:val="000000"/>
                <w:kern w:val="0"/>
                <w:sz w:val="20"/>
              </w:rPr>
              <w:t>Uniformly negative; correlates with churn-signalling language.</w:t>
            </w:r>
          </w:p>
        </w:tc>
      </w:tr>
      <w:tr w:rsidR="000C2202" w14:paraId="0DA025B6" w14:textId="77777777">
        <w:trPr>
          <w:jc w:val="center"/>
        </w:trPr>
        <w:tc>
          <w:tcPr>
            <w:tcW w:w="22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325A0FFC" w14:textId="77777777" w:rsidR="000C2202" w:rsidRDefault="00DA46A9">
            <w:pPr>
              <w:spacing w:before="40" w:after="40" w:line="360" w:lineRule="auto"/>
              <w:jc w:val="center"/>
            </w:pPr>
            <w:r>
              <w:rPr>
                <w:rFonts w:ascii="Arial" w:eastAsia="Arial" w:hAnsi="Arial"/>
                <w:b/>
                <w:color w:val="000000"/>
                <w:kern w:val="0"/>
                <w:sz w:val="20"/>
              </w:rPr>
              <w:t>T5 Personalisation &amp; GenAI shift</w:t>
            </w:r>
          </w:p>
        </w:tc>
        <w:tc>
          <w:tcPr>
            <w:tcW w:w="3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42406B8" w14:textId="77777777" w:rsidR="000C2202" w:rsidRDefault="00DA46A9">
            <w:pPr>
              <w:spacing w:before="40" w:after="40" w:line="360" w:lineRule="auto"/>
            </w:pPr>
            <w:r>
              <w:rPr>
                <w:rFonts w:ascii="Arial" w:eastAsia="Arial" w:hAnsi="Arial"/>
                <w:color w:val="000000"/>
                <w:kern w:val="0"/>
                <w:sz w:val="20"/>
              </w:rPr>
              <w:t>Technology Acceptance (extended with expectation drift)</w:t>
            </w:r>
          </w:p>
        </w:tc>
        <w:tc>
          <w:tcPr>
            <w:tcW w:w="3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522A852" w14:textId="77777777" w:rsidR="000C2202" w:rsidRDefault="00DA46A9">
            <w:pPr>
              <w:spacing w:before="40" w:after="40" w:line="360" w:lineRule="auto"/>
            </w:pPr>
            <w:r>
              <w:rPr>
                <w:rFonts w:ascii="Arial" w:eastAsia="Arial" w:hAnsi="Arial"/>
                <w:color w:val="000000"/>
                <w:kern w:val="0"/>
                <w:sz w:val="20"/>
              </w:rPr>
              <w:t>Positive when expectation met; sharper negative when unmet than under previous generation.</w:t>
            </w:r>
          </w:p>
        </w:tc>
      </w:tr>
    </w:tbl>
    <w:p w14:paraId="53D37B60" w14:textId="77777777" w:rsidR="000C2202" w:rsidRDefault="000C2202">
      <w:pPr>
        <w:pageBreakBefore/>
        <w:spacing w:after="120" w:line="360" w:lineRule="auto"/>
        <w:rPr>
          <w:rFonts w:ascii="Arial" w:eastAsia="Arial" w:hAnsi="Arial"/>
          <w:kern w:val="0"/>
        </w:rPr>
      </w:pPr>
    </w:p>
    <w:p w14:paraId="7330FDEB" w14:textId="77777777" w:rsidR="000C2202" w:rsidRDefault="00DA46A9">
      <w:pPr>
        <w:keepNext/>
        <w:keepLines/>
        <w:spacing w:before="200" w:after="0" w:line="360" w:lineRule="auto"/>
        <w:outlineLvl w:val="1"/>
      </w:pPr>
      <w:bookmarkStart w:id="82" w:name="_Toc235807087"/>
      <w:r>
        <w:rPr>
          <w:rFonts w:ascii="Calibri" w:eastAsia="MS Gothic" w:hAnsi="Calibri"/>
          <w:b/>
          <w:bCs/>
          <w:color w:val="4F81BD"/>
          <w:kern w:val="0"/>
          <w:sz w:val="26"/>
          <w:szCs w:val="26"/>
        </w:rPr>
        <w:t>Appendix D Boolean Search Strings and Retrieval Log</w:t>
      </w:r>
      <w:bookmarkEnd w:id="82"/>
    </w:p>
    <w:p w14:paraId="398A1DBA" w14:textId="77777777" w:rsidR="000C2202" w:rsidRDefault="00DA46A9">
      <w:pPr>
        <w:spacing w:after="120" w:line="360" w:lineRule="auto"/>
        <w:jc w:val="both"/>
      </w:pPr>
      <w:r>
        <w:rPr>
          <w:rFonts w:ascii="Arial" w:eastAsia="Arial" w:hAnsi="Arial"/>
          <w:kern w:val="0"/>
          <w:szCs w:val="22"/>
        </w:rPr>
        <w:t>The table records the structured search strings and source-stream retrieval totals. The searches returned 700 records. Screening produced 81 provisionally eligible records, after which six overlaps were removed during deduplication, leaving the final 75 unique sources analysed in Chapter 4. Inclusion and exclusion criteria are reported in Appendix E.</w:t>
      </w:r>
    </w:p>
    <w:tbl>
      <w:tblPr>
        <w:tblW w:w="9200" w:type="dxa"/>
        <w:jc w:val="center"/>
        <w:tblCellMar>
          <w:left w:w="10" w:type="dxa"/>
          <w:right w:w="10" w:type="dxa"/>
        </w:tblCellMar>
        <w:tblLook w:val="0000" w:firstRow="0" w:lastRow="0" w:firstColumn="0" w:lastColumn="0" w:noHBand="0" w:noVBand="0"/>
      </w:tblPr>
      <w:tblGrid>
        <w:gridCol w:w="1798"/>
        <w:gridCol w:w="4988"/>
        <w:gridCol w:w="1200"/>
        <w:gridCol w:w="1214"/>
      </w:tblGrid>
      <w:tr w:rsidR="000C2202" w14:paraId="53F77251" w14:textId="77777777">
        <w:trPr>
          <w:jc w:val="center"/>
        </w:trPr>
        <w:tc>
          <w:tcPr>
            <w:tcW w:w="1798"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02A33E11" w14:textId="77777777" w:rsidR="000C2202" w:rsidRDefault="00DA46A9">
            <w:pPr>
              <w:spacing w:before="40" w:after="40" w:line="360" w:lineRule="auto"/>
            </w:pPr>
            <w:r>
              <w:rPr>
                <w:rFonts w:ascii="Arial" w:eastAsia="Arial" w:hAnsi="Arial"/>
                <w:b/>
                <w:color w:val="FFFFFF"/>
                <w:kern w:val="0"/>
              </w:rPr>
              <w:t>Database</w:t>
            </w:r>
          </w:p>
        </w:tc>
        <w:tc>
          <w:tcPr>
            <w:tcW w:w="4988"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4B90CF51" w14:textId="77777777" w:rsidR="000C2202" w:rsidRDefault="00DA46A9">
            <w:pPr>
              <w:spacing w:before="40" w:after="40" w:line="360" w:lineRule="auto"/>
            </w:pPr>
            <w:r>
              <w:rPr>
                <w:rFonts w:ascii="Arial" w:eastAsia="Arial" w:hAnsi="Arial"/>
                <w:b/>
                <w:color w:val="FFFFFF"/>
                <w:kern w:val="0"/>
              </w:rPr>
              <w:t>Boolean search string</w:t>
            </w:r>
          </w:p>
        </w:tc>
        <w:tc>
          <w:tcPr>
            <w:tcW w:w="12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0D6E38AA" w14:textId="77777777" w:rsidR="000C2202" w:rsidRDefault="00DA46A9">
            <w:pPr>
              <w:spacing w:before="40" w:after="40" w:line="360" w:lineRule="auto"/>
              <w:jc w:val="center"/>
            </w:pPr>
            <w:r>
              <w:rPr>
                <w:rFonts w:ascii="Arial" w:eastAsia="Arial" w:hAnsi="Arial"/>
                <w:b/>
                <w:color w:val="FFFFFF"/>
                <w:kern w:val="0"/>
              </w:rPr>
              <w:t>Records</w:t>
            </w:r>
          </w:p>
        </w:tc>
        <w:tc>
          <w:tcPr>
            <w:tcW w:w="1214"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58807AE4" w14:textId="77777777" w:rsidR="000C2202" w:rsidRDefault="00DA46A9">
            <w:pPr>
              <w:spacing w:before="40" w:after="40" w:line="360" w:lineRule="auto"/>
              <w:jc w:val="center"/>
            </w:pPr>
            <w:r>
              <w:rPr>
                <w:rFonts w:ascii="Arial" w:eastAsia="Arial" w:hAnsi="Arial"/>
                <w:b/>
                <w:color w:val="FFFFFF"/>
                <w:kern w:val="0"/>
              </w:rPr>
              <w:t>Retained</w:t>
            </w:r>
          </w:p>
        </w:tc>
      </w:tr>
      <w:tr w:rsidR="000C2202" w14:paraId="6B9D35CA" w14:textId="77777777">
        <w:trPr>
          <w:jc w:val="center"/>
        </w:trPr>
        <w:tc>
          <w:tcPr>
            <w:tcW w:w="1798"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6E96012" w14:textId="77777777" w:rsidR="000C2202" w:rsidRDefault="00DA46A9">
            <w:pPr>
              <w:spacing w:before="40" w:after="40" w:line="360" w:lineRule="auto"/>
            </w:pPr>
            <w:r>
              <w:rPr>
                <w:rFonts w:ascii="Arial" w:eastAsia="Arial" w:hAnsi="Arial"/>
                <w:b/>
                <w:color w:val="000000"/>
                <w:kern w:val="0"/>
                <w:sz w:val="20"/>
              </w:rPr>
              <w:t>Scopus</w:t>
            </w:r>
          </w:p>
        </w:tc>
        <w:tc>
          <w:tcPr>
            <w:tcW w:w="498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21779CA" w14:textId="77777777" w:rsidR="000C2202" w:rsidRDefault="00DA46A9">
            <w:pPr>
              <w:spacing w:before="40" w:after="40" w:line="360" w:lineRule="auto"/>
            </w:pPr>
            <w:r>
              <w:rPr>
                <w:rFonts w:ascii="Arial" w:eastAsia="Arial" w:hAnsi="Arial"/>
                <w:i/>
                <w:color w:val="000000"/>
                <w:kern w:val="0"/>
                <w:sz w:val="18"/>
              </w:rPr>
              <w:t>("AI chatbot" OR "chatbot" OR "conversational agent") AND ("customer satisfaction" OR "service quality") AND ("retail" OR "grocery" OR "supermarket")</w:t>
            </w:r>
          </w:p>
        </w:tc>
        <w:tc>
          <w:tcPr>
            <w:tcW w:w="1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9A81FC2" w14:textId="77777777" w:rsidR="000C2202" w:rsidRDefault="00DA46A9">
            <w:pPr>
              <w:spacing w:before="40" w:after="40" w:line="360" w:lineRule="auto"/>
              <w:jc w:val="center"/>
            </w:pPr>
            <w:r>
              <w:rPr>
                <w:rFonts w:ascii="Arial" w:eastAsia="Arial" w:hAnsi="Arial"/>
                <w:color w:val="000000"/>
                <w:kern w:val="0"/>
                <w:sz w:val="20"/>
              </w:rPr>
              <w:t>148</w:t>
            </w:r>
          </w:p>
        </w:tc>
        <w:tc>
          <w:tcPr>
            <w:tcW w:w="121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1D74C76" w14:textId="77777777" w:rsidR="000C2202" w:rsidRDefault="00DA46A9">
            <w:pPr>
              <w:spacing w:before="40" w:after="40" w:line="360" w:lineRule="auto"/>
              <w:jc w:val="center"/>
            </w:pPr>
            <w:r>
              <w:rPr>
                <w:rFonts w:ascii="Arial" w:eastAsia="Arial" w:hAnsi="Arial"/>
                <w:b/>
                <w:color w:val="000000"/>
                <w:kern w:val="0"/>
                <w:sz w:val="20"/>
              </w:rPr>
              <w:t>18</w:t>
            </w:r>
          </w:p>
        </w:tc>
      </w:tr>
      <w:tr w:rsidR="000C2202" w14:paraId="51D29ACF" w14:textId="77777777">
        <w:trPr>
          <w:jc w:val="center"/>
        </w:trPr>
        <w:tc>
          <w:tcPr>
            <w:tcW w:w="1798"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09256805" w14:textId="77777777" w:rsidR="000C2202" w:rsidRDefault="00DA46A9">
            <w:pPr>
              <w:spacing w:before="40" w:after="40" w:line="360" w:lineRule="auto"/>
            </w:pPr>
            <w:r>
              <w:rPr>
                <w:rFonts w:ascii="Arial" w:eastAsia="Arial" w:hAnsi="Arial"/>
                <w:b/>
                <w:color w:val="000000"/>
                <w:kern w:val="0"/>
                <w:sz w:val="20"/>
              </w:rPr>
              <w:t>Web of Science</w:t>
            </w:r>
          </w:p>
        </w:tc>
        <w:tc>
          <w:tcPr>
            <w:tcW w:w="498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B142F00" w14:textId="77777777" w:rsidR="000C2202" w:rsidRDefault="00DA46A9">
            <w:pPr>
              <w:spacing w:before="40" w:after="40" w:line="360" w:lineRule="auto"/>
            </w:pPr>
            <w:r>
              <w:rPr>
                <w:rFonts w:ascii="Arial" w:eastAsia="Arial" w:hAnsi="Arial"/>
                <w:i/>
                <w:color w:val="000000"/>
                <w:kern w:val="0"/>
                <w:sz w:val="18"/>
              </w:rPr>
              <w:t>("chatbot") AND ("customer satisfaction" OR "SERVQUAL" OR "TAM") AND PUBYEAR &gt; 2017</w:t>
            </w:r>
          </w:p>
        </w:tc>
        <w:tc>
          <w:tcPr>
            <w:tcW w:w="1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05C1320" w14:textId="77777777" w:rsidR="000C2202" w:rsidRDefault="00DA46A9">
            <w:pPr>
              <w:spacing w:before="40" w:after="40" w:line="360" w:lineRule="auto"/>
              <w:jc w:val="center"/>
            </w:pPr>
            <w:r>
              <w:rPr>
                <w:rFonts w:ascii="Arial" w:eastAsia="Arial" w:hAnsi="Arial"/>
                <w:color w:val="000000"/>
                <w:kern w:val="0"/>
                <w:sz w:val="20"/>
              </w:rPr>
              <w:t>112</w:t>
            </w:r>
          </w:p>
        </w:tc>
        <w:tc>
          <w:tcPr>
            <w:tcW w:w="121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756A3B0" w14:textId="77777777" w:rsidR="000C2202" w:rsidRDefault="00DA46A9">
            <w:pPr>
              <w:spacing w:before="40" w:after="40" w:line="360" w:lineRule="auto"/>
              <w:jc w:val="center"/>
            </w:pPr>
            <w:r>
              <w:rPr>
                <w:rFonts w:ascii="Arial" w:eastAsia="Arial" w:hAnsi="Arial"/>
                <w:b/>
                <w:color w:val="000000"/>
                <w:kern w:val="0"/>
                <w:sz w:val="20"/>
              </w:rPr>
              <w:t>8</w:t>
            </w:r>
          </w:p>
        </w:tc>
      </w:tr>
      <w:tr w:rsidR="000C2202" w14:paraId="7E5B1FBF" w14:textId="77777777">
        <w:trPr>
          <w:jc w:val="center"/>
        </w:trPr>
        <w:tc>
          <w:tcPr>
            <w:tcW w:w="1798"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1789EB6A" w14:textId="77777777" w:rsidR="000C2202" w:rsidRDefault="00DA46A9">
            <w:pPr>
              <w:spacing w:before="40" w:after="40" w:line="360" w:lineRule="auto"/>
            </w:pPr>
            <w:r>
              <w:rPr>
                <w:rFonts w:ascii="Arial" w:eastAsia="Arial" w:hAnsi="Arial"/>
                <w:b/>
                <w:color w:val="000000"/>
                <w:kern w:val="0"/>
                <w:sz w:val="20"/>
              </w:rPr>
              <w:t>Google Scholar</w:t>
            </w:r>
          </w:p>
        </w:tc>
        <w:tc>
          <w:tcPr>
            <w:tcW w:w="498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11910C9" w14:textId="77777777" w:rsidR="000C2202" w:rsidRDefault="00DA46A9">
            <w:pPr>
              <w:spacing w:before="40" w:after="40" w:line="360" w:lineRule="auto"/>
            </w:pPr>
            <w:r>
              <w:rPr>
                <w:rFonts w:ascii="Arial" w:eastAsia="Arial" w:hAnsi="Arial"/>
                <w:i/>
                <w:color w:val="000000"/>
                <w:kern w:val="0"/>
                <w:sz w:val="18"/>
              </w:rPr>
              <w:t>"chatbot" AND ("Tesco" OR "UK supermarket") AND "customer satisfaction"</w:t>
            </w:r>
          </w:p>
        </w:tc>
        <w:tc>
          <w:tcPr>
            <w:tcW w:w="1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9A5A93D" w14:textId="77777777" w:rsidR="000C2202" w:rsidRDefault="00DA46A9">
            <w:pPr>
              <w:spacing w:before="40" w:after="40" w:line="360" w:lineRule="auto"/>
              <w:jc w:val="center"/>
            </w:pPr>
            <w:r>
              <w:rPr>
                <w:rFonts w:ascii="Arial" w:eastAsia="Arial" w:hAnsi="Arial"/>
                <w:color w:val="000000"/>
                <w:kern w:val="0"/>
                <w:sz w:val="20"/>
              </w:rPr>
              <w:t>84</w:t>
            </w:r>
          </w:p>
        </w:tc>
        <w:tc>
          <w:tcPr>
            <w:tcW w:w="121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35A682B" w14:textId="77777777" w:rsidR="000C2202" w:rsidRDefault="00DA46A9">
            <w:pPr>
              <w:spacing w:before="40" w:after="40" w:line="360" w:lineRule="auto"/>
              <w:jc w:val="center"/>
            </w:pPr>
            <w:r>
              <w:rPr>
                <w:rFonts w:ascii="Arial" w:eastAsia="Arial" w:hAnsi="Arial"/>
                <w:b/>
                <w:color w:val="000000"/>
                <w:kern w:val="0"/>
                <w:sz w:val="20"/>
              </w:rPr>
              <w:t>6</w:t>
            </w:r>
          </w:p>
        </w:tc>
      </w:tr>
      <w:tr w:rsidR="000C2202" w14:paraId="4BAE7DE7" w14:textId="77777777">
        <w:trPr>
          <w:jc w:val="center"/>
        </w:trPr>
        <w:tc>
          <w:tcPr>
            <w:tcW w:w="1798"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08DDD255" w14:textId="77777777" w:rsidR="000C2202" w:rsidRDefault="00DA46A9">
            <w:pPr>
              <w:spacing w:before="40" w:after="40" w:line="360" w:lineRule="auto"/>
            </w:pPr>
            <w:r>
              <w:rPr>
                <w:rFonts w:ascii="Arial" w:eastAsia="Arial" w:hAnsi="Arial"/>
                <w:b/>
                <w:color w:val="000000"/>
                <w:kern w:val="0"/>
                <w:sz w:val="20"/>
              </w:rPr>
              <w:t>Trustpilot</w:t>
            </w:r>
          </w:p>
        </w:tc>
        <w:tc>
          <w:tcPr>
            <w:tcW w:w="498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0DAC897" w14:textId="77777777" w:rsidR="000C2202" w:rsidRDefault="00DA46A9">
            <w:pPr>
              <w:spacing w:before="40" w:after="40" w:line="360" w:lineRule="auto"/>
            </w:pPr>
            <w:r>
              <w:rPr>
                <w:rFonts w:ascii="Arial" w:eastAsia="Arial" w:hAnsi="Arial"/>
                <w:i/>
                <w:color w:val="000000"/>
                <w:kern w:val="0"/>
                <w:sz w:val="18"/>
              </w:rPr>
              <w:t>Search:  "Tesco"  +  filter:  service / delivery / Clubcard  +  date 2024–2026</w:t>
            </w:r>
          </w:p>
        </w:tc>
        <w:tc>
          <w:tcPr>
            <w:tcW w:w="1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44E2E29" w14:textId="77777777" w:rsidR="000C2202" w:rsidRDefault="00DA46A9">
            <w:pPr>
              <w:spacing w:before="40" w:after="40" w:line="360" w:lineRule="auto"/>
              <w:jc w:val="center"/>
            </w:pPr>
            <w:r>
              <w:rPr>
                <w:rFonts w:ascii="Arial" w:eastAsia="Arial" w:hAnsi="Arial"/>
                <w:color w:val="000000"/>
                <w:kern w:val="0"/>
                <w:sz w:val="20"/>
              </w:rPr>
              <w:t>203</w:t>
            </w:r>
          </w:p>
        </w:tc>
        <w:tc>
          <w:tcPr>
            <w:tcW w:w="121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64DA48C" w14:textId="77777777" w:rsidR="000C2202" w:rsidRDefault="00DA46A9">
            <w:pPr>
              <w:spacing w:before="40" w:after="40" w:line="360" w:lineRule="auto"/>
              <w:jc w:val="center"/>
            </w:pPr>
            <w:r>
              <w:rPr>
                <w:rFonts w:ascii="Arial" w:eastAsia="Arial" w:hAnsi="Arial"/>
                <w:b/>
                <w:color w:val="000000"/>
                <w:kern w:val="0"/>
                <w:sz w:val="20"/>
              </w:rPr>
              <w:t>22</w:t>
            </w:r>
          </w:p>
        </w:tc>
      </w:tr>
      <w:tr w:rsidR="000C2202" w14:paraId="2A93D867" w14:textId="77777777">
        <w:trPr>
          <w:jc w:val="center"/>
        </w:trPr>
        <w:tc>
          <w:tcPr>
            <w:tcW w:w="1798"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0020E81B" w14:textId="77777777" w:rsidR="000C2202" w:rsidRDefault="00DA46A9">
            <w:pPr>
              <w:spacing w:before="40" w:after="40" w:line="360" w:lineRule="auto"/>
            </w:pPr>
            <w:r>
              <w:rPr>
                <w:rFonts w:ascii="Arial" w:eastAsia="Arial" w:hAnsi="Arial"/>
                <w:b/>
                <w:color w:val="000000"/>
                <w:kern w:val="0"/>
                <w:sz w:val="20"/>
              </w:rPr>
              <w:t>Reevoo</w:t>
            </w:r>
          </w:p>
        </w:tc>
        <w:tc>
          <w:tcPr>
            <w:tcW w:w="498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974F77A" w14:textId="77777777" w:rsidR="000C2202" w:rsidRDefault="00DA46A9">
            <w:pPr>
              <w:spacing w:before="40" w:after="40" w:line="360" w:lineRule="auto"/>
            </w:pPr>
            <w:r>
              <w:rPr>
                <w:rFonts w:ascii="Arial" w:eastAsia="Arial" w:hAnsi="Arial"/>
                <w:i/>
                <w:color w:val="000000"/>
                <w:kern w:val="0"/>
                <w:sz w:val="18"/>
              </w:rPr>
              <w:t>Search:  "Tesco"  +  keyword:  chatbot / customer service</w:t>
            </w:r>
          </w:p>
        </w:tc>
        <w:tc>
          <w:tcPr>
            <w:tcW w:w="1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746C87B" w14:textId="77777777" w:rsidR="000C2202" w:rsidRDefault="00DA46A9">
            <w:pPr>
              <w:spacing w:before="40" w:after="40" w:line="360" w:lineRule="auto"/>
              <w:jc w:val="center"/>
            </w:pPr>
            <w:r>
              <w:rPr>
                <w:rFonts w:ascii="Arial" w:eastAsia="Arial" w:hAnsi="Arial"/>
                <w:color w:val="000000"/>
                <w:kern w:val="0"/>
                <w:sz w:val="20"/>
              </w:rPr>
              <w:t>56</w:t>
            </w:r>
          </w:p>
        </w:tc>
        <w:tc>
          <w:tcPr>
            <w:tcW w:w="121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185F1A4" w14:textId="77777777" w:rsidR="000C2202" w:rsidRDefault="00DA46A9">
            <w:pPr>
              <w:spacing w:before="40" w:after="40" w:line="360" w:lineRule="auto"/>
              <w:jc w:val="center"/>
            </w:pPr>
            <w:r>
              <w:rPr>
                <w:rFonts w:ascii="Arial" w:eastAsia="Arial" w:hAnsi="Arial"/>
                <w:b/>
                <w:color w:val="000000"/>
                <w:kern w:val="0"/>
                <w:sz w:val="20"/>
              </w:rPr>
              <w:t>8</w:t>
            </w:r>
          </w:p>
        </w:tc>
      </w:tr>
      <w:tr w:rsidR="000C2202" w14:paraId="6EA0B689" w14:textId="77777777">
        <w:trPr>
          <w:jc w:val="center"/>
        </w:trPr>
        <w:tc>
          <w:tcPr>
            <w:tcW w:w="1798"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04E1A743" w14:textId="77777777" w:rsidR="000C2202" w:rsidRDefault="00DA46A9">
            <w:pPr>
              <w:spacing w:before="40" w:after="40" w:line="360" w:lineRule="auto"/>
            </w:pPr>
            <w:r>
              <w:rPr>
                <w:rFonts w:ascii="Arial" w:eastAsia="Arial" w:hAnsi="Arial"/>
                <w:b/>
                <w:color w:val="000000"/>
                <w:kern w:val="0"/>
                <w:sz w:val="20"/>
              </w:rPr>
              <w:t>Tesco corporate site</w:t>
            </w:r>
          </w:p>
        </w:tc>
        <w:tc>
          <w:tcPr>
            <w:tcW w:w="498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FDA5F86" w14:textId="77777777" w:rsidR="000C2202" w:rsidRDefault="00DA46A9">
            <w:pPr>
              <w:spacing w:before="40" w:after="40" w:line="360" w:lineRule="auto"/>
            </w:pPr>
            <w:r>
              <w:rPr>
                <w:rFonts w:ascii="Arial" w:eastAsia="Arial" w:hAnsi="Arial"/>
                <w:i/>
                <w:color w:val="000000"/>
                <w:kern w:val="0"/>
                <w:sz w:val="18"/>
              </w:rPr>
              <w:t>Structured retrieval:  press-release archive  +  investor-relations reports 2024–2026</w:t>
            </w:r>
          </w:p>
        </w:tc>
        <w:tc>
          <w:tcPr>
            <w:tcW w:w="1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78F7BA2" w14:textId="77777777" w:rsidR="000C2202" w:rsidRDefault="00DA46A9">
            <w:pPr>
              <w:spacing w:before="40" w:after="40" w:line="360" w:lineRule="auto"/>
              <w:jc w:val="center"/>
            </w:pPr>
            <w:r>
              <w:rPr>
                <w:rFonts w:ascii="Arial" w:eastAsia="Arial" w:hAnsi="Arial"/>
                <w:color w:val="000000"/>
                <w:kern w:val="0"/>
                <w:sz w:val="20"/>
              </w:rPr>
              <w:t>31</w:t>
            </w:r>
          </w:p>
        </w:tc>
        <w:tc>
          <w:tcPr>
            <w:tcW w:w="121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686DB88" w14:textId="77777777" w:rsidR="000C2202" w:rsidRDefault="00DA46A9">
            <w:pPr>
              <w:spacing w:before="40" w:after="40" w:line="360" w:lineRule="auto"/>
              <w:jc w:val="center"/>
            </w:pPr>
            <w:r>
              <w:rPr>
                <w:rFonts w:ascii="Arial" w:eastAsia="Arial" w:hAnsi="Arial"/>
                <w:b/>
                <w:color w:val="000000"/>
                <w:kern w:val="0"/>
                <w:sz w:val="20"/>
              </w:rPr>
              <w:t>6</w:t>
            </w:r>
          </w:p>
        </w:tc>
      </w:tr>
      <w:tr w:rsidR="000C2202" w14:paraId="74CD0923" w14:textId="77777777">
        <w:trPr>
          <w:jc w:val="center"/>
        </w:trPr>
        <w:tc>
          <w:tcPr>
            <w:tcW w:w="1798"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2687A693" w14:textId="77777777" w:rsidR="000C2202" w:rsidRDefault="00DA46A9">
            <w:pPr>
              <w:spacing w:before="40" w:after="40" w:line="360" w:lineRule="auto"/>
            </w:pPr>
            <w:r>
              <w:rPr>
                <w:rFonts w:ascii="Arial" w:eastAsia="Arial" w:hAnsi="Arial"/>
                <w:b/>
                <w:color w:val="000000"/>
                <w:kern w:val="0"/>
                <w:sz w:val="20"/>
              </w:rPr>
              <w:t>Industry / market reports</w:t>
            </w:r>
          </w:p>
        </w:tc>
        <w:tc>
          <w:tcPr>
            <w:tcW w:w="498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D0E122B" w14:textId="77777777" w:rsidR="000C2202" w:rsidRDefault="00DA46A9">
            <w:pPr>
              <w:spacing w:before="40" w:after="40" w:line="360" w:lineRule="auto"/>
            </w:pPr>
            <w:r>
              <w:rPr>
                <w:rFonts w:ascii="Arial" w:eastAsia="Arial" w:hAnsi="Arial"/>
                <w:i/>
                <w:kern w:val="0"/>
                <w:sz w:val="18"/>
                <w:szCs w:val="22"/>
              </w:rPr>
              <w:t>Kantar, Mintel, Deloitte, McKinsey — retail / AI service topics</w:t>
            </w:r>
          </w:p>
        </w:tc>
        <w:tc>
          <w:tcPr>
            <w:tcW w:w="1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FDBE15F" w14:textId="77777777" w:rsidR="000C2202" w:rsidRDefault="00DA46A9">
            <w:pPr>
              <w:spacing w:before="40" w:after="40" w:line="360" w:lineRule="auto"/>
              <w:jc w:val="center"/>
            </w:pPr>
            <w:r>
              <w:rPr>
                <w:rFonts w:ascii="Arial" w:eastAsia="Arial" w:hAnsi="Arial"/>
                <w:kern w:val="0"/>
                <w:sz w:val="20"/>
              </w:rPr>
              <w:t>22</w:t>
            </w:r>
          </w:p>
        </w:tc>
        <w:tc>
          <w:tcPr>
            <w:tcW w:w="121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161ECFB" w14:textId="77777777" w:rsidR="000C2202" w:rsidRDefault="00DA46A9">
            <w:pPr>
              <w:spacing w:before="40" w:after="40" w:line="360" w:lineRule="auto"/>
              <w:jc w:val="center"/>
            </w:pPr>
            <w:r>
              <w:rPr>
                <w:rFonts w:ascii="Arial" w:eastAsia="Arial" w:hAnsi="Arial"/>
                <w:b/>
                <w:kern w:val="0"/>
                <w:sz w:val="20"/>
              </w:rPr>
              <w:t>8</w:t>
            </w:r>
          </w:p>
        </w:tc>
      </w:tr>
      <w:tr w:rsidR="000C2202" w14:paraId="3F2A1AD3" w14:textId="77777777">
        <w:trPr>
          <w:jc w:val="center"/>
        </w:trPr>
        <w:tc>
          <w:tcPr>
            <w:tcW w:w="1798"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78E46724" w14:textId="77777777" w:rsidR="000C2202" w:rsidRDefault="00DA46A9">
            <w:pPr>
              <w:spacing w:before="40" w:after="40" w:line="360" w:lineRule="auto"/>
            </w:pPr>
            <w:r>
              <w:rPr>
                <w:rFonts w:ascii="Arial" w:eastAsia="Arial" w:hAnsi="Arial"/>
                <w:b/>
                <w:color w:val="000000"/>
                <w:kern w:val="0"/>
                <w:sz w:val="20"/>
              </w:rPr>
              <w:t>Trade press</w:t>
            </w:r>
          </w:p>
        </w:tc>
        <w:tc>
          <w:tcPr>
            <w:tcW w:w="4988"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D55D1C7" w14:textId="77777777" w:rsidR="000C2202" w:rsidRDefault="00DA46A9">
            <w:pPr>
              <w:spacing w:before="40" w:after="40" w:line="360" w:lineRule="auto"/>
            </w:pPr>
            <w:r>
              <w:rPr>
                <w:rFonts w:ascii="Arial" w:eastAsia="Arial" w:hAnsi="Arial"/>
                <w:i/>
                <w:kern w:val="0"/>
                <w:sz w:val="18"/>
              </w:rPr>
              <w:t>Retail Week, The Grocer — chatbot / AI service coverage</w:t>
            </w:r>
          </w:p>
        </w:tc>
        <w:tc>
          <w:tcPr>
            <w:tcW w:w="1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05DA952" w14:textId="77777777" w:rsidR="000C2202" w:rsidRDefault="00DA46A9">
            <w:pPr>
              <w:spacing w:before="40" w:after="40" w:line="360" w:lineRule="auto"/>
              <w:jc w:val="center"/>
            </w:pPr>
            <w:r>
              <w:rPr>
                <w:rFonts w:ascii="Arial" w:eastAsia="Arial" w:hAnsi="Arial"/>
                <w:kern w:val="0"/>
                <w:sz w:val="20"/>
              </w:rPr>
              <w:t>44</w:t>
            </w:r>
          </w:p>
        </w:tc>
        <w:tc>
          <w:tcPr>
            <w:tcW w:w="1214"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4356329" w14:textId="77777777" w:rsidR="000C2202" w:rsidRDefault="00DA46A9">
            <w:pPr>
              <w:spacing w:before="40" w:after="40" w:line="360" w:lineRule="auto"/>
              <w:jc w:val="center"/>
            </w:pPr>
            <w:r>
              <w:rPr>
                <w:rFonts w:ascii="Arial" w:eastAsia="Arial" w:hAnsi="Arial"/>
                <w:b/>
                <w:kern w:val="0"/>
                <w:sz w:val="20"/>
              </w:rPr>
              <w:t>5</w:t>
            </w:r>
          </w:p>
        </w:tc>
      </w:tr>
      <w:tr w:rsidR="000C2202" w14:paraId="672DE2BD" w14:textId="77777777">
        <w:trPr>
          <w:jc w:val="center"/>
        </w:trPr>
        <w:tc>
          <w:tcPr>
            <w:tcW w:w="1798" w:type="dxa"/>
            <w:tcBorders>
              <w:top w:val="single" w:sz="4" w:space="0" w:color="000000"/>
              <w:left w:val="single" w:sz="4" w:space="0" w:color="000000"/>
              <w:bottom w:val="single" w:sz="4" w:space="0" w:color="000000"/>
              <w:right w:val="single" w:sz="4" w:space="0" w:color="000000"/>
            </w:tcBorders>
            <w:shd w:val="clear" w:color="auto" w:fill="F2F2F2"/>
            <w:tcMar>
              <w:top w:w="60" w:type="dxa"/>
              <w:left w:w="100" w:type="dxa"/>
              <w:bottom w:w="60" w:type="dxa"/>
              <w:right w:w="100" w:type="dxa"/>
            </w:tcMar>
            <w:vAlign w:val="center"/>
          </w:tcPr>
          <w:p w14:paraId="4D53DEF4" w14:textId="77777777" w:rsidR="000C2202" w:rsidRDefault="00DA46A9">
            <w:pPr>
              <w:spacing w:before="40" w:after="40" w:line="360" w:lineRule="auto"/>
            </w:pPr>
            <w:r>
              <w:rPr>
                <w:rFonts w:ascii="Arial" w:eastAsia="Arial" w:hAnsi="Arial"/>
                <w:b/>
                <w:color w:val="000000"/>
                <w:kern w:val="0"/>
                <w:sz w:val="20"/>
              </w:rPr>
              <w:t>TOTAL</w:t>
            </w:r>
          </w:p>
        </w:tc>
        <w:tc>
          <w:tcPr>
            <w:tcW w:w="4988" w:type="dxa"/>
            <w:tcBorders>
              <w:top w:val="single" w:sz="4" w:space="0" w:color="000000"/>
              <w:left w:val="single" w:sz="4" w:space="0" w:color="000000"/>
              <w:bottom w:val="single" w:sz="4" w:space="0" w:color="000000"/>
              <w:right w:val="single" w:sz="4" w:space="0" w:color="000000"/>
            </w:tcBorders>
            <w:shd w:val="clear" w:color="auto" w:fill="F2F2F2"/>
            <w:tcMar>
              <w:top w:w="60" w:type="dxa"/>
              <w:left w:w="100" w:type="dxa"/>
              <w:bottom w:w="60" w:type="dxa"/>
              <w:right w:w="100" w:type="dxa"/>
            </w:tcMar>
            <w:vAlign w:val="center"/>
          </w:tcPr>
          <w:p w14:paraId="259D095D" w14:textId="77777777" w:rsidR="000C2202" w:rsidRDefault="00DA46A9">
            <w:pPr>
              <w:spacing w:before="40" w:after="40" w:line="360" w:lineRule="auto"/>
              <w:jc w:val="center"/>
            </w:pPr>
            <w:r>
              <w:rPr>
                <w:rFonts w:ascii="Arial" w:eastAsia="Arial" w:hAnsi="Arial"/>
                <w:kern w:val="0"/>
                <w:sz w:val="20"/>
              </w:rPr>
              <w:t>—</w:t>
            </w:r>
          </w:p>
        </w:tc>
        <w:tc>
          <w:tcPr>
            <w:tcW w:w="1200" w:type="dxa"/>
            <w:tcBorders>
              <w:top w:val="single" w:sz="4" w:space="0" w:color="000000"/>
              <w:left w:val="single" w:sz="4" w:space="0" w:color="000000"/>
              <w:bottom w:val="single" w:sz="4" w:space="0" w:color="000000"/>
              <w:right w:val="single" w:sz="4" w:space="0" w:color="000000"/>
            </w:tcBorders>
            <w:shd w:val="clear" w:color="auto" w:fill="F2F2F2"/>
            <w:tcMar>
              <w:top w:w="60" w:type="dxa"/>
              <w:left w:w="100" w:type="dxa"/>
              <w:bottom w:w="60" w:type="dxa"/>
              <w:right w:w="100" w:type="dxa"/>
            </w:tcMar>
            <w:vAlign w:val="center"/>
          </w:tcPr>
          <w:p w14:paraId="147CFCA5" w14:textId="77777777" w:rsidR="000C2202" w:rsidRDefault="00DA46A9">
            <w:pPr>
              <w:spacing w:before="40" w:after="40" w:line="360" w:lineRule="auto"/>
              <w:jc w:val="center"/>
            </w:pPr>
            <w:r>
              <w:rPr>
                <w:rFonts w:ascii="Arial" w:eastAsia="Arial" w:hAnsi="Arial"/>
                <w:b/>
                <w:kern w:val="0"/>
                <w:sz w:val="20"/>
              </w:rPr>
              <w:t>700</w:t>
            </w:r>
          </w:p>
        </w:tc>
        <w:tc>
          <w:tcPr>
            <w:tcW w:w="1214" w:type="dxa"/>
            <w:tcBorders>
              <w:top w:val="single" w:sz="4" w:space="0" w:color="000000"/>
              <w:left w:val="single" w:sz="4" w:space="0" w:color="000000"/>
              <w:bottom w:val="single" w:sz="4" w:space="0" w:color="000000"/>
              <w:right w:val="single" w:sz="4" w:space="0" w:color="000000"/>
            </w:tcBorders>
            <w:shd w:val="clear" w:color="auto" w:fill="F2F2F2"/>
            <w:tcMar>
              <w:top w:w="60" w:type="dxa"/>
              <w:left w:w="100" w:type="dxa"/>
              <w:bottom w:w="60" w:type="dxa"/>
              <w:right w:w="100" w:type="dxa"/>
            </w:tcMar>
            <w:vAlign w:val="center"/>
          </w:tcPr>
          <w:p w14:paraId="19F500D6" w14:textId="77777777" w:rsidR="000C2202" w:rsidRDefault="00DA46A9">
            <w:pPr>
              <w:spacing w:before="40" w:after="40" w:line="360" w:lineRule="auto"/>
              <w:jc w:val="center"/>
            </w:pPr>
            <w:r>
              <w:rPr>
                <w:rFonts w:ascii="Arial" w:eastAsia="Arial" w:hAnsi="Arial"/>
                <w:b/>
                <w:kern w:val="0"/>
                <w:sz w:val="20"/>
                <w:szCs w:val="22"/>
              </w:rPr>
              <w:t>75 final</w:t>
            </w:r>
          </w:p>
        </w:tc>
      </w:tr>
    </w:tbl>
    <w:p w14:paraId="6660540F" w14:textId="77777777" w:rsidR="000C2202" w:rsidRDefault="000C2202">
      <w:pPr>
        <w:pageBreakBefore/>
        <w:spacing w:after="120" w:line="360" w:lineRule="auto"/>
        <w:rPr>
          <w:rFonts w:ascii="Arial" w:eastAsia="Arial" w:hAnsi="Arial"/>
          <w:kern w:val="0"/>
        </w:rPr>
      </w:pPr>
    </w:p>
    <w:p w14:paraId="1885B6C4" w14:textId="77777777" w:rsidR="000C2202" w:rsidRDefault="00DA46A9">
      <w:pPr>
        <w:keepNext/>
        <w:keepLines/>
        <w:spacing w:before="200" w:after="0" w:line="360" w:lineRule="auto"/>
        <w:outlineLvl w:val="1"/>
      </w:pPr>
      <w:bookmarkStart w:id="83" w:name="_Toc235807088"/>
      <w:r>
        <w:rPr>
          <w:rFonts w:ascii="Calibri" w:eastAsia="MS Gothic" w:hAnsi="Calibri"/>
          <w:b/>
          <w:bCs/>
          <w:color w:val="4F81BD"/>
          <w:kern w:val="0"/>
          <w:sz w:val="26"/>
          <w:szCs w:val="26"/>
        </w:rPr>
        <w:t>Appendix E Inclusion and Exclusion Criteria</w:t>
      </w:r>
      <w:bookmarkEnd w:id="83"/>
    </w:p>
    <w:p w14:paraId="5CC14595" w14:textId="77777777" w:rsidR="000C2202" w:rsidRDefault="00DA46A9">
      <w:pPr>
        <w:spacing w:after="120" w:line="360" w:lineRule="auto"/>
        <w:jc w:val="both"/>
        <w:rPr>
          <w:rFonts w:ascii="Arial" w:eastAsia="Arial" w:hAnsi="Arial"/>
          <w:kern w:val="0"/>
        </w:rPr>
      </w:pPr>
      <w:r>
        <w:rPr>
          <w:rFonts w:ascii="Arial" w:eastAsia="Arial" w:hAnsi="Arial"/>
          <w:kern w:val="0"/>
        </w:rPr>
        <w:t>Applied to each candidate source at Phase 1 review, in line with the purposive document-sampling technique described in Section 3.7.</w:t>
      </w:r>
    </w:p>
    <w:tbl>
      <w:tblPr>
        <w:tblW w:w="9000" w:type="dxa"/>
        <w:jc w:val="center"/>
        <w:tblCellMar>
          <w:left w:w="10" w:type="dxa"/>
          <w:right w:w="10" w:type="dxa"/>
        </w:tblCellMar>
        <w:tblLook w:val="0000" w:firstRow="0" w:lastRow="0" w:firstColumn="0" w:lastColumn="0" w:noHBand="0" w:noVBand="0"/>
      </w:tblPr>
      <w:tblGrid>
        <w:gridCol w:w="1800"/>
        <w:gridCol w:w="3600"/>
        <w:gridCol w:w="3600"/>
      </w:tblGrid>
      <w:tr w:rsidR="000C2202" w14:paraId="0AADC6B5"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7D9750CC" w14:textId="77777777" w:rsidR="000C2202" w:rsidRDefault="00DA46A9">
            <w:pPr>
              <w:spacing w:before="40" w:after="40" w:line="360" w:lineRule="auto"/>
            </w:pPr>
            <w:r>
              <w:rPr>
                <w:rFonts w:ascii="Arial" w:eastAsia="Arial" w:hAnsi="Arial"/>
                <w:b/>
                <w:color w:val="FFFFFF"/>
                <w:kern w:val="0"/>
              </w:rPr>
              <w:t>Criterion</w:t>
            </w:r>
          </w:p>
        </w:tc>
        <w:tc>
          <w:tcPr>
            <w:tcW w:w="36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3103A2FD" w14:textId="77777777" w:rsidR="000C2202" w:rsidRDefault="00DA46A9">
            <w:pPr>
              <w:spacing w:before="40" w:after="40" w:line="360" w:lineRule="auto"/>
            </w:pPr>
            <w:r>
              <w:rPr>
                <w:rFonts w:ascii="Arial" w:eastAsia="Arial" w:hAnsi="Arial"/>
                <w:b/>
                <w:color w:val="FFFFFF"/>
                <w:kern w:val="0"/>
              </w:rPr>
              <w:t>Inclusion  (retain if...)</w:t>
            </w:r>
          </w:p>
        </w:tc>
        <w:tc>
          <w:tcPr>
            <w:tcW w:w="36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73908791" w14:textId="77777777" w:rsidR="000C2202" w:rsidRDefault="00DA46A9">
            <w:pPr>
              <w:spacing w:before="40" w:after="40" w:line="360" w:lineRule="auto"/>
            </w:pPr>
            <w:r>
              <w:rPr>
                <w:rFonts w:ascii="Arial" w:eastAsia="Arial" w:hAnsi="Arial"/>
                <w:b/>
                <w:color w:val="FFFFFF"/>
                <w:kern w:val="0"/>
              </w:rPr>
              <w:t>Exclusion  (reject if...)</w:t>
            </w:r>
          </w:p>
        </w:tc>
      </w:tr>
      <w:tr w:rsidR="000C2202" w14:paraId="5059A373"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47ACB8FD" w14:textId="77777777" w:rsidR="000C2202" w:rsidRDefault="00DA46A9">
            <w:pPr>
              <w:spacing w:before="40" w:after="40" w:line="360" w:lineRule="auto"/>
            </w:pPr>
            <w:r>
              <w:rPr>
                <w:rFonts w:ascii="Arial" w:eastAsia="Arial" w:hAnsi="Arial"/>
                <w:b/>
                <w:color w:val="000000"/>
                <w:kern w:val="0"/>
                <w:sz w:val="20"/>
              </w:rPr>
              <w:t>Date range</w:t>
            </w:r>
          </w:p>
        </w:tc>
        <w:tc>
          <w:tcPr>
            <w:tcW w:w="3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8419455" w14:textId="77777777" w:rsidR="000C2202" w:rsidRDefault="00DA46A9">
            <w:pPr>
              <w:spacing w:before="40" w:after="40" w:line="360" w:lineRule="auto"/>
            </w:pPr>
            <w:r>
              <w:rPr>
                <w:rFonts w:ascii="Arial" w:eastAsia="Arial" w:hAnsi="Arial"/>
                <w:color w:val="000000"/>
                <w:kern w:val="0"/>
                <w:sz w:val="20"/>
              </w:rPr>
              <w:t>Published between 1 January 2018 and the retrieval cut-off in July 2026.</w:t>
            </w:r>
          </w:p>
        </w:tc>
        <w:tc>
          <w:tcPr>
            <w:tcW w:w="3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6E4533A" w14:textId="77777777" w:rsidR="000C2202" w:rsidRDefault="00DA46A9">
            <w:pPr>
              <w:spacing w:before="40" w:after="40" w:line="360" w:lineRule="auto"/>
            </w:pPr>
            <w:r>
              <w:rPr>
                <w:rFonts w:ascii="Arial" w:eastAsia="Arial" w:hAnsi="Arial"/>
                <w:color w:val="000000"/>
                <w:kern w:val="0"/>
                <w:sz w:val="20"/>
              </w:rPr>
              <w:t>Published before 2018 unless a seminal work referenced in the framework.</w:t>
            </w:r>
          </w:p>
        </w:tc>
      </w:tr>
      <w:tr w:rsidR="000C2202" w14:paraId="5A80EEB4"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19E04247" w14:textId="77777777" w:rsidR="000C2202" w:rsidRDefault="00DA46A9">
            <w:pPr>
              <w:spacing w:before="40" w:after="40" w:line="360" w:lineRule="auto"/>
            </w:pPr>
            <w:r>
              <w:rPr>
                <w:rFonts w:ascii="Arial" w:eastAsia="Arial" w:hAnsi="Arial"/>
                <w:b/>
                <w:color w:val="000000"/>
                <w:kern w:val="0"/>
                <w:sz w:val="20"/>
              </w:rPr>
              <w:t>Topical relevance</w:t>
            </w:r>
          </w:p>
        </w:tc>
        <w:tc>
          <w:tcPr>
            <w:tcW w:w="3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B5B6CEB" w14:textId="77777777" w:rsidR="000C2202" w:rsidRDefault="00DA46A9">
            <w:pPr>
              <w:spacing w:before="40" w:after="40" w:line="360" w:lineRule="auto"/>
            </w:pPr>
            <w:r>
              <w:rPr>
                <w:rFonts w:ascii="Arial" w:eastAsia="Arial" w:hAnsi="Arial"/>
                <w:color w:val="000000"/>
                <w:kern w:val="0"/>
                <w:sz w:val="20"/>
              </w:rPr>
              <w:t>Addresses AI chatbots, customer satisfaction, or UK grocery / supermarket customer service.</w:t>
            </w:r>
          </w:p>
        </w:tc>
        <w:tc>
          <w:tcPr>
            <w:tcW w:w="3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D6E4605" w14:textId="77777777" w:rsidR="000C2202" w:rsidRDefault="00DA46A9">
            <w:pPr>
              <w:spacing w:before="40" w:after="40" w:line="360" w:lineRule="auto"/>
            </w:pPr>
            <w:r>
              <w:rPr>
                <w:rFonts w:ascii="Arial" w:eastAsia="Arial" w:hAnsi="Arial"/>
                <w:color w:val="000000"/>
                <w:kern w:val="0"/>
                <w:sz w:val="20"/>
              </w:rPr>
              <w:t>Chatbot use outside a customer-service context (e.g. medical triage, education tutoring).</w:t>
            </w:r>
          </w:p>
        </w:tc>
      </w:tr>
      <w:tr w:rsidR="000C2202" w14:paraId="578800FA"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1F5254C5" w14:textId="77777777" w:rsidR="000C2202" w:rsidRDefault="00DA46A9">
            <w:pPr>
              <w:spacing w:before="40" w:after="40" w:line="360" w:lineRule="auto"/>
            </w:pPr>
            <w:r>
              <w:rPr>
                <w:rFonts w:ascii="Arial" w:eastAsia="Arial" w:hAnsi="Arial"/>
                <w:b/>
                <w:color w:val="000000"/>
                <w:kern w:val="0"/>
                <w:sz w:val="20"/>
              </w:rPr>
              <w:t>Credibility</w:t>
            </w:r>
          </w:p>
        </w:tc>
        <w:tc>
          <w:tcPr>
            <w:tcW w:w="3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48ADA31" w14:textId="77777777" w:rsidR="000C2202" w:rsidRDefault="00DA46A9">
            <w:pPr>
              <w:spacing w:before="40" w:after="40" w:line="360" w:lineRule="auto"/>
            </w:pPr>
            <w:r>
              <w:rPr>
                <w:rFonts w:ascii="Arial" w:eastAsia="Arial" w:hAnsi="Arial"/>
                <w:color w:val="000000"/>
                <w:kern w:val="0"/>
                <w:sz w:val="20"/>
              </w:rPr>
              <w:t>Tier 1 (peer-reviewed academic) or Tier 2 (recognised industry, corporate, or trade source).</w:t>
            </w:r>
          </w:p>
        </w:tc>
        <w:tc>
          <w:tcPr>
            <w:tcW w:w="3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DE14E5C" w14:textId="77777777" w:rsidR="000C2202" w:rsidRDefault="00DA46A9">
            <w:pPr>
              <w:spacing w:before="40" w:after="40" w:line="360" w:lineRule="auto"/>
            </w:pPr>
            <w:r>
              <w:rPr>
                <w:rFonts w:ascii="Arial" w:eastAsia="Arial" w:hAnsi="Arial"/>
                <w:color w:val="000000"/>
                <w:kern w:val="0"/>
                <w:sz w:val="20"/>
              </w:rPr>
              <w:t>Blogs, forum posts, opinion pieces, vendor whitepapers with promotional framing.</w:t>
            </w:r>
          </w:p>
        </w:tc>
      </w:tr>
      <w:tr w:rsidR="000C2202" w14:paraId="08376A68"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179A63B2" w14:textId="77777777" w:rsidR="000C2202" w:rsidRDefault="00DA46A9">
            <w:pPr>
              <w:spacing w:before="40" w:after="40" w:line="360" w:lineRule="auto"/>
            </w:pPr>
            <w:r>
              <w:rPr>
                <w:rFonts w:ascii="Arial" w:eastAsia="Arial" w:hAnsi="Arial"/>
                <w:b/>
                <w:color w:val="000000"/>
                <w:kern w:val="0"/>
                <w:sz w:val="20"/>
              </w:rPr>
              <w:t>Language</w:t>
            </w:r>
          </w:p>
        </w:tc>
        <w:tc>
          <w:tcPr>
            <w:tcW w:w="3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8EF5438" w14:textId="77777777" w:rsidR="000C2202" w:rsidRDefault="00DA46A9">
            <w:pPr>
              <w:spacing w:before="40" w:after="40" w:line="360" w:lineRule="auto"/>
            </w:pPr>
            <w:r>
              <w:rPr>
                <w:rFonts w:ascii="Arial" w:eastAsia="Arial" w:hAnsi="Arial"/>
                <w:color w:val="000000"/>
                <w:kern w:val="0"/>
                <w:sz w:val="20"/>
              </w:rPr>
              <w:t>Full text available in English.</w:t>
            </w:r>
          </w:p>
        </w:tc>
        <w:tc>
          <w:tcPr>
            <w:tcW w:w="3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07EB6CC" w14:textId="77777777" w:rsidR="000C2202" w:rsidRDefault="00DA46A9">
            <w:pPr>
              <w:spacing w:before="40" w:after="40" w:line="360" w:lineRule="auto"/>
            </w:pPr>
            <w:r>
              <w:rPr>
                <w:rFonts w:ascii="Arial" w:eastAsia="Arial" w:hAnsi="Arial"/>
                <w:color w:val="000000"/>
                <w:kern w:val="0"/>
                <w:sz w:val="20"/>
              </w:rPr>
              <w:t>Full text only available in a language the researcher cannot read.</w:t>
            </w:r>
          </w:p>
        </w:tc>
      </w:tr>
      <w:tr w:rsidR="000C2202" w14:paraId="478A84BD"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0F9D765" w14:textId="77777777" w:rsidR="000C2202" w:rsidRDefault="00DA46A9">
            <w:pPr>
              <w:spacing w:before="40" w:after="40" w:line="360" w:lineRule="auto"/>
            </w:pPr>
            <w:r>
              <w:rPr>
                <w:rFonts w:ascii="Arial" w:eastAsia="Arial" w:hAnsi="Arial"/>
                <w:b/>
                <w:color w:val="000000"/>
                <w:kern w:val="0"/>
                <w:sz w:val="20"/>
              </w:rPr>
              <w:t>Accessibility</w:t>
            </w:r>
          </w:p>
        </w:tc>
        <w:tc>
          <w:tcPr>
            <w:tcW w:w="3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BC91FB3" w14:textId="77777777" w:rsidR="000C2202" w:rsidRDefault="00DA46A9">
            <w:pPr>
              <w:spacing w:before="40" w:after="40" w:line="360" w:lineRule="auto"/>
            </w:pPr>
            <w:r>
              <w:rPr>
                <w:rFonts w:ascii="Arial" w:eastAsia="Arial" w:hAnsi="Arial"/>
                <w:color w:val="000000"/>
                <w:kern w:val="0"/>
                <w:sz w:val="20"/>
              </w:rPr>
              <w:t>Full text available via UWTSD library, open access, or public source.</w:t>
            </w:r>
          </w:p>
        </w:tc>
        <w:tc>
          <w:tcPr>
            <w:tcW w:w="3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DD1DFFC" w14:textId="77777777" w:rsidR="000C2202" w:rsidRDefault="00DA46A9">
            <w:pPr>
              <w:spacing w:before="40" w:after="40" w:line="360" w:lineRule="auto"/>
            </w:pPr>
            <w:r>
              <w:rPr>
                <w:rFonts w:ascii="Arial" w:eastAsia="Arial" w:hAnsi="Arial"/>
                <w:color w:val="000000"/>
                <w:kern w:val="0"/>
                <w:sz w:val="20"/>
              </w:rPr>
              <w:t>Paywalled without institutional access.</w:t>
            </w:r>
          </w:p>
        </w:tc>
      </w:tr>
      <w:tr w:rsidR="000C2202" w14:paraId="4712A570" w14:textId="77777777">
        <w:trPr>
          <w:jc w:val="center"/>
        </w:trPr>
        <w:tc>
          <w:tcPr>
            <w:tcW w:w="18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2813175C" w14:textId="77777777" w:rsidR="000C2202" w:rsidRDefault="00DA46A9">
            <w:pPr>
              <w:spacing w:before="40" w:after="40" w:line="360" w:lineRule="auto"/>
            </w:pPr>
            <w:r>
              <w:rPr>
                <w:rFonts w:ascii="Arial" w:eastAsia="Arial" w:hAnsi="Arial"/>
                <w:b/>
                <w:color w:val="000000"/>
                <w:kern w:val="0"/>
                <w:sz w:val="20"/>
              </w:rPr>
              <w:t>Ethical status</w:t>
            </w:r>
          </w:p>
        </w:tc>
        <w:tc>
          <w:tcPr>
            <w:tcW w:w="3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F73EFF2" w14:textId="77777777" w:rsidR="000C2202" w:rsidRDefault="00DA46A9">
            <w:pPr>
              <w:spacing w:before="40" w:after="40" w:line="360" w:lineRule="auto"/>
            </w:pPr>
            <w:r>
              <w:rPr>
                <w:rFonts w:ascii="Arial" w:eastAsia="Arial" w:hAnsi="Arial"/>
                <w:color w:val="000000"/>
                <w:kern w:val="0"/>
                <w:sz w:val="20"/>
              </w:rPr>
              <w:t>Publicly available material; customer reviews anonymisable.</w:t>
            </w:r>
          </w:p>
        </w:tc>
        <w:tc>
          <w:tcPr>
            <w:tcW w:w="3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DC91AB7" w14:textId="77777777" w:rsidR="000C2202" w:rsidRDefault="00DA46A9">
            <w:pPr>
              <w:spacing w:before="40" w:after="40" w:line="360" w:lineRule="auto"/>
            </w:pPr>
            <w:r>
              <w:rPr>
                <w:rFonts w:ascii="Arial" w:eastAsia="Arial" w:hAnsi="Arial"/>
                <w:color w:val="000000"/>
                <w:kern w:val="0"/>
                <w:sz w:val="20"/>
              </w:rPr>
              <w:t>Contains personally identifiable information that cannot be anonymised.</w:t>
            </w:r>
          </w:p>
        </w:tc>
      </w:tr>
    </w:tbl>
    <w:p w14:paraId="3161940D" w14:textId="77777777" w:rsidR="000C2202" w:rsidRDefault="000C2202">
      <w:pPr>
        <w:pageBreakBefore/>
        <w:spacing w:after="120" w:line="360" w:lineRule="auto"/>
        <w:rPr>
          <w:rFonts w:ascii="Arial" w:eastAsia="Arial" w:hAnsi="Arial"/>
          <w:kern w:val="0"/>
        </w:rPr>
      </w:pPr>
    </w:p>
    <w:p w14:paraId="077992D0" w14:textId="77777777" w:rsidR="000C2202" w:rsidRDefault="00DA46A9">
      <w:pPr>
        <w:keepNext/>
        <w:keepLines/>
        <w:spacing w:before="200" w:after="0" w:line="360" w:lineRule="auto"/>
        <w:outlineLvl w:val="1"/>
      </w:pPr>
      <w:bookmarkStart w:id="84" w:name="_Toc235807089"/>
      <w:r>
        <w:rPr>
          <w:rFonts w:ascii="Calibri" w:eastAsia="MS Gothic" w:hAnsi="Calibri"/>
          <w:b/>
          <w:bCs/>
          <w:color w:val="4F81BD"/>
          <w:kern w:val="0"/>
          <w:sz w:val="26"/>
          <w:szCs w:val="26"/>
        </w:rPr>
        <w:t>Appendix F Reflexive Journal Extract</w:t>
      </w:r>
      <w:bookmarkEnd w:id="84"/>
    </w:p>
    <w:p w14:paraId="5E01F21A" w14:textId="77777777" w:rsidR="000C2202" w:rsidRDefault="00DA46A9">
      <w:pPr>
        <w:spacing w:after="120" w:line="360" w:lineRule="auto"/>
        <w:jc w:val="both"/>
        <w:rPr>
          <w:rFonts w:ascii="Arial" w:eastAsia="Arial" w:hAnsi="Arial"/>
          <w:kern w:val="0"/>
        </w:rPr>
      </w:pPr>
      <w:r>
        <w:rPr>
          <w:rFonts w:ascii="Arial" w:eastAsia="Arial" w:hAnsi="Arial"/>
          <w:kern w:val="0"/>
        </w:rPr>
        <w:t>Maintenance of the reflexive journal is done throughout the analysis phase as per the Lincoln and Guba (1985) criterion of “confirmability”. Some examples of the researcher's interpretive actions and why two themes were consolidated and codes refined are displayed below.</w:t>
      </w:r>
    </w:p>
    <w:tbl>
      <w:tblPr>
        <w:tblW w:w="9000" w:type="dxa"/>
        <w:jc w:val="center"/>
        <w:tblCellMar>
          <w:left w:w="10" w:type="dxa"/>
          <w:right w:w="10" w:type="dxa"/>
        </w:tblCellMar>
        <w:tblLook w:val="0000" w:firstRow="0" w:lastRow="0" w:firstColumn="0" w:lastColumn="0" w:noHBand="0" w:noVBand="0"/>
      </w:tblPr>
      <w:tblGrid>
        <w:gridCol w:w="1400"/>
        <w:gridCol w:w="7600"/>
      </w:tblGrid>
      <w:tr w:rsidR="000C2202" w14:paraId="44968155" w14:textId="77777777">
        <w:trPr>
          <w:jc w:val="center"/>
        </w:trPr>
        <w:tc>
          <w:tcPr>
            <w:tcW w:w="14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0BB1C6A9" w14:textId="77777777" w:rsidR="000C2202" w:rsidRDefault="00DA46A9">
            <w:pPr>
              <w:spacing w:before="40" w:after="40" w:line="360" w:lineRule="auto"/>
              <w:jc w:val="center"/>
            </w:pPr>
            <w:r>
              <w:rPr>
                <w:rFonts w:ascii="Arial" w:eastAsia="Arial" w:hAnsi="Arial"/>
                <w:b/>
                <w:color w:val="FFFFFF"/>
                <w:kern w:val="0"/>
              </w:rPr>
              <w:t>Date</w:t>
            </w:r>
          </w:p>
        </w:tc>
        <w:tc>
          <w:tcPr>
            <w:tcW w:w="76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3E1EF47F" w14:textId="77777777" w:rsidR="000C2202" w:rsidRDefault="00DA46A9">
            <w:pPr>
              <w:spacing w:before="40" w:after="40" w:line="360" w:lineRule="auto"/>
            </w:pPr>
            <w:r>
              <w:rPr>
                <w:rFonts w:ascii="Arial" w:eastAsia="Arial" w:hAnsi="Arial"/>
                <w:b/>
                <w:color w:val="FFFFFF"/>
                <w:kern w:val="0"/>
              </w:rPr>
              <w:t>Extract (paraphrased)</w:t>
            </w:r>
          </w:p>
        </w:tc>
      </w:tr>
      <w:tr w:rsidR="000C2202" w14:paraId="1E5BBCEA" w14:textId="77777777">
        <w:trPr>
          <w:jc w:val="center"/>
        </w:trPr>
        <w:tc>
          <w:tcPr>
            <w:tcW w:w="14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CEC6182" w14:textId="77777777" w:rsidR="000C2202" w:rsidRDefault="00DA46A9">
            <w:pPr>
              <w:spacing w:before="40" w:after="40" w:line="360" w:lineRule="auto"/>
              <w:jc w:val="center"/>
            </w:pPr>
            <w:r>
              <w:rPr>
                <w:rFonts w:ascii="Arial" w:eastAsia="Arial" w:hAnsi="Arial"/>
                <w:b/>
                <w:color w:val="000000"/>
                <w:kern w:val="0"/>
                <w:sz w:val="20"/>
              </w:rPr>
              <w:t>Week 3, day 1</w:t>
            </w:r>
          </w:p>
        </w:tc>
        <w:tc>
          <w:tcPr>
            <w:tcW w:w="7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365AAF0" w14:textId="77777777" w:rsidR="000C2202" w:rsidRDefault="00DA46A9">
            <w:pPr>
              <w:spacing w:before="40" w:after="40" w:line="360" w:lineRule="auto"/>
            </w:pPr>
            <w:r>
              <w:rPr>
                <w:rFonts w:ascii="Arial" w:eastAsia="Arial" w:hAnsi="Arial"/>
                <w:i/>
                <w:color w:val="000000"/>
                <w:kern w:val="0"/>
                <w:sz w:val="20"/>
              </w:rPr>
              <w:t>Initial codes for T1 and T2 keep merging. The difference I have to remember is between speed (T1) and resolution (T2). Coding decision: If two dimensions are covered in a single review, separate these dimensions and add a cross-theme code to the intersection if necessary.</w:t>
            </w:r>
          </w:p>
        </w:tc>
      </w:tr>
      <w:tr w:rsidR="000C2202" w14:paraId="2F3CB416" w14:textId="77777777">
        <w:trPr>
          <w:jc w:val="center"/>
        </w:trPr>
        <w:tc>
          <w:tcPr>
            <w:tcW w:w="14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406B1CEC" w14:textId="77777777" w:rsidR="000C2202" w:rsidRDefault="00DA46A9">
            <w:pPr>
              <w:spacing w:before="40" w:after="40" w:line="360" w:lineRule="auto"/>
              <w:jc w:val="center"/>
            </w:pPr>
            <w:r>
              <w:rPr>
                <w:rFonts w:ascii="Arial" w:eastAsia="Arial" w:hAnsi="Arial"/>
                <w:b/>
                <w:color w:val="000000"/>
                <w:kern w:val="0"/>
                <w:sz w:val="20"/>
              </w:rPr>
              <w:t>Week 3, day 4</w:t>
            </w:r>
          </w:p>
        </w:tc>
        <w:tc>
          <w:tcPr>
            <w:tcW w:w="7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8416140" w14:textId="77777777" w:rsidR="000C2202" w:rsidRDefault="00DA46A9">
            <w:pPr>
              <w:spacing w:before="40" w:after="40" w:line="360" w:lineRule="auto"/>
            </w:pPr>
            <w:r>
              <w:rPr>
                <w:rFonts w:ascii="Arial" w:eastAsia="Arial" w:hAnsi="Arial"/>
                <w:i/>
                <w:color w:val="000000"/>
                <w:kern w:val="0"/>
                <w:sz w:val="20"/>
              </w:rPr>
              <w:t>I saw I am reading a lot more negative things than positive things. Positive-experience reviews are brief and are not as coded. Modified coding density check to account for per-source coding density, per Braun and Clarke (Phase 4, 2019).</w:t>
            </w:r>
          </w:p>
        </w:tc>
      </w:tr>
      <w:tr w:rsidR="000C2202" w14:paraId="432CAA45" w14:textId="77777777">
        <w:trPr>
          <w:jc w:val="center"/>
        </w:trPr>
        <w:tc>
          <w:tcPr>
            <w:tcW w:w="14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46D56FAE" w14:textId="77777777" w:rsidR="000C2202" w:rsidRDefault="00DA46A9">
            <w:pPr>
              <w:spacing w:before="40" w:after="40" w:line="360" w:lineRule="auto"/>
              <w:jc w:val="center"/>
            </w:pPr>
            <w:r>
              <w:rPr>
                <w:rFonts w:ascii="Arial" w:eastAsia="Arial" w:hAnsi="Arial"/>
                <w:b/>
                <w:color w:val="000000"/>
                <w:kern w:val="0"/>
                <w:sz w:val="20"/>
              </w:rPr>
              <w:t>Week 4, day 2</w:t>
            </w:r>
          </w:p>
        </w:tc>
        <w:tc>
          <w:tcPr>
            <w:tcW w:w="7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52A4F30" w14:textId="77777777" w:rsidR="000C2202" w:rsidRDefault="00DA46A9">
            <w:pPr>
              <w:spacing w:before="40" w:after="40" w:line="360" w:lineRule="auto"/>
            </w:pPr>
            <w:r>
              <w:rPr>
                <w:rFonts w:ascii="Arial" w:eastAsia="Arial" w:hAnsi="Arial"/>
                <w:i/>
                <w:color w:val="000000"/>
                <w:kern w:val="0"/>
                <w:sz w:val="20"/>
              </w:rPr>
              <w:t>The trust codes are acting in some weird way — instead of following within SERVQUAL, they are forming three sub-currents. Thought about discarding the trust theme and, rather, formalising the disaggregation as a framework re-specification (which later was to become Table 4.3).</w:t>
            </w:r>
          </w:p>
        </w:tc>
      </w:tr>
      <w:tr w:rsidR="000C2202" w14:paraId="52A1C4D9" w14:textId="77777777">
        <w:trPr>
          <w:jc w:val="center"/>
        </w:trPr>
        <w:tc>
          <w:tcPr>
            <w:tcW w:w="14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238CFDFF" w14:textId="77777777" w:rsidR="000C2202" w:rsidRDefault="00DA46A9">
            <w:pPr>
              <w:spacing w:before="40" w:after="40" w:line="360" w:lineRule="auto"/>
              <w:jc w:val="center"/>
            </w:pPr>
            <w:r>
              <w:rPr>
                <w:rFonts w:ascii="Arial" w:eastAsia="Arial" w:hAnsi="Arial"/>
                <w:b/>
                <w:color w:val="000000"/>
                <w:kern w:val="0"/>
                <w:sz w:val="20"/>
              </w:rPr>
              <w:t>Week 4, day 5</w:t>
            </w:r>
          </w:p>
        </w:tc>
        <w:tc>
          <w:tcPr>
            <w:tcW w:w="7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2F8ECCF" w14:textId="77777777" w:rsidR="000C2202" w:rsidRDefault="00DA46A9">
            <w:pPr>
              <w:spacing w:before="40" w:after="40" w:line="360" w:lineRule="auto"/>
            </w:pPr>
            <w:r>
              <w:rPr>
                <w:rFonts w:ascii="Arial" w:eastAsia="Arial" w:hAnsi="Arial"/>
                <w:i/>
                <w:color w:val="000000"/>
                <w:kern w:val="0"/>
                <w:sz w:val="20"/>
              </w:rPr>
              <w:t>Recognised my own consumer perspective is affecting the empathy coding. I read the scripted empathic phrasing as counter-productive, but customers in the sub-corpus vary in this response. Kept the interpretation but flagged as a researcher-subjectivity note in the analysis chapter.</w:t>
            </w:r>
          </w:p>
        </w:tc>
      </w:tr>
      <w:tr w:rsidR="000C2202" w14:paraId="14504DD5" w14:textId="77777777">
        <w:trPr>
          <w:jc w:val="center"/>
        </w:trPr>
        <w:tc>
          <w:tcPr>
            <w:tcW w:w="14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23099838" w14:textId="77777777" w:rsidR="000C2202" w:rsidRDefault="00DA46A9">
            <w:pPr>
              <w:spacing w:before="40" w:after="40" w:line="360" w:lineRule="auto"/>
              <w:jc w:val="center"/>
            </w:pPr>
            <w:r>
              <w:rPr>
                <w:rFonts w:ascii="Arial" w:eastAsia="Arial" w:hAnsi="Arial"/>
                <w:b/>
                <w:color w:val="000000"/>
                <w:kern w:val="0"/>
                <w:sz w:val="20"/>
              </w:rPr>
              <w:t>Week 5, day 1</w:t>
            </w:r>
          </w:p>
        </w:tc>
        <w:tc>
          <w:tcPr>
            <w:tcW w:w="7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2215896" w14:textId="77777777" w:rsidR="000C2202" w:rsidRDefault="00DA46A9">
            <w:pPr>
              <w:spacing w:before="40" w:after="40" w:line="360" w:lineRule="auto"/>
            </w:pPr>
            <w:r>
              <w:rPr>
                <w:rFonts w:ascii="Arial" w:eastAsia="Arial" w:hAnsi="Arial"/>
                <w:i/>
                <w:color w:val="000000"/>
                <w:kern w:val="0"/>
                <w:sz w:val="20"/>
              </w:rPr>
              <w:t>Theme 4 (handover) is stronger than I initially expected. Reviewed the theme against Uzoka et al. (2024) and Prentice and Nguyen (2020); confirmed the corpus supports elevating handover to a first-order pathway rather than treating it as a sub-case of accuracy.</w:t>
            </w:r>
          </w:p>
        </w:tc>
      </w:tr>
    </w:tbl>
    <w:p w14:paraId="67C6A7F6" w14:textId="77777777" w:rsidR="000C2202" w:rsidRDefault="000C2202">
      <w:pPr>
        <w:pageBreakBefore/>
        <w:spacing w:after="120" w:line="360" w:lineRule="auto"/>
        <w:rPr>
          <w:rFonts w:ascii="Arial" w:eastAsia="Arial" w:hAnsi="Arial"/>
          <w:kern w:val="0"/>
        </w:rPr>
      </w:pPr>
    </w:p>
    <w:p w14:paraId="4B26826D" w14:textId="77777777" w:rsidR="000C2202" w:rsidRDefault="00DA46A9">
      <w:pPr>
        <w:keepNext/>
        <w:keepLines/>
        <w:spacing w:before="200" w:after="0" w:line="360" w:lineRule="auto"/>
        <w:outlineLvl w:val="1"/>
      </w:pPr>
      <w:bookmarkStart w:id="85" w:name="_Toc235807090"/>
      <w:r>
        <w:rPr>
          <w:rFonts w:ascii="Calibri" w:eastAsia="MS Gothic" w:hAnsi="Calibri"/>
          <w:b/>
          <w:bCs/>
          <w:color w:val="4F81BD"/>
          <w:kern w:val="0"/>
          <w:sz w:val="26"/>
          <w:szCs w:val="26"/>
        </w:rPr>
        <w:t>Appendix G Research Timeline</w:t>
      </w:r>
      <w:bookmarkEnd w:id="85"/>
    </w:p>
    <w:p w14:paraId="1F666551" w14:textId="77777777" w:rsidR="000C2202" w:rsidRDefault="00DA46A9">
      <w:pPr>
        <w:spacing w:after="120" w:line="360" w:lineRule="auto"/>
        <w:jc w:val="both"/>
        <w:rPr>
          <w:rFonts w:ascii="Arial" w:eastAsia="Arial" w:hAnsi="Arial"/>
          <w:kern w:val="0"/>
        </w:rPr>
      </w:pPr>
      <w:r>
        <w:rPr>
          <w:rFonts w:ascii="Arial" w:eastAsia="Arial" w:hAnsi="Arial"/>
          <w:kern w:val="0"/>
        </w:rPr>
        <w:t>Six-week window aligned with the 26 July 2026 submission deadline (Section 3.11).</w:t>
      </w:r>
    </w:p>
    <w:tbl>
      <w:tblPr>
        <w:tblW w:w="9000" w:type="dxa"/>
        <w:jc w:val="center"/>
        <w:tblCellMar>
          <w:left w:w="10" w:type="dxa"/>
          <w:right w:w="10" w:type="dxa"/>
        </w:tblCellMar>
        <w:tblLook w:val="0000" w:firstRow="0" w:lastRow="0" w:firstColumn="0" w:lastColumn="0" w:noHBand="0" w:noVBand="0"/>
      </w:tblPr>
      <w:tblGrid>
        <w:gridCol w:w="1400"/>
        <w:gridCol w:w="4200"/>
        <w:gridCol w:w="3400"/>
      </w:tblGrid>
      <w:tr w:rsidR="000C2202" w14:paraId="70CE2DD7" w14:textId="77777777">
        <w:trPr>
          <w:jc w:val="center"/>
        </w:trPr>
        <w:tc>
          <w:tcPr>
            <w:tcW w:w="14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3649A679" w14:textId="77777777" w:rsidR="000C2202" w:rsidRDefault="00DA46A9">
            <w:pPr>
              <w:spacing w:before="40" w:after="40" w:line="360" w:lineRule="auto"/>
              <w:jc w:val="center"/>
            </w:pPr>
            <w:r>
              <w:rPr>
                <w:rFonts w:ascii="Arial" w:eastAsia="Arial" w:hAnsi="Arial"/>
                <w:b/>
                <w:color w:val="FFFFFF"/>
                <w:kern w:val="0"/>
              </w:rPr>
              <w:t>Week</w:t>
            </w:r>
          </w:p>
        </w:tc>
        <w:tc>
          <w:tcPr>
            <w:tcW w:w="42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428445D3" w14:textId="77777777" w:rsidR="000C2202" w:rsidRDefault="00DA46A9">
            <w:pPr>
              <w:spacing w:before="40" w:after="40" w:line="360" w:lineRule="auto"/>
            </w:pPr>
            <w:r>
              <w:rPr>
                <w:rFonts w:ascii="Arial" w:eastAsia="Arial" w:hAnsi="Arial"/>
                <w:b/>
                <w:color w:val="FFFFFF"/>
                <w:kern w:val="0"/>
              </w:rPr>
              <w:t>Activity</w:t>
            </w:r>
          </w:p>
        </w:tc>
        <w:tc>
          <w:tcPr>
            <w:tcW w:w="3400"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67778FA2" w14:textId="77777777" w:rsidR="000C2202" w:rsidRDefault="00DA46A9">
            <w:pPr>
              <w:spacing w:before="40" w:after="40" w:line="360" w:lineRule="auto"/>
            </w:pPr>
            <w:r>
              <w:rPr>
                <w:rFonts w:ascii="Arial" w:eastAsia="Arial" w:hAnsi="Arial"/>
                <w:b/>
                <w:color w:val="FFFFFF"/>
                <w:kern w:val="0"/>
              </w:rPr>
              <w:t>Milestone / output</w:t>
            </w:r>
          </w:p>
        </w:tc>
      </w:tr>
      <w:tr w:rsidR="000C2202" w14:paraId="00AA9EE0" w14:textId="77777777">
        <w:trPr>
          <w:jc w:val="center"/>
        </w:trPr>
        <w:tc>
          <w:tcPr>
            <w:tcW w:w="14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30C171D7" w14:textId="77777777" w:rsidR="000C2202" w:rsidRDefault="00DA46A9">
            <w:pPr>
              <w:spacing w:before="40" w:after="40" w:line="360" w:lineRule="auto"/>
              <w:jc w:val="center"/>
            </w:pPr>
            <w:r>
              <w:rPr>
                <w:rFonts w:ascii="Arial" w:eastAsia="Arial" w:hAnsi="Arial"/>
                <w:b/>
                <w:color w:val="000000"/>
                <w:kern w:val="0"/>
                <w:sz w:val="20"/>
              </w:rPr>
              <w:t>Week 1</w:t>
            </w:r>
          </w:p>
        </w:tc>
        <w:tc>
          <w:tcPr>
            <w:tcW w:w="4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8390BC4" w14:textId="77777777" w:rsidR="000C2202" w:rsidRDefault="00DA46A9">
            <w:pPr>
              <w:spacing w:before="40" w:after="40" w:line="360" w:lineRule="auto"/>
            </w:pPr>
            <w:r>
              <w:rPr>
                <w:rFonts w:ascii="Arial" w:eastAsia="Arial" w:hAnsi="Arial"/>
                <w:color w:val="000000"/>
                <w:kern w:val="0"/>
                <w:sz w:val="20"/>
              </w:rPr>
              <w:t>Structured retrieval across Scopus, Web of Science, Google Scholar, Trustpilot, Reevoo, Tesco corporate site, industry reports, trade press.</w:t>
            </w:r>
          </w:p>
        </w:tc>
        <w:tc>
          <w:tcPr>
            <w:tcW w:w="3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F851CB2" w14:textId="77777777" w:rsidR="000C2202" w:rsidRDefault="00DA46A9">
            <w:pPr>
              <w:spacing w:before="40" w:after="40" w:line="360" w:lineRule="auto"/>
            </w:pPr>
            <w:r>
              <w:rPr>
                <w:rFonts w:ascii="Arial" w:eastAsia="Arial" w:hAnsi="Arial"/>
                <w:i/>
                <w:color w:val="000000"/>
                <w:kern w:val="0"/>
                <w:sz w:val="20"/>
              </w:rPr>
              <w:t>Evidence-management workbook v1  (Appendix D).</w:t>
            </w:r>
          </w:p>
        </w:tc>
      </w:tr>
      <w:tr w:rsidR="000C2202" w14:paraId="3B3EC286" w14:textId="77777777">
        <w:trPr>
          <w:jc w:val="center"/>
        </w:trPr>
        <w:tc>
          <w:tcPr>
            <w:tcW w:w="14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2C9DB26C" w14:textId="77777777" w:rsidR="000C2202" w:rsidRDefault="00DA46A9">
            <w:pPr>
              <w:spacing w:before="40" w:after="40" w:line="360" w:lineRule="auto"/>
              <w:jc w:val="center"/>
            </w:pPr>
            <w:r>
              <w:rPr>
                <w:rFonts w:ascii="Arial" w:eastAsia="Arial" w:hAnsi="Arial"/>
                <w:b/>
                <w:color w:val="000000"/>
                <w:kern w:val="0"/>
                <w:sz w:val="20"/>
              </w:rPr>
              <w:t>Week 2</w:t>
            </w:r>
          </w:p>
        </w:tc>
        <w:tc>
          <w:tcPr>
            <w:tcW w:w="4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8D291CF" w14:textId="77777777" w:rsidR="000C2202" w:rsidRDefault="00DA46A9">
            <w:pPr>
              <w:spacing w:before="40" w:after="40" w:line="360" w:lineRule="auto"/>
            </w:pPr>
            <w:r>
              <w:rPr>
                <w:rFonts w:ascii="Arial" w:eastAsia="Arial" w:hAnsi="Arial"/>
                <w:color w:val="000000"/>
                <w:kern w:val="0"/>
                <w:sz w:val="20"/>
              </w:rPr>
              <w:t>Application of inclusion / exclusion criteria (Appendix E); source-inventory build; credibility-tier tagging.</w:t>
            </w:r>
          </w:p>
        </w:tc>
        <w:tc>
          <w:tcPr>
            <w:tcW w:w="3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1307680" w14:textId="77777777" w:rsidR="000C2202" w:rsidRDefault="00DA46A9">
            <w:pPr>
              <w:spacing w:before="40" w:after="40" w:line="360" w:lineRule="auto"/>
            </w:pPr>
            <w:r>
              <w:rPr>
                <w:rFonts w:ascii="Arial" w:eastAsia="Arial" w:hAnsi="Arial"/>
                <w:i/>
                <w:color w:val="000000"/>
                <w:kern w:val="0"/>
                <w:sz w:val="20"/>
              </w:rPr>
              <w:t>75 sources retained; source inventory (Appendix A).</w:t>
            </w:r>
          </w:p>
        </w:tc>
      </w:tr>
      <w:tr w:rsidR="000C2202" w14:paraId="737E83B0" w14:textId="77777777">
        <w:trPr>
          <w:jc w:val="center"/>
        </w:trPr>
        <w:tc>
          <w:tcPr>
            <w:tcW w:w="14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71B96718" w14:textId="77777777" w:rsidR="000C2202" w:rsidRDefault="00DA46A9">
            <w:pPr>
              <w:spacing w:before="40" w:after="40" w:line="360" w:lineRule="auto"/>
              <w:jc w:val="center"/>
            </w:pPr>
            <w:r>
              <w:rPr>
                <w:rFonts w:ascii="Arial" w:eastAsia="Arial" w:hAnsi="Arial"/>
                <w:b/>
                <w:color w:val="000000"/>
                <w:kern w:val="0"/>
                <w:sz w:val="20"/>
              </w:rPr>
              <w:t>Week 3</w:t>
            </w:r>
          </w:p>
        </w:tc>
        <w:tc>
          <w:tcPr>
            <w:tcW w:w="4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0B4F5E8" w14:textId="77777777" w:rsidR="000C2202" w:rsidRDefault="00DA46A9">
            <w:pPr>
              <w:spacing w:before="40" w:after="40" w:line="360" w:lineRule="auto"/>
            </w:pPr>
            <w:r>
              <w:rPr>
                <w:rFonts w:ascii="Arial" w:eastAsia="Arial" w:hAnsi="Arial"/>
                <w:color w:val="000000"/>
                <w:kern w:val="0"/>
                <w:sz w:val="20"/>
              </w:rPr>
              <w:t>Phase 1–2: familiarisation with the corpus, initial code generation across four data streams.</w:t>
            </w:r>
          </w:p>
        </w:tc>
        <w:tc>
          <w:tcPr>
            <w:tcW w:w="3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94ABE97" w14:textId="77777777" w:rsidR="000C2202" w:rsidRDefault="00DA46A9">
            <w:pPr>
              <w:spacing w:before="40" w:after="40" w:line="360" w:lineRule="auto"/>
            </w:pPr>
            <w:r>
              <w:rPr>
                <w:rFonts w:ascii="Arial" w:eastAsia="Arial" w:hAnsi="Arial"/>
                <w:i/>
                <w:color w:val="000000"/>
                <w:kern w:val="0"/>
                <w:sz w:val="20"/>
              </w:rPr>
              <w:t>First-pass coding book (draft).</w:t>
            </w:r>
          </w:p>
        </w:tc>
      </w:tr>
      <w:tr w:rsidR="000C2202" w14:paraId="78C4A4C6" w14:textId="77777777">
        <w:trPr>
          <w:jc w:val="center"/>
        </w:trPr>
        <w:tc>
          <w:tcPr>
            <w:tcW w:w="14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78EF929" w14:textId="77777777" w:rsidR="000C2202" w:rsidRDefault="00DA46A9">
            <w:pPr>
              <w:spacing w:before="40" w:after="40" w:line="360" w:lineRule="auto"/>
              <w:jc w:val="center"/>
            </w:pPr>
            <w:r>
              <w:rPr>
                <w:rFonts w:ascii="Arial" w:eastAsia="Arial" w:hAnsi="Arial"/>
                <w:b/>
                <w:color w:val="000000"/>
                <w:kern w:val="0"/>
                <w:sz w:val="20"/>
              </w:rPr>
              <w:t>Week 4</w:t>
            </w:r>
          </w:p>
        </w:tc>
        <w:tc>
          <w:tcPr>
            <w:tcW w:w="4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2F98E43" w14:textId="77777777" w:rsidR="000C2202" w:rsidRDefault="00DA46A9">
            <w:pPr>
              <w:spacing w:before="40" w:after="40" w:line="360" w:lineRule="auto"/>
            </w:pPr>
            <w:r>
              <w:rPr>
                <w:rFonts w:ascii="Arial" w:eastAsia="Arial" w:hAnsi="Arial"/>
                <w:color w:val="000000"/>
                <w:kern w:val="0"/>
                <w:sz w:val="20"/>
              </w:rPr>
              <w:t>Phase 3–4: theme development, review, and consolidation.</w:t>
            </w:r>
          </w:p>
        </w:tc>
        <w:tc>
          <w:tcPr>
            <w:tcW w:w="3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AD35730" w14:textId="77777777" w:rsidR="000C2202" w:rsidRDefault="00DA46A9">
            <w:pPr>
              <w:spacing w:before="40" w:after="40" w:line="360" w:lineRule="auto"/>
            </w:pPr>
            <w:r>
              <w:rPr>
                <w:rFonts w:ascii="Arial" w:eastAsia="Arial" w:hAnsi="Arial"/>
                <w:i/>
                <w:color w:val="000000"/>
                <w:kern w:val="0"/>
                <w:sz w:val="20"/>
              </w:rPr>
              <w:t>Coding book v2 (Appendix B); thematic map (Appendix C).</w:t>
            </w:r>
          </w:p>
        </w:tc>
      </w:tr>
      <w:tr w:rsidR="000C2202" w14:paraId="6795CC48" w14:textId="77777777">
        <w:trPr>
          <w:jc w:val="center"/>
        </w:trPr>
        <w:tc>
          <w:tcPr>
            <w:tcW w:w="14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2AF2460E" w14:textId="77777777" w:rsidR="000C2202" w:rsidRDefault="00DA46A9">
            <w:pPr>
              <w:spacing w:before="40" w:after="40" w:line="360" w:lineRule="auto"/>
              <w:jc w:val="center"/>
            </w:pPr>
            <w:r>
              <w:rPr>
                <w:rFonts w:ascii="Arial" w:eastAsia="Arial" w:hAnsi="Arial"/>
                <w:b/>
                <w:color w:val="000000"/>
                <w:kern w:val="0"/>
                <w:sz w:val="20"/>
              </w:rPr>
              <w:t>Week 5</w:t>
            </w:r>
          </w:p>
        </w:tc>
        <w:tc>
          <w:tcPr>
            <w:tcW w:w="4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B763FCF" w14:textId="77777777" w:rsidR="000C2202" w:rsidRDefault="00DA46A9">
            <w:pPr>
              <w:spacing w:before="40" w:after="40" w:line="360" w:lineRule="auto"/>
            </w:pPr>
            <w:r>
              <w:rPr>
                <w:rFonts w:ascii="Arial" w:eastAsia="Arial" w:hAnsi="Arial"/>
                <w:color w:val="000000"/>
                <w:kern w:val="0"/>
                <w:sz w:val="20"/>
              </w:rPr>
              <w:t>Phase 5–6: theme definition and reporting; drafting of Chapter 4; iterative discussion against SERVQUAL / TAM / query-complexity-fit.</w:t>
            </w:r>
          </w:p>
        </w:tc>
        <w:tc>
          <w:tcPr>
            <w:tcW w:w="3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27AAEEE" w14:textId="77777777" w:rsidR="000C2202" w:rsidRDefault="00DA46A9">
            <w:pPr>
              <w:spacing w:before="40" w:after="40" w:line="360" w:lineRule="auto"/>
            </w:pPr>
            <w:r>
              <w:rPr>
                <w:rFonts w:ascii="Arial" w:eastAsia="Arial" w:hAnsi="Arial"/>
                <w:i/>
                <w:color w:val="000000"/>
                <w:kern w:val="0"/>
                <w:sz w:val="20"/>
              </w:rPr>
              <w:t>Chapter 4 first draft; Chapter 5 first draft.</w:t>
            </w:r>
          </w:p>
        </w:tc>
      </w:tr>
      <w:tr w:rsidR="000C2202" w14:paraId="51BC9B52" w14:textId="77777777">
        <w:trPr>
          <w:jc w:val="center"/>
        </w:trPr>
        <w:tc>
          <w:tcPr>
            <w:tcW w:w="1400"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78CACEAE" w14:textId="77777777" w:rsidR="000C2202" w:rsidRDefault="00DA46A9">
            <w:pPr>
              <w:spacing w:before="40" w:after="40" w:line="360" w:lineRule="auto"/>
              <w:jc w:val="center"/>
            </w:pPr>
            <w:r>
              <w:rPr>
                <w:rFonts w:ascii="Arial" w:eastAsia="Arial" w:hAnsi="Arial"/>
                <w:b/>
                <w:color w:val="000000"/>
                <w:kern w:val="0"/>
                <w:sz w:val="20"/>
              </w:rPr>
              <w:t>Week 6</w:t>
            </w:r>
          </w:p>
        </w:tc>
        <w:tc>
          <w:tcPr>
            <w:tcW w:w="4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767D1F7" w14:textId="77777777" w:rsidR="000C2202" w:rsidRDefault="00DA46A9">
            <w:pPr>
              <w:spacing w:before="40" w:after="40" w:line="360" w:lineRule="auto"/>
            </w:pPr>
            <w:r>
              <w:rPr>
                <w:rFonts w:ascii="Arial" w:eastAsia="Arial" w:hAnsi="Arial"/>
                <w:color w:val="000000"/>
                <w:kern w:val="0"/>
                <w:sz w:val="20"/>
              </w:rPr>
              <w:t>Integration across chapters; reference audit; formatting; Turnitin similarity check; final PDF conversion.</w:t>
            </w:r>
          </w:p>
        </w:tc>
        <w:tc>
          <w:tcPr>
            <w:tcW w:w="3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4EEA1AA" w14:textId="77777777" w:rsidR="000C2202" w:rsidRDefault="00DA46A9">
            <w:pPr>
              <w:spacing w:before="40" w:after="40" w:line="360" w:lineRule="auto"/>
            </w:pPr>
            <w:r>
              <w:rPr>
                <w:rFonts w:ascii="Arial" w:eastAsia="Arial" w:hAnsi="Arial"/>
                <w:i/>
                <w:color w:val="000000"/>
                <w:kern w:val="0"/>
                <w:sz w:val="20"/>
              </w:rPr>
              <w:t>Submission before 26 July 2026, 14:00.</w:t>
            </w:r>
          </w:p>
        </w:tc>
      </w:tr>
    </w:tbl>
    <w:p w14:paraId="4B9F8B34" w14:textId="77777777" w:rsidR="000C2202" w:rsidRDefault="000C2202">
      <w:pPr>
        <w:pageBreakBefore/>
        <w:spacing w:after="120" w:line="360" w:lineRule="auto"/>
        <w:rPr>
          <w:rFonts w:ascii="Arial" w:eastAsia="Arial" w:hAnsi="Arial"/>
          <w:kern w:val="0"/>
        </w:rPr>
      </w:pPr>
    </w:p>
    <w:p w14:paraId="42AC31BE" w14:textId="77777777" w:rsidR="000C2202" w:rsidRDefault="00DA46A9">
      <w:pPr>
        <w:keepNext/>
        <w:keepLines/>
        <w:spacing w:before="200" w:after="0" w:line="360" w:lineRule="auto"/>
        <w:outlineLvl w:val="1"/>
      </w:pPr>
      <w:bookmarkStart w:id="86" w:name="_Toc235807091"/>
      <w:r>
        <w:rPr>
          <w:rFonts w:ascii="Calibri" w:eastAsia="MS Gothic" w:hAnsi="Calibri"/>
          <w:b/>
          <w:bCs/>
          <w:color w:val="4F81BD"/>
          <w:kern w:val="0"/>
          <w:sz w:val="26"/>
          <w:szCs w:val="26"/>
        </w:rPr>
        <w:t>Appendix H Ethical Considerations — Low-Risk Declaration Summary</w:t>
      </w:r>
      <w:bookmarkEnd w:id="86"/>
    </w:p>
    <w:p w14:paraId="62FD166B" w14:textId="77777777" w:rsidR="000C2202" w:rsidRDefault="00DA46A9">
      <w:pPr>
        <w:spacing w:after="120" w:line="360" w:lineRule="auto"/>
        <w:jc w:val="both"/>
        <w:rPr>
          <w:rFonts w:ascii="Arial" w:eastAsia="Arial" w:hAnsi="Arial"/>
          <w:kern w:val="0"/>
        </w:rPr>
      </w:pPr>
      <w:r>
        <w:rPr>
          <w:rFonts w:ascii="Arial" w:eastAsia="Arial" w:hAnsi="Arial"/>
          <w:kern w:val="0"/>
        </w:rPr>
        <w:t>The study is classified as low-risk under the UWTSD ethics policy (Section 3.10). The declaration summary below records the safeguards applied to the four data streams used in the analysis.</w:t>
      </w:r>
    </w:p>
    <w:tbl>
      <w:tblPr>
        <w:tblW w:w="9200" w:type="dxa"/>
        <w:jc w:val="center"/>
        <w:tblCellMar>
          <w:left w:w="10" w:type="dxa"/>
          <w:right w:w="10" w:type="dxa"/>
        </w:tblCellMar>
        <w:tblLook w:val="0000" w:firstRow="0" w:lastRow="0" w:firstColumn="0" w:lastColumn="0" w:noHBand="0" w:noVBand="0"/>
      </w:tblPr>
      <w:tblGrid>
        <w:gridCol w:w="2875"/>
        <w:gridCol w:w="6325"/>
      </w:tblGrid>
      <w:tr w:rsidR="000C2202" w14:paraId="059B095F" w14:textId="77777777">
        <w:trPr>
          <w:jc w:val="center"/>
        </w:trPr>
        <w:tc>
          <w:tcPr>
            <w:tcW w:w="2875"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22520341" w14:textId="77777777" w:rsidR="000C2202" w:rsidRDefault="00DA46A9">
            <w:pPr>
              <w:spacing w:before="40" w:after="40" w:line="360" w:lineRule="auto"/>
              <w:jc w:val="both"/>
            </w:pPr>
            <w:r>
              <w:rPr>
                <w:rFonts w:ascii="Arial" w:eastAsia="Arial" w:hAnsi="Arial"/>
                <w:b/>
                <w:color w:val="FFFFFF"/>
                <w:kern w:val="0"/>
              </w:rPr>
              <w:t>Ethical consideration</w:t>
            </w:r>
          </w:p>
        </w:tc>
        <w:tc>
          <w:tcPr>
            <w:tcW w:w="6325" w:type="dxa"/>
            <w:tcBorders>
              <w:top w:val="single" w:sz="4" w:space="0" w:color="000000"/>
              <w:left w:val="single" w:sz="4" w:space="0" w:color="000000"/>
              <w:bottom w:val="single" w:sz="4" w:space="0" w:color="000000"/>
              <w:right w:val="single" w:sz="4" w:space="0" w:color="000000"/>
            </w:tcBorders>
            <w:shd w:val="clear" w:color="auto" w:fill="1F3864"/>
            <w:tcMar>
              <w:top w:w="60" w:type="dxa"/>
              <w:left w:w="100" w:type="dxa"/>
              <w:bottom w:w="60" w:type="dxa"/>
              <w:right w:w="100" w:type="dxa"/>
            </w:tcMar>
            <w:vAlign w:val="center"/>
          </w:tcPr>
          <w:p w14:paraId="3F539C2C" w14:textId="77777777" w:rsidR="000C2202" w:rsidRDefault="00DA46A9">
            <w:pPr>
              <w:spacing w:before="40" w:after="40" w:line="360" w:lineRule="auto"/>
              <w:jc w:val="both"/>
            </w:pPr>
            <w:r>
              <w:rPr>
                <w:rFonts w:ascii="Arial" w:eastAsia="Arial" w:hAnsi="Arial"/>
                <w:b/>
                <w:color w:val="FFFFFF"/>
                <w:kern w:val="0"/>
              </w:rPr>
              <w:t>How the study addresses it</w:t>
            </w:r>
          </w:p>
        </w:tc>
      </w:tr>
      <w:tr w:rsidR="000C2202" w14:paraId="1609215E" w14:textId="77777777">
        <w:trPr>
          <w:jc w:val="center"/>
        </w:trPr>
        <w:tc>
          <w:tcPr>
            <w:tcW w:w="287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27C33CA2" w14:textId="77777777" w:rsidR="000C2202" w:rsidRDefault="00DA46A9">
            <w:pPr>
              <w:spacing w:before="40" w:after="40" w:line="360" w:lineRule="auto"/>
              <w:jc w:val="both"/>
            </w:pPr>
            <w:r>
              <w:rPr>
                <w:rFonts w:ascii="Arial" w:eastAsia="Arial" w:hAnsi="Arial"/>
                <w:b/>
                <w:color w:val="000000"/>
                <w:kern w:val="0"/>
                <w:sz w:val="20"/>
              </w:rPr>
              <w:t>Human participants</w:t>
            </w:r>
          </w:p>
        </w:tc>
        <w:tc>
          <w:tcPr>
            <w:tcW w:w="632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7F9D265" w14:textId="77777777" w:rsidR="000C2202" w:rsidRDefault="00DA46A9">
            <w:pPr>
              <w:spacing w:before="40" w:after="40" w:line="360" w:lineRule="auto"/>
              <w:jc w:val="both"/>
            </w:pPr>
            <w:r>
              <w:rPr>
                <w:rFonts w:ascii="Arial" w:eastAsia="Arial" w:hAnsi="Arial"/>
                <w:color w:val="000000"/>
                <w:kern w:val="0"/>
                <w:sz w:val="20"/>
              </w:rPr>
              <w:t>No participants involved. No interviews, surveys, or focus groups conducted.</w:t>
            </w:r>
          </w:p>
        </w:tc>
      </w:tr>
      <w:tr w:rsidR="000C2202" w14:paraId="21B277C3" w14:textId="77777777">
        <w:trPr>
          <w:jc w:val="center"/>
        </w:trPr>
        <w:tc>
          <w:tcPr>
            <w:tcW w:w="287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7751E138" w14:textId="77777777" w:rsidR="000C2202" w:rsidRDefault="00DA46A9">
            <w:pPr>
              <w:spacing w:before="40" w:after="40" w:line="360" w:lineRule="auto"/>
              <w:jc w:val="both"/>
            </w:pPr>
            <w:r>
              <w:rPr>
                <w:rFonts w:ascii="Arial" w:eastAsia="Arial" w:hAnsi="Arial"/>
                <w:b/>
                <w:color w:val="000000"/>
                <w:kern w:val="0"/>
                <w:sz w:val="20"/>
              </w:rPr>
              <w:t>Anonymisation of customer reviews</w:t>
            </w:r>
          </w:p>
        </w:tc>
        <w:tc>
          <w:tcPr>
            <w:tcW w:w="632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B3A2BE4" w14:textId="77777777" w:rsidR="000C2202" w:rsidRDefault="00DA46A9">
            <w:pPr>
              <w:spacing w:before="40" w:after="40" w:line="360" w:lineRule="auto"/>
              <w:jc w:val="both"/>
            </w:pPr>
            <w:r>
              <w:rPr>
                <w:rFonts w:ascii="Arial" w:eastAsia="Arial" w:hAnsi="Arial"/>
                <w:color w:val="000000"/>
                <w:kern w:val="0"/>
                <w:sz w:val="20"/>
              </w:rPr>
              <w:t>Usernames removed at capture; direct quotation avoided in favour of paraphrase; any illustrative extract stripped of identifying detail.</w:t>
            </w:r>
          </w:p>
        </w:tc>
      </w:tr>
      <w:tr w:rsidR="000C2202" w14:paraId="6BC96F1E" w14:textId="77777777">
        <w:trPr>
          <w:jc w:val="center"/>
        </w:trPr>
        <w:tc>
          <w:tcPr>
            <w:tcW w:w="287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56A93494" w14:textId="77777777" w:rsidR="000C2202" w:rsidRDefault="00DA46A9">
            <w:pPr>
              <w:spacing w:before="40" w:after="40" w:line="360" w:lineRule="auto"/>
              <w:jc w:val="both"/>
            </w:pPr>
            <w:r>
              <w:rPr>
                <w:rFonts w:ascii="Arial" w:eastAsia="Arial" w:hAnsi="Arial"/>
                <w:b/>
                <w:color w:val="000000"/>
                <w:kern w:val="0"/>
                <w:sz w:val="20"/>
              </w:rPr>
              <w:t>Consent and privacy</w:t>
            </w:r>
          </w:p>
        </w:tc>
        <w:tc>
          <w:tcPr>
            <w:tcW w:w="632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452E935" w14:textId="77777777" w:rsidR="000C2202" w:rsidRDefault="00DA46A9">
            <w:pPr>
              <w:spacing w:before="40" w:after="40" w:line="360" w:lineRule="auto"/>
              <w:jc w:val="both"/>
            </w:pPr>
            <w:r>
              <w:rPr>
                <w:rFonts w:ascii="Arial" w:eastAsia="Arial" w:hAnsi="Arial"/>
                <w:color w:val="000000"/>
                <w:kern w:val="0"/>
                <w:sz w:val="20"/>
              </w:rPr>
              <w:t>Only publicly available material used. No paywalled, private, or restricted-access material accessed. No personal data of individual reviewers processed.</w:t>
            </w:r>
          </w:p>
        </w:tc>
      </w:tr>
      <w:tr w:rsidR="000C2202" w14:paraId="2999F94E" w14:textId="77777777">
        <w:trPr>
          <w:jc w:val="center"/>
        </w:trPr>
        <w:tc>
          <w:tcPr>
            <w:tcW w:w="287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29B8BC13" w14:textId="77777777" w:rsidR="000C2202" w:rsidRDefault="00DA46A9">
            <w:pPr>
              <w:spacing w:before="40" w:after="40" w:line="360" w:lineRule="auto"/>
              <w:jc w:val="both"/>
            </w:pPr>
            <w:r>
              <w:rPr>
                <w:rFonts w:ascii="Arial" w:eastAsia="Arial" w:hAnsi="Arial"/>
                <w:b/>
                <w:color w:val="000000"/>
                <w:kern w:val="0"/>
                <w:sz w:val="20"/>
              </w:rPr>
              <w:t>Use of Tesco corporate material</w:t>
            </w:r>
          </w:p>
        </w:tc>
        <w:tc>
          <w:tcPr>
            <w:tcW w:w="632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F13E737" w14:textId="77777777" w:rsidR="000C2202" w:rsidRDefault="00DA46A9">
            <w:pPr>
              <w:spacing w:before="40" w:after="40" w:line="360" w:lineRule="auto"/>
              <w:jc w:val="both"/>
            </w:pPr>
            <w:r>
              <w:rPr>
                <w:rFonts w:ascii="Arial" w:eastAsia="Arial" w:hAnsi="Arial"/>
                <w:color w:val="000000"/>
                <w:kern w:val="0"/>
                <w:sz w:val="20"/>
              </w:rPr>
              <w:t>Used within fair-dealing provisions for research; fully cited in Harvard format; not reproduced verbatim beyond short attributed extracts.</w:t>
            </w:r>
          </w:p>
        </w:tc>
      </w:tr>
      <w:tr w:rsidR="000C2202" w14:paraId="009D8FF4" w14:textId="77777777">
        <w:trPr>
          <w:jc w:val="center"/>
        </w:trPr>
        <w:tc>
          <w:tcPr>
            <w:tcW w:w="287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12FDF463" w14:textId="77777777" w:rsidR="000C2202" w:rsidRDefault="00DA46A9">
            <w:pPr>
              <w:spacing w:before="40" w:after="40" w:line="360" w:lineRule="auto"/>
              <w:jc w:val="both"/>
            </w:pPr>
            <w:r>
              <w:rPr>
                <w:rFonts w:ascii="Arial" w:eastAsia="Arial" w:hAnsi="Arial"/>
                <w:b/>
                <w:color w:val="000000"/>
                <w:kern w:val="0"/>
                <w:sz w:val="20"/>
              </w:rPr>
              <w:t>Use of academic material</w:t>
            </w:r>
          </w:p>
        </w:tc>
        <w:tc>
          <w:tcPr>
            <w:tcW w:w="632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39545A5" w14:textId="77777777" w:rsidR="000C2202" w:rsidRDefault="00DA46A9">
            <w:pPr>
              <w:spacing w:before="40" w:after="40" w:line="360" w:lineRule="auto"/>
              <w:jc w:val="both"/>
            </w:pPr>
            <w:r>
              <w:rPr>
                <w:rFonts w:ascii="Arial" w:eastAsia="Arial" w:hAnsi="Arial"/>
                <w:color w:val="000000"/>
                <w:kern w:val="0"/>
                <w:sz w:val="20"/>
              </w:rPr>
              <w:t>Used under fair-dealing for research and study; Harvard citation applied throughout; direct quotation kept under 15 words per source.</w:t>
            </w:r>
          </w:p>
        </w:tc>
      </w:tr>
      <w:tr w:rsidR="000C2202" w14:paraId="1DF6A69B" w14:textId="77777777">
        <w:trPr>
          <w:jc w:val="center"/>
        </w:trPr>
        <w:tc>
          <w:tcPr>
            <w:tcW w:w="287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37A84248" w14:textId="77777777" w:rsidR="000C2202" w:rsidRDefault="00DA46A9">
            <w:pPr>
              <w:spacing w:before="40" w:after="40" w:line="360" w:lineRule="auto"/>
              <w:jc w:val="both"/>
            </w:pPr>
            <w:r>
              <w:rPr>
                <w:rFonts w:ascii="Arial" w:eastAsia="Arial" w:hAnsi="Arial"/>
                <w:b/>
                <w:color w:val="000000"/>
                <w:kern w:val="0"/>
                <w:sz w:val="20"/>
              </w:rPr>
              <w:t>Data storage</w:t>
            </w:r>
          </w:p>
        </w:tc>
        <w:tc>
          <w:tcPr>
            <w:tcW w:w="632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D03984D" w14:textId="77777777" w:rsidR="000C2202" w:rsidRDefault="00DA46A9">
            <w:pPr>
              <w:spacing w:before="40" w:after="40" w:line="360" w:lineRule="auto"/>
              <w:jc w:val="both"/>
            </w:pPr>
            <w:r>
              <w:rPr>
                <w:rFonts w:ascii="Arial" w:eastAsia="Arial" w:hAnsi="Arial"/>
                <w:color w:val="000000"/>
                <w:kern w:val="0"/>
                <w:sz w:val="20"/>
              </w:rPr>
              <w:t>Corpus workbook and coding files stored on password-protected UWTSD systems. To be deleted three months after the provisional-mark date.</w:t>
            </w:r>
          </w:p>
        </w:tc>
      </w:tr>
      <w:tr w:rsidR="000C2202" w14:paraId="1D15E3DD" w14:textId="77777777">
        <w:trPr>
          <w:jc w:val="center"/>
        </w:trPr>
        <w:tc>
          <w:tcPr>
            <w:tcW w:w="287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1A62399D" w14:textId="77777777" w:rsidR="000C2202" w:rsidRDefault="00DA46A9">
            <w:pPr>
              <w:spacing w:before="40" w:after="40" w:line="360" w:lineRule="auto"/>
              <w:jc w:val="both"/>
            </w:pPr>
            <w:r>
              <w:rPr>
                <w:rFonts w:ascii="Arial" w:eastAsia="Arial" w:hAnsi="Arial"/>
                <w:b/>
                <w:color w:val="000000"/>
                <w:kern w:val="0"/>
                <w:sz w:val="20"/>
              </w:rPr>
              <w:t>Use of Generative AI</w:t>
            </w:r>
          </w:p>
        </w:tc>
        <w:tc>
          <w:tcPr>
            <w:tcW w:w="632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5490371" w14:textId="77777777" w:rsidR="000C2202" w:rsidRDefault="00DA46A9">
            <w:pPr>
              <w:spacing w:before="40" w:after="40" w:line="360" w:lineRule="auto"/>
              <w:jc w:val="both"/>
            </w:pPr>
            <w:r>
              <w:rPr>
                <w:rFonts w:ascii="Arial" w:eastAsia="Arial" w:hAnsi="Arial"/>
                <w:color w:val="000000"/>
                <w:kern w:val="0"/>
                <w:sz w:val="20"/>
              </w:rPr>
              <w:t>Within the module’s Category B permissions: research support, structural planning, proofreading, creative materials permitted; writing text for submission and programming code not permitted.</w:t>
            </w:r>
          </w:p>
        </w:tc>
      </w:tr>
      <w:tr w:rsidR="000C2202" w14:paraId="663D55CC" w14:textId="77777777">
        <w:trPr>
          <w:jc w:val="center"/>
        </w:trPr>
        <w:tc>
          <w:tcPr>
            <w:tcW w:w="2875" w:type="dxa"/>
            <w:tcBorders>
              <w:top w:val="single" w:sz="4" w:space="0" w:color="000000"/>
              <w:left w:val="single" w:sz="4" w:space="0" w:color="000000"/>
              <w:bottom w:val="single" w:sz="4" w:space="0" w:color="000000"/>
              <w:right w:val="single" w:sz="4" w:space="0" w:color="000000"/>
            </w:tcBorders>
            <w:shd w:val="clear" w:color="auto" w:fill="DEEAF6"/>
            <w:tcMar>
              <w:top w:w="60" w:type="dxa"/>
              <w:left w:w="100" w:type="dxa"/>
              <w:bottom w:w="60" w:type="dxa"/>
              <w:right w:w="100" w:type="dxa"/>
            </w:tcMar>
            <w:vAlign w:val="center"/>
          </w:tcPr>
          <w:p w14:paraId="6BD358A5" w14:textId="77777777" w:rsidR="000C2202" w:rsidRDefault="00DA46A9">
            <w:pPr>
              <w:spacing w:before="40" w:after="40" w:line="360" w:lineRule="auto"/>
              <w:jc w:val="both"/>
            </w:pPr>
            <w:r>
              <w:rPr>
                <w:rFonts w:ascii="Arial" w:eastAsia="Arial" w:hAnsi="Arial"/>
                <w:b/>
                <w:color w:val="000000"/>
                <w:kern w:val="0"/>
                <w:sz w:val="20"/>
              </w:rPr>
              <w:t>Risk classification</w:t>
            </w:r>
          </w:p>
        </w:tc>
        <w:tc>
          <w:tcPr>
            <w:tcW w:w="6325"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5FC9719" w14:textId="77777777" w:rsidR="000C2202" w:rsidRDefault="00DA46A9">
            <w:pPr>
              <w:spacing w:before="40" w:after="40" w:line="360" w:lineRule="auto"/>
              <w:jc w:val="both"/>
            </w:pPr>
            <w:r>
              <w:rPr>
                <w:rFonts w:ascii="Arial" w:eastAsia="Arial" w:hAnsi="Arial"/>
                <w:color w:val="000000"/>
                <w:kern w:val="0"/>
                <w:sz w:val="20"/>
              </w:rPr>
              <w:t>Low-risk under the UWTSD ethics policy. No requirement for a full ethics-committee submission for this dissertation.</w:t>
            </w:r>
          </w:p>
        </w:tc>
      </w:tr>
    </w:tbl>
    <w:p w14:paraId="5A116A65" w14:textId="77777777" w:rsidR="000C2202" w:rsidRDefault="000C2202"/>
    <w:sectPr w:rsidR="000C220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CF1332F" w14:textId="77777777" w:rsidR="00DA46A9" w:rsidRDefault="00DA46A9">
      <w:pPr>
        <w:spacing w:after="0" w:line="240" w:lineRule="auto"/>
      </w:pPr>
      <w:r>
        <w:separator/>
      </w:r>
    </w:p>
  </w:endnote>
  <w:endnote w:type="continuationSeparator" w:id="0">
    <w:p w14:paraId="396FF98D" w14:textId="77777777" w:rsidR="00DA46A9" w:rsidRDefault="00DA46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w:panose1 w:val="020B0604020202020204"/>
    <w:charset w:val="00"/>
    <w:family w:val="auto"/>
    <w:pitch w:val="variable"/>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B495C69" w14:textId="77777777" w:rsidR="00DA46A9" w:rsidRDefault="00DA46A9">
      <w:pPr>
        <w:spacing w:after="0" w:line="240" w:lineRule="auto"/>
      </w:pPr>
      <w:r>
        <w:rPr>
          <w:color w:val="000000"/>
        </w:rPr>
        <w:separator/>
      </w:r>
    </w:p>
  </w:footnote>
  <w:footnote w:type="continuationSeparator" w:id="0">
    <w:p w14:paraId="56C5D0F1" w14:textId="77777777" w:rsidR="00DA46A9" w:rsidRDefault="00DA46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FA4497D"/>
    <w:multiLevelType w:val="multilevel"/>
    <w:tmpl w:val="1CAA0396"/>
    <w:styleLink w:val="LFO7"/>
    <w:lvl w:ilvl="0">
      <w:start w:val="1"/>
      <w:numFmt w:val="decimal"/>
      <w:pStyle w:val="ListNumber31"/>
      <w:lvlText w:val="%1."/>
      <w:lvlJc w:val="left"/>
      <w:pPr>
        <w:ind w:left="108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 w15:restartNumberingAfterBreak="0">
    <w:nsid w:val="409309BA"/>
    <w:multiLevelType w:val="multilevel"/>
    <w:tmpl w:val="D17656CA"/>
    <w:styleLink w:val="LFO3"/>
    <w:lvl w:ilvl="0">
      <w:numFmt w:val="bullet"/>
      <w:pStyle w:val="ListBullet31"/>
      <w:lvlText w:val=""/>
      <w:lvlJc w:val="left"/>
      <w:pPr>
        <w:ind w:left="1080" w:hanging="36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2" w15:restartNumberingAfterBreak="0">
    <w:nsid w:val="422B3E98"/>
    <w:multiLevelType w:val="multilevel"/>
    <w:tmpl w:val="1C5A09A4"/>
    <w:styleLink w:val="LFO6"/>
    <w:lvl w:ilvl="0">
      <w:start w:val="1"/>
      <w:numFmt w:val="decimal"/>
      <w:pStyle w:val="ListNumber21"/>
      <w:lvlText w:val="%1."/>
      <w:lvlJc w:val="left"/>
      <w:pPr>
        <w:ind w:left="72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3" w15:restartNumberingAfterBreak="0">
    <w:nsid w:val="74036FF0"/>
    <w:multiLevelType w:val="multilevel"/>
    <w:tmpl w:val="55B678DC"/>
    <w:styleLink w:val="LFO5"/>
    <w:lvl w:ilvl="0">
      <w:start w:val="1"/>
      <w:numFmt w:val="decimal"/>
      <w:pStyle w:val="ListNumber1"/>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4" w15:restartNumberingAfterBreak="0">
    <w:nsid w:val="743B52E0"/>
    <w:multiLevelType w:val="multilevel"/>
    <w:tmpl w:val="2F8C9856"/>
    <w:styleLink w:val="LFO2"/>
    <w:lvl w:ilvl="0">
      <w:numFmt w:val="bullet"/>
      <w:pStyle w:val="ListBullet21"/>
      <w:lvlText w:val=""/>
      <w:lvlJc w:val="left"/>
      <w:pPr>
        <w:ind w:left="720" w:hanging="36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5" w15:restartNumberingAfterBreak="0">
    <w:nsid w:val="756D1DF3"/>
    <w:multiLevelType w:val="multilevel"/>
    <w:tmpl w:val="78FE400A"/>
    <w:styleLink w:val="LFO1"/>
    <w:lvl w:ilvl="0">
      <w:numFmt w:val="bullet"/>
      <w:pStyle w:val="ListBullet1"/>
      <w:lvlText w:val=""/>
      <w:lvlJc w:val="left"/>
      <w:pPr>
        <w:ind w:left="360" w:hanging="36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num w:numId="1" w16cid:durableId="317534790">
    <w:abstractNumId w:val="5"/>
  </w:num>
  <w:num w:numId="2" w16cid:durableId="1256862314">
    <w:abstractNumId w:val="4"/>
  </w:num>
  <w:num w:numId="3" w16cid:durableId="1877884424">
    <w:abstractNumId w:val="1"/>
  </w:num>
  <w:num w:numId="4" w16cid:durableId="352071127">
    <w:abstractNumId w:val="3"/>
  </w:num>
  <w:num w:numId="5" w16cid:durableId="261841055">
    <w:abstractNumId w:val="2"/>
  </w:num>
  <w:num w:numId="6" w16cid:durableId="14281502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autoHyphenation/>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202"/>
    <w:rsid w:val="000C2202"/>
    <w:rsid w:val="00453E9A"/>
    <w:rsid w:val="00BA4061"/>
    <w:rsid w:val="00CB118E"/>
    <w:rsid w:val="00DA46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8DB9BBE"/>
  <w15:docId w15:val="{845256DB-67F4-48EB-ACA8-FBE6C8E15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pPr>
      <w:suppressAutoHyphens/>
    </w:pPr>
  </w:style>
  <w:style w:type="paragraph" w:styleId="Titolo1">
    <w:name w:val="heading 1"/>
    <w:basedOn w:val="Normale"/>
    <w:next w:val="Normale"/>
    <w:uiPriority w:val="9"/>
    <w:qFormat/>
    <w:pPr>
      <w:keepNext/>
      <w:keepLines/>
      <w:spacing w:before="360" w:after="80"/>
      <w:outlineLvl w:val="0"/>
    </w:pPr>
    <w:rPr>
      <w:rFonts w:ascii="Aptos Display" w:eastAsia="Times New Roman" w:hAnsi="Aptos Display"/>
      <w:color w:val="0F4761"/>
      <w:sz w:val="40"/>
      <w:szCs w:val="40"/>
    </w:rPr>
  </w:style>
  <w:style w:type="paragraph" w:styleId="Titolo2">
    <w:name w:val="heading 2"/>
    <w:basedOn w:val="Normale"/>
    <w:next w:val="Normale"/>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Titolo3">
    <w:name w:val="heading 3"/>
    <w:basedOn w:val="Normale"/>
    <w:next w:val="Normale"/>
    <w:uiPriority w:val="9"/>
    <w:semiHidden/>
    <w:unhideWhenUsed/>
    <w:qFormat/>
    <w:pPr>
      <w:keepNext/>
      <w:keepLines/>
      <w:spacing w:before="160" w:after="80"/>
      <w:outlineLvl w:val="2"/>
    </w:pPr>
    <w:rPr>
      <w:rFonts w:eastAsia="Times New Roman"/>
      <w:color w:val="0F4761"/>
      <w:sz w:val="28"/>
      <w:szCs w:val="28"/>
    </w:rPr>
  </w:style>
  <w:style w:type="paragraph" w:styleId="Titolo4">
    <w:name w:val="heading 4"/>
    <w:basedOn w:val="Normale"/>
    <w:next w:val="Normale"/>
    <w:uiPriority w:val="9"/>
    <w:semiHidden/>
    <w:unhideWhenUsed/>
    <w:qFormat/>
    <w:pPr>
      <w:keepNext/>
      <w:keepLines/>
      <w:spacing w:before="80" w:after="40"/>
      <w:outlineLvl w:val="3"/>
    </w:pPr>
    <w:rPr>
      <w:rFonts w:eastAsia="Times New Roman"/>
      <w:i/>
      <w:iCs/>
      <w:color w:val="0F4761"/>
    </w:rPr>
  </w:style>
  <w:style w:type="paragraph" w:styleId="Titolo5">
    <w:name w:val="heading 5"/>
    <w:basedOn w:val="Normale"/>
    <w:next w:val="Normale"/>
    <w:uiPriority w:val="9"/>
    <w:semiHidden/>
    <w:unhideWhenUsed/>
    <w:qFormat/>
    <w:pPr>
      <w:keepNext/>
      <w:keepLines/>
      <w:spacing w:before="80" w:after="40"/>
      <w:outlineLvl w:val="4"/>
    </w:pPr>
    <w:rPr>
      <w:rFonts w:eastAsia="Times New Roman"/>
      <w:color w:val="0F4761"/>
    </w:rPr>
  </w:style>
  <w:style w:type="paragraph" w:styleId="Titolo6">
    <w:name w:val="heading 6"/>
    <w:basedOn w:val="Normale"/>
    <w:next w:val="Normale"/>
    <w:uiPriority w:val="9"/>
    <w:semiHidden/>
    <w:unhideWhenUsed/>
    <w:qFormat/>
    <w:pPr>
      <w:keepNext/>
      <w:keepLines/>
      <w:spacing w:before="40" w:after="0"/>
      <w:outlineLvl w:val="5"/>
    </w:pPr>
    <w:rPr>
      <w:rFonts w:eastAsia="Times New Roman"/>
      <w:i/>
      <w:iCs/>
      <w:color w:val="595959"/>
    </w:rPr>
  </w:style>
  <w:style w:type="paragraph" w:styleId="Titolo7">
    <w:name w:val="heading 7"/>
    <w:basedOn w:val="Normale"/>
    <w:next w:val="Normale"/>
    <w:pPr>
      <w:keepNext/>
      <w:keepLines/>
      <w:spacing w:before="40" w:after="0"/>
      <w:outlineLvl w:val="6"/>
    </w:pPr>
    <w:rPr>
      <w:rFonts w:eastAsia="Times New Roman"/>
      <w:color w:val="595959"/>
    </w:rPr>
  </w:style>
  <w:style w:type="paragraph" w:styleId="Titolo8">
    <w:name w:val="heading 8"/>
    <w:basedOn w:val="Normale"/>
    <w:next w:val="Normale"/>
    <w:pPr>
      <w:keepNext/>
      <w:keepLines/>
      <w:spacing w:after="0"/>
      <w:outlineLvl w:val="7"/>
    </w:pPr>
    <w:rPr>
      <w:rFonts w:eastAsia="Times New Roman"/>
      <w:i/>
      <w:iCs/>
      <w:color w:val="272727"/>
    </w:rPr>
  </w:style>
  <w:style w:type="paragraph" w:styleId="Titolo9">
    <w:name w:val="heading 9"/>
    <w:basedOn w:val="Normale"/>
    <w:next w:val="Normale"/>
    <w:pPr>
      <w:keepNext/>
      <w:keepLines/>
      <w:spacing w:after="0"/>
      <w:outlineLvl w:val="8"/>
    </w:pPr>
    <w:rPr>
      <w:rFonts w:eastAsia="Times New Roman"/>
      <w:color w:val="272727"/>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Heading1Char">
    <w:name w:val="Heading 1 Char"/>
    <w:basedOn w:val="Carpredefinitoparagrafo"/>
    <w:rPr>
      <w:rFonts w:ascii="Aptos Display" w:eastAsia="Times New Roman" w:hAnsi="Aptos Display" w:cs="Times New Roman"/>
      <w:color w:val="0F4761"/>
      <w:sz w:val="40"/>
      <w:szCs w:val="40"/>
    </w:rPr>
  </w:style>
  <w:style w:type="character" w:customStyle="1" w:styleId="Heading2Char">
    <w:name w:val="Heading 2 Char"/>
    <w:basedOn w:val="Carpredefinitoparagrafo"/>
    <w:rPr>
      <w:rFonts w:ascii="Aptos Display" w:eastAsia="Times New Roman" w:hAnsi="Aptos Display" w:cs="Times New Roman"/>
      <w:color w:val="0F4761"/>
      <w:sz w:val="32"/>
      <w:szCs w:val="32"/>
    </w:rPr>
  </w:style>
  <w:style w:type="character" w:customStyle="1" w:styleId="Heading3Char">
    <w:name w:val="Heading 3 Char"/>
    <w:basedOn w:val="Carpredefinitoparagrafo"/>
    <w:rPr>
      <w:rFonts w:eastAsia="Times New Roman" w:cs="Times New Roman"/>
      <w:color w:val="0F4761"/>
      <w:sz w:val="28"/>
      <w:szCs w:val="28"/>
    </w:rPr>
  </w:style>
  <w:style w:type="character" w:customStyle="1" w:styleId="Heading4Char">
    <w:name w:val="Heading 4 Char"/>
    <w:basedOn w:val="Carpredefinitoparagrafo"/>
    <w:rPr>
      <w:rFonts w:eastAsia="Times New Roman" w:cs="Times New Roman"/>
      <w:i/>
      <w:iCs/>
      <w:color w:val="0F4761"/>
    </w:rPr>
  </w:style>
  <w:style w:type="character" w:customStyle="1" w:styleId="Heading5Char">
    <w:name w:val="Heading 5 Char"/>
    <w:basedOn w:val="Carpredefinitoparagrafo"/>
    <w:rPr>
      <w:rFonts w:eastAsia="Times New Roman" w:cs="Times New Roman"/>
      <w:color w:val="0F4761"/>
    </w:rPr>
  </w:style>
  <w:style w:type="character" w:customStyle="1" w:styleId="Heading6Char">
    <w:name w:val="Heading 6 Char"/>
    <w:basedOn w:val="Carpredefinitoparagrafo"/>
    <w:rPr>
      <w:rFonts w:eastAsia="Times New Roman" w:cs="Times New Roman"/>
      <w:i/>
      <w:iCs/>
      <w:color w:val="595959"/>
    </w:rPr>
  </w:style>
  <w:style w:type="character" w:customStyle="1" w:styleId="Heading7Char">
    <w:name w:val="Heading 7 Char"/>
    <w:basedOn w:val="Carpredefinitoparagrafo"/>
    <w:rPr>
      <w:rFonts w:eastAsia="Times New Roman" w:cs="Times New Roman"/>
      <w:color w:val="595959"/>
    </w:rPr>
  </w:style>
  <w:style w:type="character" w:customStyle="1" w:styleId="Heading8Char">
    <w:name w:val="Heading 8 Char"/>
    <w:basedOn w:val="Carpredefinitoparagrafo"/>
    <w:rPr>
      <w:rFonts w:eastAsia="Times New Roman" w:cs="Times New Roman"/>
      <w:i/>
      <w:iCs/>
      <w:color w:val="272727"/>
    </w:rPr>
  </w:style>
  <w:style w:type="character" w:customStyle="1" w:styleId="Heading9Char">
    <w:name w:val="Heading 9 Char"/>
    <w:basedOn w:val="Carpredefinitoparagrafo"/>
    <w:rPr>
      <w:rFonts w:eastAsia="Times New Roman" w:cs="Times New Roman"/>
      <w:color w:val="272727"/>
    </w:rPr>
  </w:style>
  <w:style w:type="paragraph" w:styleId="Titolo">
    <w:name w:val="Title"/>
    <w:basedOn w:val="Normale"/>
    <w:next w:val="Normale"/>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Carpredefinitoparagrafo"/>
    <w:rPr>
      <w:rFonts w:ascii="Aptos Display" w:eastAsia="Times New Roman" w:hAnsi="Aptos Display" w:cs="Times New Roman"/>
      <w:spacing w:val="-10"/>
      <w:kern w:val="3"/>
      <w:sz w:val="56"/>
      <w:szCs w:val="56"/>
    </w:rPr>
  </w:style>
  <w:style w:type="paragraph" w:styleId="Sottotitolo">
    <w:name w:val="Subtitle"/>
    <w:basedOn w:val="Normale"/>
    <w:next w:val="Normale"/>
    <w:uiPriority w:val="11"/>
    <w:qFormat/>
    <w:rPr>
      <w:rFonts w:eastAsia="Times New Roman"/>
      <w:color w:val="595959"/>
      <w:spacing w:val="15"/>
      <w:sz w:val="28"/>
      <w:szCs w:val="28"/>
    </w:rPr>
  </w:style>
  <w:style w:type="character" w:customStyle="1" w:styleId="SubtitleChar">
    <w:name w:val="Subtitle Char"/>
    <w:basedOn w:val="Carpredefinitoparagrafo"/>
    <w:rPr>
      <w:rFonts w:eastAsia="Times New Roman" w:cs="Times New Roman"/>
      <w:color w:val="595959"/>
      <w:spacing w:val="15"/>
      <w:sz w:val="28"/>
      <w:szCs w:val="28"/>
    </w:rPr>
  </w:style>
  <w:style w:type="paragraph" w:styleId="Citazione">
    <w:name w:val="Quote"/>
    <w:basedOn w:val="Normale"/>
    <w:next w:val="Normale"/>
    <w:pPr>
      <w:spacing w:before="160"/>
      <w:jc w:val="center"/>
    </w:pPr>
    <w:rPr>
      <w:i/>
      <w:iCs/>
      <w:color w:val="404040"/>
    </w:rPr>
  </w:style>
  <w:style w:type="character" w:customStyle="1" w:styleId="QuoteChar">
    <w:name w:val="Quote Char"/>
    <w:basedOn w:val="Carpredefinitoparagrafo"/>
    <w:rPr>
      <w:i/>
      <w:iCs/>
      <w:color w:val="404040"/>
    </w:rPr>
  </w:style>
  <w:style w:type="paragraph" w:styleId="Paragrafoelenco">
    <w:name w:val="List Paragraph"/>
    <w:basedOn w:val="Normale"/>
    <w:pPr>
      <w:ind w:left="720"/>
    </w:pPr>
  </w:style>
  <w:style w:type="character" w:styleId="Enfasiintensa">
    <w:name w:val="Intense Emphasis"/>
    <w:basedOn w:val="Carpredefinitoparagrafo"/>
    <w:rPr>
      <w:i/>
      <w:iCs/>
      <w:color w:val="0F4761"/>
    </w:rPr>
  </w:style>
  <w:style w:type="paragraph" w:styleId="Citazioneintensa">
    <w:name w:val="Intense Quote"/>
    <w:basedOn w:val="Normale"/>
    <w:next w:val="Normale"/>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Carpredefinitoparagrafo"/>
    <w:rPr>
      <w:i/>
      <w:iCs/>
      <w:color w:val="0F4761"/>
    </w:rPr>
  </w:style>
  <w:style w:type="character" w:styleId="Riferimentointenso">
    <w:name w:val="Intense Reference"/>
    <w:basedOn w:val="Carpredefinitoparagrafo"/>
    <w:rPr>
      <w:b/>
      <w:bCs/>
      <w:smallCaps/>
      <w:color w:val="0F4761"/>
      <w:spacing w:val="5"/>
    </w:rPr>
  </w:style>
  <w:style w:type="paragraph" w:customStyle="1" w:styleId="Header1">
    <w:name w:val="Header1"/>
    <w:basedOn w:val="Normale"/>
    <w:next w:val="Intestazione"/>
    <w:pPr>
      <w:tabs>
        <w:tab w:val="center" w:pos="4680"/>
        <w:tab w:val="right" w:pos="9360"/>
      </w:tabs>
      <w:spacing w:after="0" w:line="240" w:lineRule="auto"/>
    </w:pPr>
    <w:rPr>
      <w:rFonts w:ascii="Arial" w:eastAsia="Arial" w:hAnsi="Arial"/>
    </w:rPr>
  </w:style>
  <w:style w:type="character" w:customStyle="1" w:styleId="HeaderChar">
    <w:name w:val="Header Char"/>
    <w:basedOn w:val="Carpredefinitoparagrafo"/>
    <w:rPr>
      <w:rFonts w:ascii="Arial" w:eastAsia="Arial" w:hAnsi="Arial"/>
      <w:sz w:val="24"/>
    </w:rPr>
  </w:style>
  <w:style w:type="paragraph" w:customStyle="1" w:styleId="Footer1">
    <w:name w:val="Footer1"/>
    <w:basedOn w:val="Normale"/>
    <w:next w:val="Pidipagina"/>
    <w:pPr>
      <w:tabs>
        <w:tab w:val="center" w:pos="4680"/>
        <w:tab w:val="right" w:pos="9360"/>
      </w:tabs>
      <w:spacing w:after="0" w:line="240" w:lineRule="auto"/>
    </w:pPr>
    <w:rPr>
      <w:rFonts w:ascii="Arial" w:eastAsia="Arial" w:hAnsi="Arial"/>
    </w:rPr>
  </w:style>
  <w:style w:type="character" w:customStyle="1" w:styleId="FooterChar">
    <w:name w:val="Footer Char"/>
    <w:basedOn w:val="Carpredefinitoparagrafo"/>
    <w:rPr>
      <w:rFonts w:ascii="Arial" w:eastAsia="Arial" w:hAnsi="Arial"/>
      <w:sz w:val="24"/>
    </w:rPr>
  </w:style>
  <w:style w:type="paragraph" w:customStyle="1" w:styleId="NoSpacing1">
    <w:name w:val="No Spacing1"/>
    <w:next w:val="Nessunaspaziatura"/>
    <w:pPr>
      <w:suppressAutoHyphens/>
      <w:spacing w:after="0" w:line="240" w:lineRule="auto"/>
    </w:pPr>
    <w:rPr>
      <w:rFonts w:eastAsia="MS Mincho"/>
      <w:kern w:val="0"/>
      <w:sz w:val="22"/>
      <w:szCs w:val="22"/>
      <w:lang w:val="en-US"/>
    </w:rPr>
  </w:style>
  <w:style w:type="paragraph" w:customStyle="1" w:styleId="BodyText1">
    <w:name w:val="Body Text1"/>
    <w:basedOn w:val="Normale"/>
    <w:next w:val="Corpotesto"/>
    <w:pPr>
      <w:spacing w:after="120" w:line="360" w:lineRule="auto"/>
    </w:pPr>
    <w:rPr>
      <w:rFonts w:ascii="Arial" w:eastAsia="Arial" w:hAnsi="Arial"/>
    </w:rPr>
  </w:style>
  <w:style w:type="character" w:customStyle="1" w:styleId="BodyTextChar">
    <w:name w:val="Body Text Char"/>
    <w:basedOn w:val="Carpredefinitoparagrafo"/>
    <w:rPr>
      <w:rFonts w:ascii="Arial" w:eastAsia="Arial" w:hAnsi="Arial"/>
      <w:sz w:val="24"/>
    </w:rPr>
  </w:style>
  <w:style w:type="paragraph" w:customStyle="1" w:styleId="BodyText21">
    <w:name w:val="Body Text 21"/>
    <w:basedOn w:val="Normale"/>
    <w:next w:val="Corpodeltesto2"/>
    <w:pPr>
      <w:spacing w:after="120" w:line="480" w:lineRule="auto"/>
    </w:pPr>
    <w:rPr>
      <w:rFonts w:ascii="Arial" w:eastAsia="Arial" w:hAnsi="Arial"/>
    </w:rPr>
  </w:style>
  <w:style w:type="character" w:customStyle="1" w:styleId="BodyText2Char">
    <w:name w:val="Body Text 2 Char"/>
    <w:basedOn w:val="Carpredefinitoparagrafo"/>
    <w:rPr>
      <w:rFonts w:ascii="Arial" w:eastAsia="Arial" w:hAnsi="Arial"/>
      <w:sz w:val="24"/>
    </w:rPr>
  </w:style>
  <w:style w:type="paragraph" w:customStyle="1" w:styleId="BodyText31">
    <w:name w:val="Body Text 31"/>
    <w:basedOn w:val="Normale"/>
    <w:next w:val="Corpodeltesto3"/>
    <w:pPr>
      <w:spacing w:after="120" w:line="360" w:lineRule="auto"/>
    </w:pPr>
    <w:rPr>
      <w:rFonts w:ascii="Arial" w:eastAsia="Arial" w:hAnsi="Arial"/>
      <w:sz w:val="16"/>
      <w:szCs w:val="16"/>
    </w:rPr>
  </w:style>
  <w:style w:type="character" w:customStyle="1" w:styleId="BodyText3Char">
    <w:name w:val="Body Text 3 Char"/>
    <w:basedOn w:val="Carpredefinitoparagrafo"/>
    <w:rPr>
      <w:rFonts w:ascii="Arial" w:eastAsia="Arial" w:hAnsi="Arial"/>
      <w:sz w:val="16"/>
      <w:szCs w:val="16"/>
    </w:rPr>
  </w:style>
  <w:style w:type="paragraph" w:customStyle="1" w:styleId="List1">
    <w:name w:val="List1"/>
    <w:basedOn w:val="Normale"/>
    <w:next w:val="Elenco"/>
    <w:pPr>
      <w:spacing w:after="120" w:line="360" w:lineRule="auto"/>
      <w:ind w:left="360" w:hanging="360"/>
    </w:pPr>
    <w:rPr>
      <w:rFonts w:ascii="Arial" w:eastAsia="Arial" w:hAnsi="Arial"/>
      <w:kern w:val="0"/>
      <w:szCs w:val="22"/>
      <w:lang w:val="en-US"/>
    </w:rPr>
  </w:style>
  <w:style w:type="paragraph" w:customStyle="1" w:styleId="List21">
    <w:name w:val="List 21"/>
    <w:basedOn w:val="Normale"/>
    <w:next w:val="Elenco2"/>
    <w:pPr>
      <w:spacing w:after="120" w:line="360" w:lineRule="auto"/>
      <w:ind w:left="720" w:hanging="360"/>
    </w:pPr>
    <w:rPr>
      <w:rFonts w:ascii="Arial" w:eastAsia="Arial" w:hAnsi="Arial"/>
      <w:kern w:val="0"/>
      <w:szCs w:val="22"/>
      <w:lang w:val="en-US"/>
    </w:rPr>
  </w:style>
  <w:style w:type="paragraph" w:customStyle="1" w:styleId="List31">
    <w:name w:val="List 31"/>
    <w:basedOn w:val="Normale"/>
    <w:next w:val="Elenco3"/>
    <w:pPr>
      <w:spacing w:after="120" w:line="360" w:lineRule="auto"/>
      <w:ind w:left="1080" w:hanging="360"/>
    </w:pPr>
    <w:rPr>
      <w:rFonts w:ascii="Arial" w:eastAsia="Arial" w:hAnsi="Arial"/>
      <w:kern w:val="0"/>
      <w:szCs w:val="22"/>
      <w:lang w:val="en-US"/>
    </w:rPr>
  </w:style>
  <w:style w:type="paragraph" w:customStyle="1" w:styleId="ListBullet1">
    <w:name w:val="List Bullet1"/>
    <w:basedOn w:val="Normale"/>
    <w:next w:val="Puntoelenco"/>
    <w:pPr>
      <w:numPr>
        <w:numId w:val="1"/>
      </w:numPr>
      <w:spacing w:after="120" w:line="360" w:lineRule="auto"/>
    </w:pPr>
    <w:rPr>
      <w:rFonts w:ascii="Arial" w:eastAsia="Arial" w:hAnsi="Arial"/>
      <w:kern w:val="0"/>
      <w:szCs w:val="22"/>
      <w:lang w:val="en-US"/>
    </w:rPr>
  </w:style>
  <w:style w:type="paragraph" w:customStyle="1" w:styleId="ListBullet21">
    <w:name w:val="List Bullet 21"/>
    <w:basedOn w:val="Normale"/>
    <w:next w:val="Puntoelenco2"/>
    <w:pPr>
      <w:numPr>
        <w:numId w:val="2"/>
      </w:numPr>
      <w:spacing w:after="120" w:line="360" w:lineRule="auto"/>
    </w:pPr>
    <w:rPr>
      <w:rFonts w:ascii="Arial" w:eastAsia="Arial" w:hAnsi="Arial"/>
      <w:kern w:val="0"/>
      <w:szCs w:val="22"/>
      <w:lang w:val="en-US"/>
    </w:rPr>
  </w:style>
  <w:style w:type="paragraph" w:customStyle="1" w:styleId="ListBullet31">
    <w:name w:val="List Bullet 31"/>
    <w:basedOn w:val="Normale"/>
    <w:next w:val="Puntoelenco3"/>
    <w:pPr>
      <w:numPr>
        <w:numId w:val="3"/>
      </w:numPr>
      <w:spacing w:after="120" w:line="360" w:lineRule="auto"/>
    </w:pPr>
    <w:rPr>
      <w:rFonts w:ascii="Arial" w:eastAsia="Arial" w:hAnsi="Arial"/>
      <w:kern w:val="0"/>
      <w:szCs w:val="22"/>
      <w:lang w:val="en-US"/>
    </w:rPr>
  </w:style>
  <w:style w:type="paragraph" w:customStyle="1" w:styleId="ListNumber1">
    <w:name w:val="List Number1"/>
    <w:basedOn w:val="Normale"/>
    <w:next w:val="Numeroelenco"/>
    <w:pPr>
      <w:numPr>
        <w:numId w:val="4"/>
      </w:numPr>
      <w:spacing w:after="120" w:line="360" w:lineRule="auto"/>
    </w:pPr>
    <w:rPr>
      <w:rFonts w:ascii="Arial" w:eastAsia="Arial" w:hAnsi="Arial"/>
      <w:kern w:val="0"/>
      <w:szCs w:val="22"/>
      <w:lang w:val="en-US"/>
    </w:rPr>
  </w:style>
  <w:style w:type="paragraph" w:customStyle="1" w:styleId="ListNumber21">
    <w:name w:val="List Number 21"/>
    <w:basedOn w:val="Normale"/>
    <w:next w:val="Numeroelenco2"/>
    <w:pPr>
      <w:numPr>
        <w:numId w:val="5"/>
      </w:numPr>
      <w:spacing w:after="120" w:line="360" w:lineRule="auto"/>
    </w:pPr>
    <w:rPr>
      <w:rFonts w:ascii="Arial" w:eastAsia="Arial" w:hAnsi="Arial"/>
      <w:kern w:val="0"/>
      <w:szCs w:val="22"/>
      <w:lang w:val="en-US"/>
    </w:rPr>
  </w:style>
  <w:style w:type="paragraph" w:customStyle="1" w:styleId="ListNumber31">
    <w:name w:val="List Number 31"/>
    <w:basedOn w:val="Normale"/>
    <w:next w:val="Numeroelenco3"/>
    <w:pPr>
      <w:numPr>
        <w:numId w:val="6"/>
      </w:numPr>
      <w:spacing w:after="120" w:line="360" w:lineRule="auto"/>
    </w:pPr>
    <w:rPr>
      <w:rFonts w:ascii="Arial" w:eastAsia="Arial" w:hAnsi="Arial"/>
      <w:kern w:val="0"/>
      <w:szCs w:val="22"/>
      <w:lang w:val="en-US"/>
    </w:rPr>
  </w:style>
  <w:style w:type="paragraph" w:customStyle="1" w:styleId="ListContinue1">
    <w:name w:val="List Continue1"/>
    <w:basedOn w:val="Normale"/>
    <w:next w:val="Elencocontinua"/>
    <w:pPr>
      <w:spacing w:after="120" w:line="360" w:lineRule="auto"/>
      <w:ind w:left="360"/>
    </w:pPr>
    <w:rPr>
      <w:rFonts w:ascii="Arial" w:eastAsia="Arial" w:hAnsi="Arial"/>
      <w:kern w:val="0"/>
      <w:szCs w:val="22"/>
      <w:lang w:val="en-US"/>
    </w:rPr>
  </w:style>
  <w:style w:type="paragraph" w:customStyle="1" w:styleId="ListContinue21">
    <w:name w:val="List Continue 21"/>
    <w:basedOn w:val="Normale"/>
    <w:next w:val="Elencocontinua2"/>
    <w:pPr>
      <w:spacing w:after="120" w:line="360" w:lineRule="auto"/>
      <w:ind w:left="720"/>
    </w:pPr>
    <w:rPr>
      <w:rFonts w:ascii="Arial" w:eastAsia="Arial" w:hAnsi="Arial"/>
      <w:kern w:val="0"/>
      <w:szCs w:val="22"/>
      <w:lang w:val="en-US"/>
    </w:rPr>
  </w:style>
  <w:style w:type="paragraph" w:customStyle="1" w:styleId="ListContinue31">
    <w:name w:val="List Continue 31"/>
    <w:basedOn w:val="Normale"/>
    <w:next w:val="Elencocontinua3"/>
    <w:pPr>
      <w:spacing w:after="120" w:line="360" w:lineRule="auto"/>
      <w:ind w:left="1080"/>
    </w:pPr>
    <w:rPr>
      <w:rFonts w:ascii="Arial" w:eastAsia="Arial" w:hAnsi="Arial"/>
      <w:kern w:val="0"/>
      <w:szCs w:val="22"/>
      <w:lang w:val="en-US"/>
    </w:rPr>
  </w:style>
  <w:style w:type="paragraph" w:customStyle="1" w:styleId="MacroText1">
    <w:name w:val="Macro Text1"/>
    <w:next w:val="Testomacro"/>
    <w:pPr>
      <w:tabs>
        <w:tab w:val="left" w:pos="576"/>
        <w:tab w:val="left" w:pos="1152"/>
        <w:tab w:val="left" w:pos="1728"/>
        <w:tab w:val="left" w:pos="2304"/>
        <w:tab w:val="left" w:pos="2880"/>
        <w:tab w:val="left" w:pos="3456"/>
        <w:tab w:val="left" w:pos="4032"/>
      </w:tabs>
      <w:suppressAutoHyphens/>
      <w:spacing w:after="200"/>
    </w:pPr>
    <w:rPr>
      <w:rFonts w:ascii="Courier" w:hAnsi="Courier"/>
      <w:sz w:val="20"/>
      <w:szCs w:val="20"/>
    </w:rPr>
  </w:style>
  <w:style w:type="character" w:customStyle="1" w:styleId="MacroTextChar">
    <w:name w:val="Macro Text Char"/>
    <w:basedOn w:val="Carpredefinitoparagrafo"/>
    <w:rPr>
      <w:rFonts w:ascii="Courier" w:hAnsi="Courier"/>
      <w:sz w:val="20"/>
      <w:szCs w:val="20"/>
    </w:rPr>
  </w:style>
  <w:style w:type="paragraph" w:customStyle="1" w:styleId="Caption1">
    <w:name w:val="Caption1"/>
    <w:basedOn w:val="Normale"/>
    <w:next w:val="Normale"/>
    <w:pPr>
      <w:spacing w:after="120" w:line="240" w:lineRule="auto"/>
    </w:pPr>
    <w:rPr>
      <w:rFonts w:ascii="Arial" w:eastAsia="Arial" w:hAnsi="Arial"/>
      <w:b/>
      <w:bCs/>
      <w:color w:val="4F81BD"/>
      <w:kern w:val="0"/>
      <w:sz w:val="18"/>
      <w:szCs w:val="18"/>
      <w:lang w:val="en-US"/>
    </w:rPr>
  </w:style>
  <w:style w:type="character" w:styleId="Enfasigrassetto">
    <w:name w:val="Strong"/>
    <w:basedOn w:val="Carpredefinitoparagrafo"/>
    <w:rPr>
      <w:b/>
      <w:bCs/>
    </w:rPr>
  </w:style>
  <w:style w:type="character" w:styleId="Enfasicorsivo">
    <w:name w:val="Emphasis"/>
    <w:basedOn w:val="Carpredefinitoparagrafo"/>
    <w:rPr>
      <w:i/>
      <w:iCs/>
    </w:rPr>
  </w:style>
  <w:style w:type="character" w:customStyle="1" w:styleId="SubtleEmphasis1">
    <w:name w:val="Subtle Emphasis1"/>
    <w:basedOn w:val="Carpredefinitoparagrafo"/>
    <w:rPr>
      <w:i/>
      <w:iCs/>
      <w:color w:val="808080"/>
    </w:rPr>
  </w:style>
  <w:style w:type="character" w:customStyle="1" w:styleId="SubtleReference1">
    <w:name w:val="Subtle Reference1"/>
    <w:basedOn w:val="Carpredefinitoparagrafo"/>
    <w:rPr>
      <w:smallCaps/>
      <w:color w:val="C0504D"/>
      <w:u w:val="single"/>
    </w:rPr>
  </w:style>
  <w:style w:type="character" w:styleId="Titolodellibro">
    <w:name w:val="Book Title"/>
    <w:basedOn w:val="Carpredefinitoparagrafo"/>
    <w:rPr>
      <w:b/>
      <w:bCs/>
      <w:smallCaps/>
      <w:spacing w:val="5"/>
    </w:rPr>
  </w:style>
  <w:style w:type="paragraph" w:customStyle="1" w:styleId="TOCHeading1">
    <w:name w:val="TOC Heading1"/>
    <w:basedOn w:val="Titolo1"/>
    <w:next w:val="Normale"/>
    <w:pPr>
      <w:spacing w:before="480" w:after="0" w:line="360" w:lineRule="auto"/>
      <w:jc w:val="center"/>
    </w:pPr>
    <w:rPr>
      <w:b/>
      <w:bCs/>
      <w:kern w:val="0"/>
      <w:sz w:val="32"/>
      <w:szCs w:val="28"/>
      <w:lang w:val="en-US"/>
    </w:rPr>
  </w:style>
  <w:style w:type="paragraph" w:customStyle="1" w:styleId="TOC11">
    <w:name w:val="TOC 11"/>
    <w:basedOn w:val="Normale"/>
    <w:next w:val="Normale"/>
    <w:autoRedefine/>
    <w:pPr>
      <w:spacing w:after="100" w:line="360" w:lineRule="auto"/>
    </w:pPr>
    <w:rPr>
      <w:rFonts w:ascii="Arial" w:eastAsia="Arial" w:hAnsi="Arial"/>
      <w:kern w:val="0"/>
      <w:szCs w:val="22"/>
      <w:lang w:val="en-US"/>
    </w:rPr>
  </w:style>
  <w:style w:type="paragraph" w:customStyle="1" w:styleId="TOC21">
    <w:name w:val="TOC 21"/>
    <w:basedOn w:val="Normale"/>
    <w:next w:val="Normale"/>
    <w:autoRedefine/>
    <w:pPr>
      <w:spacing w:after="100" w:line="360" w:lineRule="auto"/>
      <w:ind w:left="220"/>
    </w:pPr>
    <w:rPr>
      <w:rFonts w:ascii="Arial" w:eastAsia="Arial" w:hAnsi="Arial"/>
      <w:kern w:val="0"/>
      <w:szCs w:val="22"/>
      <w:lang w:val="en-US"/>
    </w:rPr>
  </w:style>
  <w:style w:type="character" w:customStyle="1" w:styleId="Hyperlink1">
    <w:name w:val="Hyperlink1"/>
    <w:basedOn w:val="Carpredefinitoparagrafo"/>
    <w:rPr>
      <w:color w:val="0000FF"/>
      <w:u w:val="single"/>
    </w:rPr>
  </w:style>
  <w:style w:type="character" w:styleId="Menzionenonrisolta">
    <w:name w:val="Unresolved Mention"/>
    <w:basedOn w:val="Carpredefinitoparagrafo"/>
    <w:rPr>
      <w:color w:val="605E5C"/>
      <w:shd w:val="clear" w:color="auto" w:fill="E1DFDD"/>
    </w:rPr>
  </w:style>
  <w:style w:type="paragraph" w:styleId="Intestazione">
    <w:name w:val="header"/>
    <w:basedOn w:val="Normale"/>
    <w:pPr>
      <w:tabs>
        <w:tab w:val="center" w:pos="4513"/>
        <w:tab w:val="right" w:pos="9026"/>
      </w:tabs>
      <w:spacing w:after="0" w:line="240" w:lineRule="auto"/>
    </w:pPr>
  </w:style>
  <w:style w:type="character" w:customStyle="1" w:styleId="HeaderChar1">
    <w:name w:val="Header Char1"/>
    <w:basedOn w:val="Carpredefinitoparagrafo"/>
  </w:style>
  <w:style w:type="paragraph" w:styleId="Pidipagina">
    <w:name w:val="footer"/>
    <w:basedOn w:val="Normale"/>
    <w:pPr>
      <w:tabs>
        <w:tab w:val="center" w:pos="4513"/>
        <w:tab w:val="right" w:pos="9026"/>
      </w:tabs>
      <w:spacing w:after="0" w:line="240" w:lineRule="auto"/>
    </w:pPr>
  </w:style>
  <w:style w:type="character" w:customStyle="1" w:styleId="FooterChar1">
    <w:name w:val="Footer Char1"/>
    <w:basedOn w:val="Carpredefinitoparagrafo"/>
  </w:style>
  <w:style w:type="paragraph" w:styleId="Nessunaspaziatura">
    <w:name w:val="No Spacing"/>
    <w:pPr>
      <w:suppressAutoHyphens/>
      <w:spacing w:after="0" w:line="240" w:lineRule="auto"/>
    </w:pPr>
  </w:style>
  <w:style w:type="paragraph" w:styleId="Corpotesto">
    <w:name w:val="Body Text"/>
    <w:basedOn w:val="Normale"/>
    <w:pPr>
      <w:spacing w:after="120"/>
    </w:pPr>
  </w:style>
  <w:style w:type="character" w:customStyle="1" w:styleId="BodyTextChar1">
    <w:name w:val="Body Text Char1"/>
    <w:basedOn w:val="Carpredefinitoparagrafo"/>
  </w:style>
  <w:style w:type="paragraph" w:styleId="Corpodeltesto2">
    <w:name w:val="Body Text 2"/>
    <w:basedOn w:val="Normale"/>
    <w:pPr>
      <w:spacing w:after="120" w:line="480" w:lineRule="auto"/>
    </w:pPr>
  </w:style>
  <w:style w:type="character" w:customStyle="1" w:styleId="BodyText2Char1">
    <w:name w:val="Body Text 2 Char1"/>
    <w:basedOn w:val="Carpredefinitoparagrafo"/>
  </w:style>
  <w:style w:type="paragraph" w:styleId="Corpodeltesto3">
    <w:name w:val="Body Text 3"/>
    <w:basedOn w:val="Normale"/>
    <w:pPr>
      <w:spacing w:after="120"/>
    </w:pPr>
    <w:rPr>
      <w:sz w:val="16"/>
      <w:szCs w:val="16"/>
    </w:rPr>
  </w:style>
  <w:style w:type="character" w:customStyle="1" w:styleId="BodyText3Char1">
    <w:name w:val="Body Text 3 Char1"/>
    <w:basedOn w:val="Carpredefinitoparagrafo"/>
    <w:rPr>
      <w:sz w:val="16"/>
      <w:szCs w:val="16"/>
    </w:rPr>
  </w:style>
  <w:style w:type="paragraph" w:styleId="Elenco">
    <w:name w:val="List"/>
    <w:basedOn w:val="Normale"/>
    <w:pPr>
      <w:ind w:left="283" w:hanging="283"/>
    </w:pPr>
  </w:style>
  <w:style w:type="paragraph" w:styleId="Elenco2">
    <w:name w:val="List 2"/>
    <w:basedOn w:val="Normale"/>
    <w:pPr>
      <w:ind w:left="566" w:hanging="283"/>
    </w:pPr>
  </w:style>
  <w:style w:type="paragraph" w:styleId="Elenco3">
    <w:name w:val="List 3"/>
    <w:basedOn w:val="Normale"/>
    <w:pPr>
      <w:ind w:left="849" w:hanging="283"/>
    </w:pPr>
  </w:style>
  <w:style w:type="paragraph" w:styleId="Puntoelenco">
    <w:name w:val="List Bullet"/>
    <w:basedOn w:val="Normale"/>
  </w:style>
  <w:style w:type="paragraph" w:styleId="Puntoelenco2">
    <w:name w:val="List Bullet 2"/>
    <w:basedOn w:val="Normale"/>
  </w:style>
  <w:style w:type="paragraph" w:styleId="Puntoelenco3">
    <w:name w:val="List Bullet 3"/>
    <w:basedOn w:val="Normale"/>
  </w:style>
  <w:style w:type="paragraph" w:styleId="Numeroelenco">
    <w:name w:val="List Number"/>
    <w:basedOn w:val="Normale"/>
  </w:style>
  <w:style w:type="paragraph" w:styleId="Numeroelenco2">
    <w:name w:val="List Number 2"/>
    <w:basedOn w:val="Normale"/>
  </w:style>
  <w:style w:type="paragraph" w:styleId="Numeroelenco3">
    <w:name w:val="List Number 3"/>
    <w:basedOn w:val="Normale"/>
  </w:style>
  <w:style w:type="paragraph" w:styleId="Elencocontinua">
    <w:name w:val="List Continue"/>
    <w:basedOn w:val="Normale"/>
    <w:pPr>
      <w:spacing w:after="120"/>
      <w:ind w:left="283"/>
    </w:pPr>
  </w:style>
  <w:style w:type="paragraph" w:styleId="Elencocontinua2">
    <w:name w:val="List Continue 2"/>
    <w:basedOn w:val="Normale"/>
    <w:pPr>
      <w:spacing w:after="120"/>
      <w:ind w:left="566"/>
    </w:pPr>
  </w:style>
  <w:style w:type="paragraph" w:styleId="Elencocontinua3">
    <w:name w:val="List Continue 3"/>
    <w:basedOn w:val="Normale"/>
    <w:pPr>
      <w:spacing w:after="120"/>
      <w:ind w:left="849"/>
    </w:pPr>
  </w:style>
  <w:style w:type="paragraph" w:styleId="Testomacro">
    <w:name w:val="macro"/>
    <w:pPr>
      <w:tabs>
        <w:tab w:val="left" w:pos="480"/>
        <w:tab w:val="left" w:pos="960"/>
        <w:tab w:val="left" w:pos="1440"/>
        <w:tab w:val="left" w:pos="1920"/>
        <w:tab w:val="left" w:pos="2400"/>
        <w:tab w:val="left" w:pos="2880"/>
        <w:tab w:val="left" w:pos="3360"/>
        <w:tab w:val="left" w:pos="3840"/>
        <w:tab w:val="left" w:pos="4320"/>
      </w:tabs>
      <w:suppressAutoHyphens/>
      <w:spacing w:after="0"/>
    </w:pPr>
    <w:rPr>
      <w:rFonts w:ascii="Consolas" w:hAnsi="Consolas"/>
      <w:sz w:val="20"/>
      <w:szCs w:val="20"/>
    </w:rPr>
  </w:style>
  <w:style w:type="character" w:customStyle="1" w:styleId="MacroTextChar1">
    <w:name w:val="Macro Text Char1"/>
    <w:basedOn w:val="Carpredefinitoparagrafo"/>
    <w:rPr>
      <w:rFonts w:ascii="Consolas" w:hAnsi="Consolas"/>
      <w:sz w:val="20"/>
      <w:szCs w:val="20"/>
    </w:rPr>
  </w:style>
  <w:style w:type="character" w:styleId="Enfasidelicata">
    <w:name w:val="Subtle Emphasis"/>
    <w:basedOn w:val="Carpredefinitoparagrafo"/>
    <w:rPr>
      <w:i/>
      <w:iCs/>
      <w:color w:val="404040"/>
    </w:rPr>
  </w:style>
  <w:style w:type="character" w:styleId="Riferimentodelicato">
    <w:name w:val="Subtle Reference"/>
    <w:basedOn w:val="Carpredefinitoparagrafo"/>
    <w:rPr>
      <w:smallCaps/>
      <w:color w:val="5A5A5A"/>
    </w:rPr>
  </w:style>
  <w:style w:type="character" w:styleId="Collegamentoipertestuale">
    <w:name w:val="Hyperlink"/>
    <w:basedOn w:val="Carpredefinitoparagrafo"/>
    <w:rPr>
      <w:color w:val="467886"/>
      <w:u w:val="single"/>
    </w:rPr>
  </w:style>
  <w:style w:type="numbering" w:customStyle="1" w:styleId="LFO1">
    <w:name w:val="LFO1"/>
    <w:basedOn w:val="Nessunelenco"/>
    <w:pPr>
      <w:numPr>
        <w:numId w:val="1"/>
      </w:numPr>
    </w:pPr>
  </w:style>
  <w:style w:type="numbering" w:customStyle="1" w:styleId="LFO2">
    <w:name w:val="LFO2"/>
    <w:basedOn w:val="Nessunelenco"/>
    <w:pPr>
      <w:numPr>
        <w:numId w:val="2"/>
      </w:numPr>
    </w:pPr>
  </w:style>
  <w:style w:type="numbering" w:customStyle="1" w:styleId="LFO3">
    <w:name w:val="LFO3"/>
    <w:basedOn w:val="Nessunelenco"/>
    <w:pPr>
      <w:numPr>
        <w:numId w:val="3"/>
      </w:numPr>
    </w:pPr>
  </w:style>
  <w:style w:type="numbering" w:customStyle="1" w:styleId="LFO5">
    <w:name w:val="LFO5"/>
    <w:basedOn w:val="Nessunelenco"/>
    <w:pPr>
      <w:numPr>
        <w:numId w:val="4"/>
      </w:numPr>
    </w:pPr>
  </w:style>
  <w:style w:type="numbering" w:customStyle="1" w:styleId="LFO6">
    <w:name w:val="LFO6"/>
    <w:basedOn w:val="Nessunelenco"/>
    <w:pPr>
      <w:numPr>
        <w:numId w:val="5"/>
      </w:numPr>
    </w:pPr>
  </w:style>
  <w:style w:type="numbering" w:customStyle="1" w:styleId="LFO7">
    <w:name w:val="LFO7"/>
    <w:basedOn w:val="Nessunelenco"/>
    <w:pPr>
      <w:numPr>
        <w:numId w:val="6"/>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3.png"/><Relationship Id="rId18" Type="http://schemas.openxmlformats.org/officeDocument/2006/relationships/hyperlink" Target="https://doi.org/10.1080/2159676X.2019.1628806" TargetMode="External"/><Relationship Id="rId26" Type="http://schemas.openxmlformats.org/officeDocument/2006/relationships/hyperlink" Target="https://www.pearson.com/en-gb/subject-catalog/p/research-methods-for-business-students/P200000003553/9781292208787" TargetMode="External"/><Relationship Id="rId3" Type="http://schemas.openxmlformats.org/officeDocument/2006/relationships/settings" Target="settings.xml"/><Relationship Id="rId21" Type="http://schemas.openxmlformats.org/officeDocument/2006/relationships/hyperlink" Target="https://www.kantar.com/uki/campaigns/grocery-market-share?utm_source=chatgpt.com" TargetMode="Externa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hyperlink" Target="https://global.oup.com/ukhe/product/business-research-methods-9780198869443?utm_source=chatgpt.com" TargetMode="External"/><Relationship Id="rId25" Type="http://schemas.openxmlformats.org/officeDocument/2006/relationships/hyperlink" Target="https://www.polarismarketresearch.com/industry-analysis/ai-for-customer-service-market?utm_source=chatgpt.com" TargetMode="External"/><Relationship Id="rId2" Type="http://schemas.openxmlformats.org/officeDocument/2006/relationships/styles" Target="styles.xml"/><Relationship Id="rId16" Type="http://schemas.openxmlformats.org/officeDocument/2006/relationships/hyperlink" Target="https://doi.org/10.1016/j.tele.2020.101473" TargetMode="External"/><Relationship Id="rId20" Type="http://schemas.openxmlformats.org/officeDocument/2006/relationships/hyperlink" Target="https://www.grandviewresearch.com/industry-analysis/chatbot-market?utm_source=chatgpt.com" TargetMode="External"/><Relationship Id="rId29" Type="http://schemas.openxmlformats.org/officeDocument/2006/relationships/hyperlink" Target="https://www.tescoplc.com/tesco-launches-large-scale-colleague-trial-of-new-ai-assistant-designed-to-lighten-the-load-for-customers/?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mordorintelligence.com/industry-reports/global-chatbot-market?utm_source=chatgpt.com" TargetMode="External"/><Relationship Id="rId5" Type="http://schemas.openxmlformats.org/officeDocument/2006/relationships/footnotes" Target="footnotes.xml"/><Relationship Id="rId15" Type="http://schemas.openxmlformats.org/officeDocument/2006/relationships/hyperlink" Target="https://doi.org/10.1007/s12525-020-00414-7" TargetMode="External"/><Relationship Id="rId23" Type="http://schemas.openxmlformats.org/officeDocument/2006/relationships/hyperlink" Target="https://doi.org/10.1080/13683500.2019.1706457" TargetMode="External"/><Relationship Id="rId28" Type="http://schemas.openxmlformats.org/officeDocument/2006/relationships/hyperlink" Target="https://www.statista.com/topics/3807/tesco-plc/" TargetMode="External"/><Relationship Id="rId10" Type="http://schemas.openxmlformats.org/officeDocument/2006/relationships/chart" Target="charts/chart3.xml"/><Relationship Id="rId19" Type="http://schemas.openxmlformats.org/officeDocument/2006/relationships/hyperlink" Target="https://doi.org/10.2307/249008"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5.xml"/><Relationship Id="rId22" Type="http://schemas.openxmlformats.org/officeDocument/2006/relationships/hyperlink" Target="https://uk.sagepub.com/en-gb/eur/naturalistic-inquiry/book842?utm_source=chatgpt.com" TargetMode="External"/><Relationship Id="rId27" Type="http://schemas.openxmlformats.org/officeDocument/2006/relationships/hyperlink" Target="https://doi.org/10.1108/IJQSS-10-2019-0114"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1" i="0" u="none" strike="noStrike" kern="1200" baseline="0">
                <a:solidFill>
                  <a:srgbClr val="1F3864"/>
                </a:solidFill>
                <a:latin typeface="Calibri"/>
              </a:defRPr>
            </a:pPr>
            <a:r>
              <a:rPr lang="en-US" sz="1400" b="1" i="0" u="none" strike="noStrike" kern="1200" cap="none" spc="0" baseline="0">
                <a:solidFill>
                  <a:srgbClr val="1F3864"/>
                </a:solidFill>
                <a:uFillTx/>
                <a:latin typeface="Calibri"/>
              </a:rPr>
              <a:t>Global Chatbot Market Size, 2024–2033 (USD billions)</a:t>
            </a:r>
          </a:p>
        </c:rich>
      </c:tx>
      <c:overlay val="0"/>
      <c:spPr>
        <a:noFill/>
        <a:ln>
          <a:noFill/>
        </a:ln>
      </c:spPr>
    </c:title>
    <c:autoTitleDeleted val="0"/>
    <c:plotArea>
      <c:layout/>
      <c:barChart>
        <c:barDir val="col"/>
        <c:grouping val="clustered"/>
        <c:varyColors val="0"/>
        <c:ser>
          <c:idx val="0"/>
          <c:order val="0"/>
          <c:tx>
            <c:v>Market size (USD billions)</c:v>
          </c:tx>
          <c:spPr>
            <a:solidFill>
              <a:srgbClr val="1F3864"/>
            </a:solidFill>
            <a:ln>
              <a:noFill/>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1F3864"/>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howLeaderLines val="1"/>
              </c:ext>
            </c:extLst>
          </c:dLbls>
          <c:cat>
            <c:numLit>
              <c:formatCode>General</c:formatCode>
              <c:ptCount val="6"/>
              <c:pt idx="0">
                <c:v>2024</c:v>
              </c:pt>
              <c:pt idx="1">
                <c:v>2025</c:v>
              </c:pt>
              <c:pt idx="2">
                <c:v>2026</c:v>
              </c:pt>
              <c:pt idx="3">
                <c:v>2028</c:v>
              </c:pt>
              <c:pt idx="4">
                <c:v>2030</c:v>
              </c:pt>
              <c:pt idx="5">
                <c:v>2033</c:v>
              </c:pt>
            </c:numLit>
          </c:cat>
          <c:val>
            <c:numLit>
              <c:formatCode>General</c:formatCode>
              <c:ptCount val="6"/>
              <c:pt idx="0">
                <c:v>7.76</c:v>
              </c:pt>
              <c:pt idx="1">
                <c:v>9.6</c:v>
              </c:pt>
              <c:pt idx="2">
                <c:v>11.8</c:v>
              </c:pt>
              <c:pt idx="3">
                <c:v>16.899999999999999</c:v>
              </c:pt>
              <c:pt idx="4">
                <c:v>24.2</c:v>
              </c:pt>
              <c:pt idx="5">
                <c:v>41.2</c:v>
              </c:pt>
            </c:numLit>
          </c:val>
          <c:extLst>
            <c:ext xmlns:c16="http://schemas.microsoft.com/office/drawing/2014/chart" uri="{C3380CC4-5D6E-409C-BE32-E72D297353CC}">
              <c16:uniqueId val="{00000000-A36C-412E-B037-97997A7BB71F}"/>
            </c:ext>
          </c:extLst>
        </c:ser>
        <c:dLbls>
          <c:showLegendKey val="0"/>
          <c:showVal val="0"/>
          <c:showCatName val="0"/>
          <c:showSerName val="0"/>
          <c:showPercent val="0"/>
          <c:showBubbleSize val="0"/>
        </c:dLbls>
        <c:gapWidth val="80"/>
        <c:axId val="1321344159"/>
        <c:axId val="1321343679"/>
      </c:barChart>
      <c:valAx>
        <c:axId val="1321343679"/>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1F3864"/>
                    </a:solidFill>
                    <a:latin typeface="Calibri"/>
                  </a:defRPr>
                </a:pPr>
                <a:r>
                  <a:rPr lang="en-US" sz="1000" b="1" i="0" u="none" strike="noStrike" kern="1200" cap="none" spc="0" baseline="0">
                    <a:solidFill>
                      <a:srgbClr val="1F3864"/>
                    </a:solidFill>
                    <a:uFillTx/>
                    <a:latin typeface="Calibri"/>
                  </a:rPr>
                  <a:t>USD billions</a:t>
                </a:r>
              </a:p>
            </c:rich>
          </c:tx>
          <c:overlay val="0"/>
          <c:spPr>
            <a:noFill/>
            <a:ln>
              <a:noFill/>
            </a:ln>
          </c:spPr>
        </c:title>
        <c:numFmt formatCode="0" sourceLinked="0"/>
        <c:majorTickMark val="none"/>
        <c:minorTickMark val="none"/>
        <c:tickLblPos val="nextTo"/>
        <c:spPr>
          <a:no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595959"/>
                </a:solidFill>
                <a:latin typeface="Calibri"/>
              </a:defRPr>
            </a:pPr>
            <a:endParaRPr lang="en-US"/>
          </a:p>
        </c:txPr>
        <c:crossAx val="1321344159"/>
        <c:crosses val="autoZero"/>
        <c:crossBetween val="between"/>
      </c:valAx>
      <c:catAx>
        <c:axId val="1321344159"/>
        <c:scaling>
          <c:orientation val="minMax"/>
        </c:scaling>
        <c:delete val="0"/>
        <c:axPos val="b"/>
        <c:numFmt formatCode="General" sourceLinked="0"/>
        <c:majorTickMark val="none"/>
        <c:minorTickMark val="none"/>
        <c:tickLblPos val="nextTo"/>
        <c:spPr>
          <a:no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595959"/>
                </a:solidFill>
                <a:latin typeface="Calibri"/>
              </a:defRPr>
            </a:pPr>
            <a:endParaRPr lang="en-US"/>
          </a:p>
        </c:txPr>
        <c:crossAx val="1321343679"/>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mbria"/>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1" i="0" u="none" strike="noStrike" kern="1200" baseline="0">
                <a:solidFill>
                  <a:srgbClr val="1F3864"/>
                </a:solidFill>
                <a:latin typeface="Calibri"/>
              </a:defRPr>
            </a:pPr>
            <a:r>
              <a:rPr lang="en-US" sz="1400" b="1" i="0" u="none" strike="noStrike" kern="1200" cap="none" spc="0" baseline="0">
                <a:solidFill>
                  <a:srgbClr val="1F3864"/>
                </a:solidFill>
                <a:uFillTx/>
                <a:latin typeface="Calibri"/>
              </a:rPr>
              <a:t>Planned Source-Type Distribution (n = 75)</a:t>
            </a:r>
          </a:p>
        </c:rich>
      </c:tx>
      <c:overlay val="0"/>
      <c:spPr>
        <a:noFill/>
        <a:ln>
          <a:noFill/>
        </a:ln>
      </c:spPr>
    </c:title>
    <c:autoTitleDeleted val="0"/>
    <c:plotArea>
      <c:layout/>
      <c:barChart>
        <c:barDir val="bar"/>
        <c:grouping val="clustered"/>
        <c:varyColors val="0"/>
        <c:ser>
          <c:idx val="0"/>
          <c:order val="0"/>
          <c:tx>
            <c:v>Planned count</c:v>
          </c:tx>
          <c:spPr>
            <a:solidFill>
              <a:srgbClr val="1F3864"/>
            </a:solidFill>
            <a:ln>
              <a:noFill/>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1F3864"/>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howLeaderLines val="1"/>
              </c:ext>
            </c:extLst>
          </c:dLbls>
          <c:cat>
            <c:strLit>
              <c:ptCount val="5"/>
              <c:pt idx="0">
                <c:v>Peer-reviewed journals (2018-2026)</c:v>
              </c:pt>
              <c:pt idx="1">
                <c:v>Industry / market reports</c:v>
              </c:pt>
              <c:pt idx="2">
                <c:v>Tesco corporate publications</c:v>
              </c:pt>
              <c:pt idx="3">
                <c:v>Customer reviews (Trustpilot / Reevoo)</c:v>
              </c:pt>
              <c:pt idx="4">
                <c:v>Trade press / news</c:v>
              </c:pt>
            </c:strLit>
          </c:cat>
          <c:val>
            <c:numLit>
              <c:formatCode>General</c:formatCode>
              <c:ptCount val="5"/>
              <c:pt idx="0">
                <c:v>26</c:v>
              </c:pt>
              <c:pt idx="1">
                <c:v>8</c:v>
              </c:pt>
              <c:pt idx="2">
                <c:v>6</c:v>
              </c:pt>
              <c:pt idx="3">
                <c:v>30</c:v>
              </c:pt>
              <c:pt idx="4">
                <c:v>5</c:v>
              </c:pt>
            </c:numLit>
          </c:val>
          <c:extLst>
            <c:ext xmlns:c16="http://schemas.microsoft.com/office/drawing/2014/chart" uri="{C3380CC4-5D6E-409C-BE32-E72D297353CC}">
              <c16:uniqueId val="{00000000-E0C9-4FBD-BA84-A58CAE1A8FE9}"/>
            </c:ext>
          </c:extLst>
        </c:ser>
        <c:dLbls>
          <c:showLegendKey val="0"/>
          <c:showVal val="0"/>
          <c:showCatName val="0"/>
          <c:showSerName val="0"/>
          <c:showPercent val="0"/>
          <c:showBubbleSize val="0"/>
        </c:dLbls>
        <c:gapWidth val="80"/>
        <c:axId val="1321342239"/>
        <c:axId val="1321339359"/>
      </c:barChart>
      <c:valAx>
        <c:axId val="1321339359"/>
        <c:scaling>
          <c:orientation val="minMax"/>
        </c:scaling>
        <c:delete val="0"/>
        <c:axPos val="t"/>
        <c:majorGridlines>
          <c:spPr>
            <a:ln w="9528" cap="flat">
              <a:solidFill>
                <a:srgbClr val="D9D9D9"/>
              </a:solidFill>
              <a:prstDash val="solid"/>
              <a:round/>
            </a:ln>
          </c:spPr>
        </c:majorGridlines>
        <c:numFmt formatCode="0" sourceLinked="0"/>
        <c:majorTickMark val="none"/>
        <c:minorTickMark val="none"/>
        <c:tickLblPos val="nextTo"/>
        <c:spPr>
          <a:no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321342239"/>
        <c:crosses val="autoZero"/>
        <c:crossBetween val="between"/>
      </c:valAx>
      <c:catAx>
        <c:axId val="1321342239"/>
        <c:scaling>
          <c:orientation val="maxMin"/>
        </c:scaling>
        <c:delete val="0"/>
        <c:axPos val="l"/>
        <c:numFmt formatCode="General" sourceLinked="0"/>
        <c:majorTickMark val="none"/>
        <c:minorTickMark val="none"/>
        <c:tickLblPos val="nextTo"/>
        <c:spPr>
          <a:no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321339359"/>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mbria"/>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1" i="0" u="none" strike="noStrike" kern="1200" baseline="0">
                <a:solidFill>
                  <a:srgbClr val="1F3864"/>
                </a:solidFill>
                <a:latin typeface="Calibri"/>
              </a:defRPr>
            </a:pPr>
            <a:r>
              <a:rPr lang="en-US" sz="1400" b="1" i="0" u="none" strike="noStrike" kern="1200" cap="none" spc="0" baseline="0">
                <a:solidFill>
                  <a:srgbClr val="1F3864"/>
                </a:solidFill>
                <a:uFillTx/>
                <a:latin typeface="Calibri"/>
              </a:rPr>
              <a:t>Theme Prevalence in the 75-Source Corpus</a:t>
            </a:r>
          </a:p>
        </c:rich>
      </c:tx>
      <c:overlay val="0"/>
      <c:spPr>
        <a:noFill/>
        <a:ln>
          <a:noFill/>
        </a:ln>
      </c:spPr>
    </c:title>
    <c:autoTitleDeleted val="0"/>
    <c:plotArea>
      <c:layout/>
      <c:barChart>
        <c:barDir val="bar"/>
        <c:grouping val="clustered"/>
        <c:varyColors val="0"/>
        <c:ser>
          <c:idx val="0"/>
          <c:order val="0"/>
          <c:tx>
            <c:v>Value</c:v>
          </c:tx>
          <c:spPr>
            <a:solidFill>
              <a:srgbClr val="1F3864"/>
            </a:solidFill>
            <a:ln>
              <a:noFill/>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1F3864"/>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howLeaderLines val="1"/>
              </c:ext>
            </c:extLst>
          </c:dLbls>
          <c:cat>
            <c:strLit>
              <c:ptCount val="5"/>
              <c:pt idx="0">
                <c:v>T1 Response time &amp; 24/7</c:v>
              </c:pt>
              <c:pt idx="1">
                <c:v>T2 Accuracy &amp; query complexity</c:v>
              </c:pt>
              <c:pt idx="2">
                <c:v>T3 Trust &amp; empathy</c:v>
              </c:pt>
              <c:pt idx="3">
                <c:v>T4 Handover friction</c:v>
              </c:pt>
              <c:pt idx="4">
                <c:v>T5 Personalisation &amp; GenAI</c:v>
              </c:pt>
            </c:strLit>
          </c:cat>
          <c:val>
            <c:numLit>
              <c:formatCode>General</c:formatCode>
              <c:ptCount val="5"/>
              <c:pt idx="0">
                <c:v>42</c:v>
              </c:pt>
              <c:pt idx="1">
                <c:v>51</c:v>
              </c:pt>
              <c:pt idx="2">
                <c:v>38</c:v>
              </c:pt>
              <c:pt idx="3">
                <c:v>29</c:v>
              </c:pt>
              <c:pt idx="4">
                <c:v>24</c:v>
              </c:pt>
            </c:numLit>
          </c:val>
          <c:extLst>
            <c:ext xmlns:c16="http://schemas.microsoft.com/office/drawing/2014/chart" uri="{C3380CC4-5D6E-409C-BE32-E72D297353CC}">
              <c16:uniqueId val="{00000000-13E4-4783-A705-AF5B28912741}"/>
            </c:ext>
          </c:extLst>
        </c:ser>
        <c:dLbls>
          <c:showLegendKey val="0"/>
          <c:showVal val="0"/>
          <c:showCatName val="0"/>
          <c:showSerName val="0"/>
          <c:showPercent val="0"/>
          <c:showBubbleSize val="0"/>
        </c:dLbls>
        <c:gapWidth val="80"/>
        <c:axId val="1321337439"/>
        <c:axId val="1321342719"/>
      </c:barChart>
      <c:valAx>
        <c:axId val="1321342719"/>
        <c:scaling>
          <c:orientation val="minMax"/>
        </c:scaling>
        <c:delete val="0"/>
        <c:axPos val="t"/>
        <c:majorGridlines>
          <c:spPr>
            <a:ln w="9528" cap="flat">
              <a:solidFill>
                <a:srgbClr val="D9D9D9"/>
              </a:solidFill>
              <a:prstDash val="solid"/>
              <a:round/>
            </a:ln>
          </c:spPr>
        </c:majorGridlines>
        <c:numFmt formatCode="0.00" sourceLinked="0"/>
        <c:majorTickMark val="none"/>
        <c:minorTickMark val="none"/>
        <c:tickLblPos val="nextTo"/>
        <c:spPr>
          <a:no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321337439"/>
        <c:crosses val="autoZero"/>
        <c:crossBetween val="between"/>
      </c:valAx>
      <c:catAx>
        <c:axId val="1321337439"/>
        <c:scaling>
          <c:orientation val="maxMin"/>
        </c:scaling>
        <c:delete val="0"/>
        <c:axPos val="l"/>
        <c:numFmt formatCode="General" sourceLinked="0"/>
        <c:majorTickMark val="none"/>
        <c:minorTickMark val="none"/>
        <c:tickLblPos val="nextTo"/>
        <c:spPr>
          <a:no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321342719"/>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mbria"/>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1" i="0" u="none" strike="noStrike" kern="1200" baseline="0">
                <a:solidFill>
                  <a:srgbClr val="1F3864"/>
                </a:solidFill>
                <a:latin typeface="Calibri"/>
              </a:defRPr>
            </a:pPr>
            <a:r>
              <a:rPr lang="en-US" sz="1400" b="1" i="0" u="none" strike="noStrike" kern="1200" cap="none" spc="0" baseline="0">
                <a:solidFill>
                  <a:srgbClr val="1F3864"/>
                </a:solidFill>
                <a:uFillTx/>
                <a:latin typeface="Calibri"/>
              </a:rPr>
              <a:t>Net Satisfaction Score by Query Type</a:t>
            </a:r>
          </a:p>
        </c:rich>
      </c:tx>
      <c:overlay val="0"/>
      <c:spPr>
        <a:noFill/>
        <a:ln>
          <a:noFill/>
        </a:ln>
      </c:spPr>
    </c:title>
    <c:autoTitleDeleted val="0"/>
    <c:plotArea>
      <c:layout/>
      <c:barChart>
        <c:barDir val="bar"/>
        <c:grouping val="clustered"/>
        <c:varyColors val="0"/>
        <c:ser>
          <c:idx val="0"/>
          <c:order val="0"/>
          <c:tx>
            <c:v>Value</c:v>
          </c:tx>
          <c:spPr>
            <a:solidFill>
              <a:srgbClr val="1F3864"/>
            </a:solidFill>
            <a:ln>
              <a:noFill/>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1F3864"/>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howLeaderLines val="1"/>
              </c:ext>
            </c:extLst>
          </c:dLbls>
          <c:cat>
            <c:strLit>
              <c:ptCount val="4"/>
              <c:pt idx="0">
                <c:v>Simple informational</c:v>
              </c:pt>
              <c:pt idx="1">
                <c:v>Simple transactional</c:v>
              </c:pt>
              <c:pt idx="2">
                <c:v>Complex transactional</c:v>
              </c:pt>
              <c:pt idx="3">
                <c:v>Complex complaint</c:v>
              </c:pt>
            </c:strLit>
          </c:cat>
          <c:val>
            <c:numLit>
              <c:formatCode>General</c:formatCode>
              <c:ptCount val="4"/>
              <c:pt idx="0">
                <c:v>0.78</c:v>
              </c:pt>
              <c:pt idx="1">
                <c:v>0.55000000000000004</c:v>
              </c:pt>
              <c:pt idx="2">
                <c:v>-0.32</c:v>
              </c:pt>
              <c:pt idx="3">
                <c:v>-0.57999999999999996</c:v>
              </c:pt>
            </c:numLit>
          </c:val>
          <c:extLst>
            <c:ext xmlns:c16="http://schemas.microsoft.com/office/drawing/2014/chart" uri="{C3380CC4-5D6E-409C-BE32-E72D297353CC}">
              <c16:uniqueId val="{00000000-7491-45D7-860F-9A269DB3D524}"/>
            </c:ext>
          </c:extLst>
        </c:ser>
        <c:dLbls>
          <c:showLegendKey val="0"/>
          <c:showVal val="0"/>
          <c:showCatName val="0"/>
          <c:showSerName val="0"/>
          <c:showPercent val="0"/>
          <c:showBubbleSize val="0"/>
        </c:dLbls>
        <c:gapWidth val="80"/>
        <c:axId val="1321050495"/>
        <c:axId val="1321057215"/>
      </c:barChart>
      <c:valAx>
        <c:axId val="1321057215"/>
        <c:scaling>
          <c:orientation val="minMax"/>
        </c:scaling>
        <c:delete val="0"/>
        <c:axPos val="t"/>
        <c:majorGridlines>
          <c:spPr>
            <a:ln w="9528" cap="flat">
              <a:solidFill>
                <a:srgbClr val="D9D9D9"/>
              </a:solidFill>
              <a:prstDash val="solid"/>
              <a:round/>
            </a:ln>
          </c:spPr>
        </c:majorGridlines>
        <c:numFmt formatCode="0.00" sourceLinked="0"/>
        <c:majorTickMark val="none"/>
        <c:minorTickMark val="none"/>
        <c:tickLblPos val="nextTo"/>
        <c:spPr>
          <a:no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321050495"/>
        <c:crosses val="autoZero"/>
        <c:crossBetween val="between"/>
      </c:valAx>
      <c:catAx>
        <c:axId val="1321050495"/>
        <c:scaling>
          <c:orientation val="maxMin"/>
        </c:scaling>
        <c:delete val="0"/>
        <c:axPos val="l"/>
        <c:numFmt formatCode="General" sourceLinked="0"/>
        <c:majorTickMark val="none"/>
        <c:minorTickMark val="none"/>
        <c:tickLblPos val="nextTo"/>
        <c:spPr>
          <a:no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321057215"/>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mbria"/>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1" i="0" u="none" strike="noStrike" kern="1200" baseline="0">
                <a:solidFill>
                  <a:srgbClr val="1F3864"/>
                </a:solidFill>
                <a:latin typeface="Calibri"/>
              </a:defRPr>
            </a:pPr>
            <a:r>
              <a:rPr lang="en-US" sz="1400" b="1" i="0" u="none" strike="noStrike" kern="1200" cap="none" spc="0" baseline="0">
                <a:solidFill>
                  <a:srgbClr val="1F3864"/>
                </a:solidFill>
                <a:uFillTx/>
                <a:latin typeface="Calibri"/>
              </a:rPr>
              <a:t>Sentiment Distribution per Theme (n citations)</a:t>
            </a:r>
          </a:p>
        </c:rich>
      </c:tx>
      <c:overlay val="0"/>
      <c:spPr>
        <a:noFill/>
        <a:ln>
          <a:noFill/>
        </a:ln>
      </c:spPr>
    </c:title>
    <c:autoTitleDeleted val="0"/>
    <c:plotArea>
      <c:layout/>
      <c:barChart>
        <c:barDir val="col"/>
        <c:grouping val="clustered"/>
        <c:varyColors val="0"/>
        <c:ser>
          <c:idx val="0"/>
          <c:order val="0"/>
          <c:tx>
            <c:v>Positive</c:v>
          </c:tx>
          <c:spPr>
            <a:solidFill>
              <a:srgbClr val="1F7A3A"/>
            </a:solidFill>
            <a:ln>
              <a:noFill/>
            </a:ln>
          </c:spPr>
          <c:invertIfNegative val="0"/>
          <c:cat>
            <c:strLit>
              <c:ptCount val="5"/>
              <c:pt idx="0">
                <c:v>T1</c:v>
              </c:pt>
              <c:pt idx="1">
                <c:v>T2</c:v>
              </c:pt>
              <c:pt idx="2">
                <c:v>T3</c:v>
              </c:pt>
              <c:pt idx="3">
                <c:v>T4</c:v>
              </c:pt>
              <c:pt idx="4">
                <c:v>T5</c:v>
              </c:pt>
            </c:strLit>
          </c:cat>
          <c:val>
            <c:numLit>
              <c:formatCode>General</c:formatCode>
              <c:ptCount val="5"/>
              <c:pt idx="0">
                <c:v>26</c:v>
              </c:pt>
              <c:pt idx="1">
                <c:v>20</c:v>
              </c:pt>
              <c:pt idx="2">
                <c:v>14</c:v>
              </c:pt>
              <c:pt idx="3">
                <c:v>4</c:v>
              </c:pt>
              <c:pt idx="4">
                <c:v>14</c:v>
              </c:pt>
            </c:numLit>
          </c:val>
          <c:extLst>
            <c:ext xmlns:c16="http://schemas.microsoft.com/office/drawing/2014/chart" uri="{C3380CC4-5D6E-409C-BE32-E72D297353CC}">
              <c16:uniqueId val="{00000000-C97E-4028-83D2-AF3F6431A993}"/>
            </c:ext>
          </c:extLst>
        </c:ser>
        <c:ser>
          <c:idx val="1"/>
          <c:order val="1"/>
          <c:tx>
            <c:v>Mixed</c:v>
          </c:tx>
          <c:spPr>
            <a:solidFill>
              <a:srgbClr val="BF9000"/>
            </a:solidFill>
            <a:ln>
              <a:noFill/>
            </a:ln>
          </c:spPr>
          <c:invertIfNegative val="0"/>
          <c:cat>
            <c:strLit>
              <c:ptCount val="5"/>
              <c:pt idx="0">
                <c:v>T1</c:v>
              </c:pt>
              <c:pt idx="1">
                <c:v>T2</c:v>
              </c:pt>
              <c:pt idx="2">
                <c:v>T3</c:v>
              </c:pt>
              <c:pt idx="3">
                <c:v>T4</c:v>
              </c:pt>
              <c:pt idx="4">
                <c:v>T5</c:v>
              </c:pt>
            </c:strLit>
          </c:cat>
          <c:val>
            <c:numLit>
              <c:formatCode>General</c:formatCode>
              <c:ptCount val="5"/>
              <c:pt idx="0">
                <c:v>10</c:v>
              </c:pt>
              <c:pt idx="1">
                <c:v>12</c:v>
              </c:pt>
              <c:pt idx="2">
                <c:v>9</c:v>
              </c:pt>
              <c:pt idx="3">
                <c:v>6</c:v>
              </c:pt>
              <c:pt idx="4">
                <c:v>7</c:v>
              </c:pt>
            </c:numLit>
          </c:val>
          <c:extLst>
            <c:ext xmlns:c16="http://schemas.microsoft.com/office/drawing/2014/chart" uri="{C3380CC4-5D6E-409C-BE32-E72D297353CC}">
              <c16:uniqueId val="{00000001-C97E-4028-83D2-AF3F6431A993}"/>
            </c:ext>
          </c:extLst>
        </c:ser>
        <c:ser>
          <c:idx val="2"/>
          <c:order val="2"/>
          <c:tx>
            <c:v>Negative</c:v>
          </c:tx>
          <c:spPr>
            <a:solidFill>
              <a:srgbClr val="C00000"/>
            </a:solidFill>
            <a:ln>
              <a:noFill/>
            </a:ln>
          </c:spPr>
          <c:invertIfNegative val="0"/>
          <c:cat>
            <c:strLit>
              <c:ptCount val="5"/>
              <c:pt idx="0">
                <c:v>T1</c:v>
              </c:pt>
              <c:pt idx="1">
                <c:v>T2</c:v>
              </c:pt>
              <c:pt idx="2">
                <c:v>T3</c:v>
              </c:pt>
              <c:pt idx="3">
                <c:v>T4</c:v>
              </c:pt>
              <c:pt idx="4">
                <c:v>T5</c:v>
              </c:pt>
            </c:strLit>
          </c:cat>
          <c:val>
            <c:numLit>
              <c:formatCode>General</c:formatCode>
              <c:ptCount val="5"/>
              <c:pt idx="0">
                <c:v>6</c:v>
              </c:pt>
              <c:pt idx="1">
                <c:v>19</c:v>
              </c:pt>
              <c:pt idx="2">
                <c:v>15</c:v>
              </c:pt>
              <c:pt idx="3">
                <c:v>19</c:v>
              </c:pt>
              <c:pt idx="4">
                <c:v>3</c:v>
              </c:pt>
            </c:numLit>
          </c:val>
          <c:extLst>
            <c:ext xmlns:c16="http://schemas.microsoft.com/office/drawing/2014/chart" uri="{C3380CC4-5D6E-409C-BE32-E72D297353CC}">
              <c16:uniqueId val="{00000002-C97E-4028-83D2-AF3F6431A993}"/>
            </c:ext>
          </c:extLst>
        </c:ser>
        <c:dLbls>
          <c:showLegendKey val="0"/>
          <c:showVal val="0"/>
          <c:showCatName val="0"/>
          <c:showSerName val="0"/>
          <c:showPercent val="0"/>
          <c:showBubbleSize val="0"/>
        </c:dLbls>
        <c:gapWidth val="80"/>
        <c:axId val="1321050975"/>
        <c:axId val="1321055775"/>
      </c:barChart>
      <c:valAx>
        <c:axId val="1321055775"/>
        <c:scaling>
          <c:orientation val="minMax"/>
        </c:scaling>
        <c:delete val="0"/>
        <c:axPos val="l"/>
        <c:majorGridlines>
          <c:spPr>
            <a:ln w="9528" cap="flat">
              <a:solidFill>
                <a:srgbClr val="D9D9D9"/>
              </a:solidFill>
              <a:prstDash val="solid"/>
              <a:round/>
            </a:ln>
          </c:spPr>
        </c:majorGridlines>
        <c:numFmt formatCode="0" sourceLinked="0"/>
        <c:majorTickMark val="none"/>
        <c:minorTickMark val="none"/>
        <c:tickLblPos val="nextTo"/>
        <c:spPr>
          <a:no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321050975"/>
        <c:crosses val="autoZero"/>
        <c:crossBetween val="between"/>
      </c:valAx>
      <c:catAx>
        <c:axId val="1321050975"/>
        <c:scaling>
          <c:orientation val="minMax"/>
        </c:scaling>
        <c:delete val="0"/>
        <c:axPos val="b"/>
        <c:numFmt formatCode="General" sourceLinked="0"/>
        <c:majorTickMark val="none"/>
        <c:minorTickMark val="none"/>
        <c:tickLblPos val="nextTo"/>
        <c:spPr>
          <a:no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321055775"/>
        <c:crosses val="autoZero"/>
        <c:auto val="1"/>
        <c:lblAlgn val="ctr"/>
        <c:lblOffset val="100"/>
        <c:noMultiLvlLbl val="0"/>
      </c:catAx>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868686"/>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mbria"/>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11375</Words>
  <Characters>64841</Characters>
  <Application>Microsoft Office Word</Application>
  <DocSecurity>0</DocSecurity>
  <Lines>540</Lines>
  <Paragraphs>152</Paragraphs>
  <ScaleCrop>false</ScaleCrop>
  <Company/>
  <LinksUpToDate>false</LinksUpToDate>
  <CharactersWithSpaces>76064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Daniel Roman</dc:creator>
  <dc:description/>
  <cp:lastModifiedBy>Adrian Daniel Roman (2312879)</cp:lastModifiedBy>
  <cp:revision>2</cp:revision>
  <dcterms:created xsi:type="dcterms:W3CDTF">2026-07-25T13:43:00Z</dcterms:created>
  <dcterms:modified xsi:type="dcterms:W3CDTF">2026-07-25T13:43:00Z</dcterms:modified>
</cp:coreProperties>
</file>