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FB567A8">
      <w:pPr>
        <w:spacing w:line="360" w:lineRule="auto"/>
        <w:rPr>
          <w:rFonts w:hint="default" w:ascii="Times New Roman Regular" w:hAnsi="Times New Roman Regular" w:cs="Times New Roman Regular"/>
          <w:lang w:val="en-US" w:eastAsia="zh-CN"/>
        </w:rPr>
      </w:pPr>
    </w:p>
    <w:p w14:paraId="4996A8D4">
      <w:pPr>
        <w:spacing w:line="360" w:lineRule="auto"/>
        <w:rPr>
          <w:rFonts w:hint="default" w:ascii="Times New Roman Regular" w:hAnsi="Times New Roman Regular" w:cs="Times New Roman Regular"/>
          <w:lang w:val="en-US" w:eastAsia="zh-CN"/>
        </w:rPr>
      </w:pPr>
    </w:p>
    <w:p w14:paraId="43666E35">
      <w:pPr>
        <w:spacing w:line="360" w:lineRule="auto"/>
        <w:rPr>
          <w:rFonts w:hint="default" w:ascii="Times New Roman Regular" w:hAnsi="Times New Roman Regular" w:cs="Times New Roman Regular"/>
          <w:lang w:val="en-US" w:eastAsia="zh-CN"/>
        </w:rPr>
      </w:pPr>
    </w:p>
    <w:p w14:paraId="2564D89B">
      <w:pPr>
        <w:spacing w:line="360" w:lineRule="auto"/>
        <w:rPr>
          <w:rFonts w:hint="default" w:ascii="Times New Roman Regular" w:hAnsi="Times New Roman Regular" w:cs="Times New Roman Regular"/>
          <w:lang w:val="en-US" w:eastAsia="zh-CN"/>
        </w:rPr>
      </w:pPr>
    </w:p>
    <w:p w14:paraId="495A9510">
      <w:pPr>
        <w:spacing w:line="360" w:lineRule="auto"/>
        <w:rPr>
          <w:rFonts w:hint="default" w:ascii="Times New Roman Regular" w:hAnsi="Times New Roman Regular" w:cs="Times New Roman Regular"/>
          <w:lang w:val="en-US" w:eastAsia="zh-CN"/>
        </w:rPr>
      </w:pPr>
    </w:p>
    <w:p w14:paraId="32FC7EB3">
      <w:pPr>
        <w:spacing w:line="360" w:lineRule="auto"/>
        <w:rPr>
          <w:rFonts w:hint="default" w:ascii="Times New Roman Regular" w:hAnsi="Times New Roman Regular" w:cs="Times New Roman Regular"/>
          <w:lang w:val="en-US" w:eastAsia="zh-CN"/>
        </w:rPr>
      </w:pPr>
    </w:p>
    <w:p w14:paraId="488E17DC">
      <w:pPr>
        <w:spacing w:line="360" w:lineRule="auto"/>
        <w:rPr>
          <w:rFonts w:hint="default" w:ascii="Times New Roman Regular" w:hAnsi="Times New Roman Regular" w:cs="Times New Roman Regular"/>
          <w:lang w:val="en-US" w:eastAsia="zh-CN"/>
        </w:rPr>
      </w:pPr>
    </w:p>
    <w:p w14:paraId="2D3ED49F">
      <w:pPr>
        <w:spacing w:line="360" w:lineRule="auto"/>
        <w:rPr>
          <w:rFonts w:hint="default" w:ascii="Times New Roman Regular" w:hAnsi="Times New Roman Regular" w:cs="Times New Roman Regular"/>
          <w:lang w:val="en-US" w:eastAsia="zh-CN"/>
        </w:rPr>
      </w:pPr>
    </w:p>
    <w:p w14:paraId="43829A66">
      <w:pPr>
        <w:spacing w:line="360" w:lineRule="auto"/>
        <w:rPr>
          <w:rFonts w:hint="default" w:ascii="Times New Roman Regular" w:hAnsi="Times New Roman Regular" w:cs="Times New Roman Regular"/>
          <w:lang w:val="en-US" w:eastAsia="zh-CN"/>
        </w:rPr>
      </w:pPr>
    </w:p>
    <w:p w14:paraId="2D044DE5">
      <w:pPr>
        <w:spacing w:line="360" w:lineRule="auto"/>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From Vision to Perception: A Creative Path Analysis of Art Therapy Journals for Visually Impaired Individuals</w:t>
      </w:r>
    </w:p>
    <w:p w14:paraId="5A506494">
      <w:pPr>
        <w:spacing w:line="360" w:lineRule="auto"/>
        <w:rPr>
          <w:rFonts w:hint="default" w:ascii="Times New Roman Bold" w:hAnsi="Times New Roman Bold" w:cs="Times New Roman Bold"/>
          <w:b/>
          <w:bCs/>
          <w:lang w:val="en-US" w:eastAsia="zh-CN"/>
        </w:rPr>
      </w:pPr>
    </w:p>
    <w:p w14:paraId="19F64BD8">
      <w:pPr>
        <w:spacing w:line="360" w:lineRule="auto"/>
        <w:rPr>
          <w:rFonts w:hint="default" w:ascii="Times New Roman Regular" w:hAnsi="Times New Roman Regular" w:cs="Times New Roman Regular"/>
          <w:lang w:val="en-US" w:eastAsia="zh-CN"/>
        </w:rPr>
      </w:pPr>
    </w:p>
    <w:p w14:paraId="7F487391">
      <w:pPr>
        <w:spacing w:line="360" w:lineRule="auto"/>
        <w:rPr>
          <w:rFonts w:hint="default" w:ascii="Times New Roman Regular" w:hAnsi="Times New Roman Regular" w:cs="Times New Roman Regular"/>
          <w:lang w:val="en-US" w:eastAsia="zh-CN"/>
        </w:rPr>
      </w:pPr>
    </w:p>
    <w:p w14:paraId="4176F78B">
      <w:pPr>
        <w:spacing w:line="360" w:lineRule="auto"/>
        <w:rPr>
          <w:rFonts w:hint="default" w:ascii="Times New Roman Regular" w:hAnsi="Times New Roman Regular" w:cs="Times New Roman Regular"/>
          <w:lang w:val="en-US" w:eastAsia="zh-CN"/>
        </w:rPr>
      </w:pPr>
    </w:p>
    <w:p w14:paraId="5E35F390">
      <w:pPr>
        <w:spacing w:line="360" w:lineRule="auto"/>
        <w:rPr>
          <w:rFonts w:hint="default" w:ascii="Times New Roman Regular" w:hAnsi="Times New Roman Regular" w:cs="Times New Roman Regular"/>
          <w:lang w:val="en-US" w:eastAsia="zh-CN"/>
        </w:rPr>
      </w:pPr>
    </w:p>
    <w:p w14:paraId="535D9F31">
      <w:pPr>
        <w:spacing w:line="360" w:lineRule="auto"/>
        <w:rPr>
          <w:rFonts w:hint="default" w:ascii="Times New Roman Regular" w:hAnsi="Times New Roman Regular" w:cs="Times New Roman Regular"/>
          <w:lang w:val="en-US" w:eastAsia="zh-CN"/>
        </w:rPr>
      </w:pPr>
    </w:p>
    <w:p w14:paraId="028D4DB9">
      <w:pPr>
        <w:spacing w:line="360" w:lineRule="auto"/>
        <w:jc w:val="cente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MA Art and Design</w:t>
      </w:r>
    </w:p>
    <w:p w14:paraId="192EB93E">
      <w:pPr>
        <w:spacing w:line="360" w:lineRule="auto"/>
        <w:jc w:val="center"/>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Mingzhu Mu</w:t>
      </w:r>
    </w:p>
    <w:p w14:paraId="02B948AF">
      <w:pPr>
        <w:spacing w:line="360" w:lineRule="auto"/>
        <w:jc w:val="center"/>
        <w:rPr>
          <w:rFonts w:hint="default" w:ascii="Times New Roman Regular" w:hAnsi="Times New Roman Regular" w:cs="Times New Roman Regular"/>
          <w:sz w:val="24"/>
          <w:szCs w:val="24"/>
          <w:lang w:val="en-US" w:eastAsia="zh-CN"/>
        </w:rPr>
      </w:pPr>
    </w:p>
    <w:p w14:paraId="007EB289">
      <w:pPr>
        <w:spacing w:line="360" w:lineRule="auto"/>
        <w:jc w:val="center"/>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September</w:t>
      </w:r>
      <w:r>
        <w:rPr>
          <w:rFonts w:hint="default" w:ascii="Times New Roman Regular" w:hAnsi="Times New Roman Regular" w:cs="Times New Roman Regular"/>
          <w:sz w:val="24"/>
          <w:szCs w:val="24"/>
          <w:lang w:val="en-US" w:eastAsia="zh-CN"/>
        </w:rPr>
        <w:t xml:space="preserve"> 2026</w:t>
      </w:r>
    </w:p>
    <w:p w14:paraId="34E06C49">
      <w:pPr>
        <w:spacing w:line="360" w:lineRule="auto"/>
        <w:rPr>
          <w:rFonts w:hint="default" w:ascii="Times New Roman Regular" w:hAnsi="Times New Roman Regular" w:cs="Times New Roman Regular"/>
          <w:lang w:val="en-US" w:eastAsia="zh-CN"/>
        </w:rPr>
      </w:pPr>
    </w:p>
    <w:p w14:paraId="1AD000DA">
      <w:pPr>
        <w:spacing w:line="360" w:lineRule="auto"/>
        <w:rPr>
          <w:rFonts w:hint="default" w:ascii="Times New Roman Regular" w:hAnsi="Times New Roman Regular" w:cs="Times New Roman Regular"/>
          <w:lang w:val="en-US" w:eastAsia="zh-CN"/>
        </w:rPr>
      </w:pPr>
    </w:p>
    <w:p w14:paraId="11D0FAE4">
      <w:pPr>
        <w:spacing w:line="360" w:lineRule="auto"/>
        <w:rPr>
          <w:rFonts w:hint="default" w:ascii="Times New Roman Regular" w:hAnsi="Times New Roman Regular" w:cs="Times New Roman Regular"/>
          <w:lang w:val="en-US" w:eastAsia="zh-CN"/>
        </w:rPr>
      </w:pPr>
    </w:p>
    <w:p w14:paraId="6E73878B">
      <w:pPr>
        <w:spacing w:line="360" w:lineRule="auto"/>
        <w:rPr>
          <w:rFonts w:hint="default" w:ascii="Times New Roman Regular" w:hAnsi="Times New Roman Regular" w:cs="Times New Roman Regular"/>
          <w:lang w:val="en-US" w:eastAsia="zh-CN"/>
        </w:rPr>
      </w:pPr>
    </w:p>
    <w:p w14:paraId="71517207">
      <w:pPr>
        <w:spacing w:line="360" w:lineRule="auto"/>
        <w:rPr>
          <w:rFonts w:hint="default" w:ascii="Times New Roman Regular" w:hAnsi="Times New Roman Regular" w:cs="Times New Roman Regular"/>
          <w:lang w:val="en-US" w:eastAsia="zh-CN"/>
        </w:rPr>
      </w:pPr>
    </w:p>
    <w:p w14:paraId="675F27AF">
      <w:pPr>
        <w:spacing w:line="360" w:lineRule="auto"/>
        <w:rPr>
          <w:rFonts w:hint="default" w:ascii="Times New Roman Regular" w:hAnsi="Times New Roman Regular" w:cs="Times New Roman Regular"/>
          <w:lang w:val="en-US" w:eastAsia="zh-CN"/>
        </w:rPr>
      </w:pPr>
    </w:p>
    <w:p w14:paraId="66665462">
      <w:pPr>
        <w:spacing w:line="360" w:lineRule="auto"/>
        <w:rPr>
          <w:rFonts w:hint="default" w:ascii="Times New Roman Regular" w:hAnsi="Times New Roman Regular" w:cs="Times New Roman Regular"/>
          <w:lang w:val="en-US" w:eastAsia="zh-CN"/>
        </w:rPr>
      </w:pPr>
    </w:p>
    <w:p w14:paraId="7554309D">
      <w:pPr>
        <w:spacing w:line="360" w:lineRule="auto"/>
        <w:rPr>
          <w:rFonts w:hint="default" w:ascii="Times New Roman Regular" w:hAnsi="Times New Roman Regular" w:cs="Times New Roman Regular"/>
          <w:lang w:val="en-US" w:eastAsia="zh-CN"/>
        </w:rPr>
      </w:pPr>
    </w:p>
    <w:p w14:paraId="09409393">
      <w:pPr>
        <w:spacing w:line="360" w:lineRule="auto"/>
        <w:jc w:val="center"/>
        <w:rPr>
          <w:rFonts w:hint="default" w:ascii="Times New Roman Bold" w:hAnsi="Times New Roman Bold" w:cs="Times New Roman Bold"/>
          <w:b/>
          <w:bCs/>
          <w:sz w:val="32"/>
          <w:szCs w:val="32"/>
          <w:lang w:val="en-US" w:eastAsia="zh-CN"/>
        </w:rPr>
        <w:sectPr>
          <w:pgSz w:w="11906" w:h="16838"/>
          <w:pgMar w:top="1440" w:right="1800" w:bottom="1440" w:left="1800" w:header="851" w:footer="992" w:gutter="0"/>
          <w:cols w:space="425" w:num="1"/>
          <w:docGrid w:type="lines" w:linePitch="312" w:charSpace="0"/>
        </w:sectPr>
      </w:pPr>
    </w:p>
    <w:p w14:paraId="4A788233">
      <w:pPr>
        <w:spacing w:line="360" w:lineRule="auto"/>
        <w:jc w:val="center"/>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Abstract</w:t>
      </w:r>
    </w:p>
    <w:p w14:paraId="44EEB4B3">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Traditional art creation and appreciation are predominantly visual-centered, often excluding visually impaired individuals from artistic expression and cultural life. Although accessibility has improved across various infrastructure domains, accessible art—particularly within art therapy and daily creative media—remains underdeveloped. Grounded in the principle of cultural equity, this study explores how multisensory design can enhance the accessibility of art therapy journals for individuals with color vision deficiencies, low vision, and blindness. The project reinterprets the traditionally visual format of hand-bound collage journals into a multisensory art therapy medium. Structured around four natural themes—bamboo forest, rain, sea, and night—the journal integrates tactile materials, ambient sound, scent, and narrative to guide users through a sensory journey from external nature to inner emotional reflection. Ultimately, this research demonstrates how touch, sound, smell, and imagination can serve as primary components of artistic experience, offering a practical framework for shifting art therapy from a visually dominated model toward an inclusive, perception-centered approach.</w:t>
      </w:r>
    </w:p>
    <w:p w14:paraId="7FB9BBD9">
      <w:pPr>
        <w:spacing w:line="360" w:lineRule="auto"/>
        <w:rPr>
          <w:rFonts w:hint="default" w:ascii="Times New Roman Regular" w:hAnsi="Times New Roman Regular" w:cs="Times New Roman Regular"/>
          <w:sz w:val="24"/>
          <w:szCs w:val="24"/>
          <w:lang w:val="en-US" w:eastAsia="zh-CN"/>
        </w:rPr>
      </w:pPr>
    </w:p>
    <w:p w14:paraId="56E51EBA">
      <w:pPr>
        <w:spacing w:line="360" w:lineRule="auto"/>
        <w:rPr>
          <w:rFonts w:hint="default" w:ascii="Times New Roman Regular" w:hAnsi="Times New Roman Regular" w:cs="Times New Roman Regular"/>
          <w:sz w:val="24"/>
          <w:szCs w:val="24"/>
          <w:lang w:val="en-US" w:eastAsia="zh-CN"/>
        </w:rPr>
      </w:pPr>
      <w:r>
        <w:rPr>
          <w:rFonts w:hint="default" w:ascii="Times New Roman Bold" w:hAnsi="Times New Roman Bold" w:cs="Times New Roman Bold"/>
          <w:b/>
          <w:bCs/>
          <w:color w:val="000000" w:themeColor="text1"/>
          <w:sz w:val="24"/>
          <w:szCs w:val="24"/>
          <w:lang w:val="en-US" w:eastAsia="zh-CN"/>
          <w14:textFill>
            <w14:solidFill>
              <w14:schemeClr w14:val="tx1"/>
            </w14:solidFill>
          </w14:textFill>
        </w:rPr>
        <w:t>Keywords:</w:t>
      </w:r>
      <w:r>
        <w:rPr>
          <w:rFonts w:hint="default" w:ascii="Times New Roman Regular" w:hAnsi="Times New Roman Regular" w:cs="Times New Roman Regular"/>
          <w:sz w:val="24"/>
          <w:szCs w:val="24"/>
          <w:lang w:val="en-US" w:eastAsia="zh-CN"/>
        </w:rPr>
        <w:t xml:space="preserve"> Multisensory Design; Art Therapy Journal; Visual Impairment; Cultural Equity; Perception-Centered Design</w:t>
      </w:r>
    </w:p>
    <w:p w14:paraId="045F10D2">
      <w:pPr>
        <w:spacing w:line="360" w:lineRule="auto"/>
        <w:rPr>
          <w:rFonts w:hint="default" w:ascii="Times New Roman Regular" w:hAnsi="Times New Roman Regular" w:cs="Times New Roman Regular"/>
          <w:lang w:val="en-US" w:eastAsia="zh-CN"/>
        </w:rPr>
      </w:pPr>
    </w:p>
    <w:p w14:paraId="74378D54">
      <w:pPr>
        <w:spacing w:line="360" w:lineRule="auto"/>
        <w:rPr>
          <w:rFonts w:hint="default" w:ascii="Times New Roman Regular" w:hAnsi="Times New Roman Regular" w:cs="Times New Roman Regular"/>
          <w:lang w:val="en-US" w:eastAsia="zh-CN"/>
        </w:rPr>
      </w:pPr>
    </w:p>
    <w:p w14:paraId="65F29D19">
      <w:pPr>
        <w:spacing w:line="360" w:lineRule="auto"/>
        <w:rPr>
          <w:rFonts w:hint="default" w:ascii="Times New Roman Regular" w:hAnsi="Times New Roman Regular" w:cs="Times New Roman Regular"/>
          <w:lang w:val="en-US" w:eastAsia="zh-CN"/>
        </w:rPr>
      </w:pPr>
    </w:p>
    <w:p w14:paraId="56B8B4ED">
      <w:pPr>
        <w:spacing w:line="360" w:lineRule="auto"/>
        <w:rPr>
          <w:rFonts w:hint="default" w:ascii="Times New Roman Regular" w:hAnsi="Times New Roman Regular" w:cs="Times New Roman Regular"/>
          <w:lang w:val="en-US" w:eastAsia="zh-CN"/>
        </w:rPr>
      </w:pPr>
    </w:p>
    <w:p w14:paraId="20FC447D">
      <w:pPr>
        <w:spacing w:line="360" w:lineRule="auto"/>
        <w:rPr>
          <w:rFonts w:hint="default" w:ascii="Times New Roman Regular" w:hAnsi="Times New Roman Regular" w:cs="Times New Roman Regular"/>
          <w:lang w:val="en-US" w:eastAsia="zh-CN"/>
        </w:rPr>
      </w:pPr>
    </w:p>
    <w:p w14:paraId="13AB5BC6">
      <w:pPr>
        <w:spacing w:line="360" w:lineRule="auto"/>
        <w:rPr>
          <w:rFonts w:hint="default" w:ascii="Times New Roman Regular" w:hAnsi="Times New Roman Regular" w:cs="Times New Roman Regular"/>
          <w:lang w:val="en-US" w:eastAsia="zh-CN"/>
        </w:rPr>
      </w:pPr>
    </w:p>
    <w:p w14:paraId="7FC41BA0">
      <w:pPr>
        <w:spacing w:line="360" w:lineRule="auto"/>
        <w:rPr>
          <w:rFonts w:hint="default" w:ascii="Times New Roman Regular" w:hAnsi="Times New Roman Regular" w:cs="Times New Roman Regular"/>
          <w:lang w:val="en-US" w:eastAsia="zh-CN"/>
        </w:rPr>
      </w:pPr>
    </w:p>
    <w:p w14:paraId="455F60A1">
      <w:pPr>
        <w:spacing w:line="360" w:lineRule="auto"/>
        <w:rPr>
          <w:rFonts w:hint="default" w:ascii="Times New Roman Regular" w:hAnsi="Times New Roman Regular" w:cs="Times New Roman Regular"/>
          <w:lang w:val="en-US" w:eastAsia="zh-CN"/>
        </w:rPr>
      </w:pPr>
    </w:p>
    <w:p w14:paraId="57F77B1B">
      <w:pPr>
        <w:spacing w:line="360" w:lineRule="auto"/>
        <w:rPr>
          <w:rFonts w:hint="default" w:ascii="Times New Roman Regular" w:hAnsi="Times New Roman Regular" w:cs="Times New Roman Regular"/>
          <w:lang w:val="en-US" w:eastAsia="zh-CN"/>
        </w:rPr>
      </w:pPr>
    </w:p>
    <w:p w14:paraId="48C372E6">
      <w:pPr>
        <w:spacing w:line="360" w:lineRule="auto"/>
        <w:rPr>
          <w:rFonts w:hint="default" w:ascii="Times New Roman Regular" w:hAnsi="Times New Roman Regular" w:cs="Times New Roman Regular"/>
          <w:lang w:val="en-US" w:eastAsia="zh-CN"/>
        </w:rPr>
      </w:pPr>
    </w:p>
    <w:p w14:paraId="703EE532">
      <w:pPr>
        <w:spacing w:line="360" w:lineRule="auto"/>
        <w:jc w:val="center"/>
        <w:rPr>
          <w:rFonts w:hint="default" w:ascii="Times New Roman Bold" w:hAnsi="Times New Roman Bold" w:cs="Times New Roman Bold"/>
          <w:b/>
          <w:bCs/>
          <w:sz w:val="32"/>
          <w:szCs w:val="32"/>
          <w:lang w:val="en-US" w:eastAsia="zh-CN"/>
        </w:rPr>
        <w:sectPr>
          <w:footerReference r:id="rId3" w:type="default"/>
          <w:pgSz w:w="11906" w:h="16838"/>
          <w:pgMar w:top="1440" w:right="1800" w:bottom="1440" w:left="1800" w:header="851" w:footer="992" w:gutter="0"/>
          <w:pgNumType w:start="1"/>
          <w:cols w:space="425" w:num="1"/>
          <w:docGrid w:type="lines" w:linePitch="312" w:charSpace="0"/>
        </w:sectPr>
      </w:pPr>
    </w:p>
    <w:p w14:paraId="3282C124">
      <w:pPr>
        <w:spacing w:line="360" w:lineRule="auto"/>
        <w:jc w:val="center"/>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contents</w:t>
      </w:r>
    </w:p>
    <w:p w14:paraId="6DAD667A">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Abstract ..........................................................................................................................i</w:t>
      </w:r>
    </w:p>
    <w:p w14:paraId="11E6F084">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CHAPTER 1 ：Introduction ......................................................................................... 1</w:t>
      </w:r>
    </w:p>
    <w:p w14:paraId="7B047CC3">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CHAPTER 2 ：Literature review .............................................................................</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 xml:space="preserve"> 2</w:t>
      </w:r>
    </w:p>
    <w:p w14:paraId="4C8ECD32">
      <w:pPr>
        <w:spacing w:line="360" w:lineRule="auto"/>
        <w:ind w:firstLine="1200" w:firstLineChars="50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2.1 Cultural Equity and Accessible Art.............................</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 2</w:t>
      </w:r>
    </w:p>
    <w:p w14:paraId="47A9147D">
      <w:pPr>
        <w:spacing w:line="360" w:lineRule="auto"/>
        <w:ind w:firstLine="1200" w:firstLineChars="50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2.2 Visual Impairment, Multisensory Design and Art Therapy................ 3</w:t>
      </w:r>
    </w:p>
    <w:p w14:paraId="3E6048D7">
      <w:pPr>
        <w:spacing w:line="360" w:lineRule="auto"/>
        <w:ind w:firstLine="1200" w:firstLineChars="50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2.3.Color Psychology and Visually Friendly Design ................</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5</w:t>
      </w:r>
    </w:p>
    <w:p w14:paraId="1B0B1D1C">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CHAPTER 3 ： Research Methodology ..........</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 xml:space="preserve">......................... </w:t>
      </w:r>
      <w:r>
        <w:rPr>
          <w:rFonts w:hint="eastAsia" w:ascii="Times New Roman Regular" w:hAnsi="Times New Roman Regular" w:cs="Times New Roman Regular"/>
          <w:sz w:val="24"/>
          <w:szCs w:val="24"/>
          <w:lang w:val="en-US" w:eastAsia="zh-CN"/>
        </w:rPr>
        <w:t>7</w:t>
      </w:r>
    </w:p>
    <w:p w14:paraId="0EADE9ED">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CHAPTER 4 ：Project Analysis.......................</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8</w:t>
      </w:r>
    </w:p>
    <w:p w14:paraId="770D7E76">
      <w:pPr>
        <w:spacing w:line="360" w:lineRule="auto"/>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 xml:space="preserve">          4.1 Bamboo Forest Series Analysis </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8</w:t>
      </w:r>
    </w:p>
    <w:p w14:paraId="07C0098C">
      <w:pPr>
        <w:spacing w:line="360" w:lineRule="auto"/>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 xml:space="preserve">          4.2 Rain Series Analysis</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10</w:t>
      </w:r>
    </w:p>
    <w:p w14:paraId="218A63FB">
      <w:pPr>
        <w:spacing w:line="360" w:lineRule="auto"/>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 xml:space="preserve">          4.3 Sea Series Analysis</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11</w:t>
      </w:r>
    </w:p>
    <w:p w14:paraId="1CF4ED9B">
      <w:pPr>
        <w:spacing w:line="360" w:lineRule="auto"/>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 xml:space="preserve">          4.4 Night and Clouds Series Analysis</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12</w:t>
      </w:r>
    </w:p>
    <w:p w14:paraId="6B443F64">
      <w:pPr>
        <w:spacing w:line="360" w:lineRule="auto"/>
        <w:rPr>
          <w:rFonts w:hint="default" w:ascii="Times New Roman Regular" w:hAnsi="Times New Roman Regular" w:cs="Times New Roman Regular"/>
          <w:lang w:val="en-US" w:eastAsia="zh-CN"/>
        </w:rPr>
      </w:pPr>
      <w:r>
        <w:rPr>
          <w:rFonts w:hint="default" w:ascii="Times New Roman Regular" w:hAnsi="Times New Roman Regular" w:cs="Times New Roman Regular"/>
          <w:sz w:val="24"/>
          <w:szCs w:val="24"/>
          <w:lang w:val="en-US" w:eastAsia="zh-CN"/>
        </w:rPr>
        <w:t>CHAPTER 5 ：Reflection.................................</w:t>
      </w:r>
      <w:r>
        <w:rPr>
          <w:rFonts w:hint="default" w:ascii="Times New Roman Regular" w:hAnsi="Times New Roman Regular" w:cs="Times New Roman Regular"/>
          <w:lang w:val="en-US" w:eastAsia="zh-CN"/>
        </w:rPr>
        <w:t>..........</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lang w:val="en-US" w:eastAsia="zh-CN"/>
        </w:rPr>
        <w:t>..........................</w:t>
      </w:r>
      <w:r>
        <w:rPr>
          <w:rFonts w:hint="eastAsia" w:ascii="Times New Roman Regular" w:hAnsi="Times New Roman Regular" w:cs="Times New Roman Regular"/>
          <w:lang w:val="en-US" w:eastAsia="zh-CN"/>
        </w:rPr>
        <w:t>14</w:t>
      </w:r>
    </w:p>
    <w:p w14:paraId="3C41ACFF">
      <w:pPr>
        <w:spacing w:line="360" w:lineRule="auto"/>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lang w:val="en-US" w:eastAsia="zh-CN"/>
        </w:rPr>
        <w:t xml:space="preserve">          </w:t>
      </w:r>
      <w:r>
        <w:rPr>
          <w:rFonts w:hint="eastAsia" w:ascii="Times New Roman Regular" w:hAnsi="Times New Roman Regular" w:cs="Times New Roman Regular"/>
          <w:sz w:val="24"/>
          <w:szCs w:val="24"/>
          <w:lang w:val="en-US" w:eastAsia="zh-CN"/>
        </w:rPr>
        <w:t xml:space="preserve"> 5.1 From Designer to Collaborative Designer: Reflections on User Involvement and Clinical Collaboration </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14</w:t>
      </w:r>
    </w:p>
    <w:p w14:paraId="5B32BFC6">
      <w:pPr>
        <w:spacing w:line="360" w:lineRule="auto"/>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 xml:space="preserve">         5.2 Reflection on the Application of Psychological Theories </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15</w:t>
      </w:r>
    </w:p>
    <w:p w14:paraId="08828CB7">
      <w:pPr>
        <w:spacing w:line="360" w:lineRule="auto"/>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 xml:space="preserve">         5.3 Reflection on Functionality and Accessibility Design </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16</w:t>
      </w:r>
    </w:p>
    <w:p w14:paraId="5DBBD4E1">
      <w:pPr>
        <w:spacing w:line="360" w:lineRule="auto"/>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CN"/>
        </w:rPr>
        <w:t xml:space="preserve">         5.4 Reflection from a Cultural Perspective </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17</w:t>
      </w:r>
    </w:p>
    <w:p w14:paraId="37CB1098">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CHAPTER</w:t>
      </w:r>
      <w:r>
        <w:rPr>
          <w:rFonts w:hint="eastAsia" w:ascii="Times New Roman Regular" w:hAnsi="Times New Roman Regular" w:cs="Times New Roman Regular"/>
          <w:sz w:val="24"/>
          <w:szCs w:val="24"/>
          <w:lang w:val="en-US" w:eastAsia="zh-CN"/>
        </w:rPr>
        <w:t xml:space="preserve"> </w:t>
      </w:r>
      <w:r>
        <w:rPr>
          <w:rFonts w:hint="default" w:ascii="Times New Roman Regular" w:hAnsi="Times New Roman Regular" w:cs="Times New Roman Regular"/>
          <w:sz w:val="24"/>
          <w:szCs w:val="24"/>
          <w:lang w:val="en-US" w:eastAsia="zh-CN"/>
        </w:rPr>
        <w:t>6：Conclusion</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18</w:t>
      </w:r>
    </w:p>
    <w:p w14:paraId="7EC7CB08">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Reference......................................................................................................................1</w:t>
      </w:r>
      <w:r>
        <w:rPr>
          <w:rFonts w:hint="eastAsia" w:ascii="Times New Roman Regular" w:hAnsi="Times New Roman Regular" w:cs="Times New Roman Regular"/>
          <w:sz w:val="24"/>
          <w:szCs w:val="24"/>
          <w:lang w:val="en-US" w:eastAsia="zh-CN"/>
        </w:rPr>
        <w:t>9</w:t>
      </w:r>
    </w:p>
    <w:p w14:paraId="6CE0649F">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Bibliography</w:t>
      </w:r>
      <w:r>
        <w:rPr>
          <w:rFonts w:hint="default" w:ascii="Times New Roman Regular" w:hAnsi="Times New Roman Regular" w:cs="Times New Roman Regular"/>
          <w:sz w:val="24"/>
          <w:szCs w:val="24"/>
          <w:lang w:val="en-US" w:eastAsia="zh-CN"/>
        </w:rPr>
        <w:t>.................................................................................................................</w:t>
      </w:r>
      <w:r>
        <w:rPr>
          <w:rFonts w:hint="eastAsia" w:ascii="Times New Roman Regular" w:hAnsi="Times New Roman Regular" w:cs="Times New Roman Regular"/>
          <w:sz w:val="24"/>
          <w:szCs w:val="24"/>
          <w:lang w:val="en-US" w:eastAsia="zh-CN"/>
        </w:rPr>
        <w:t>22</w:t>
      </w:r>
    </w:p>
    <w:p w14:paraId="7E1F888E">
      <w:pPr>
        <w:spacing w:line="360" w:lineRule="auto"/>
        <w:rPr>
          <w:rFonts w:hint="default" w:ascii="Times New Roman Regular" w:hAnsi="Times New Roman Regular" w:cs="Times New Roman Regular"/>
          <w:lang w:val="en-US" w:eastAsia="zh-CN"/>
        </w:rPr>
      </w:pPr>
    </w:p>
    <w:p w14:paraId="53619E81">
      <w:pPr>
        <w:spacing w:line="360" w:lineRule="auto"/>
        <w:rPr>
          <w:rFonts w:hint="default" w:ascii="Times New Roman Regular" w:hAnsi="Times New Roman Regular" w:cs="Times New Roman Regular"/>
          <w:lang w:val="en-US" w:eastAsia="zh-CN"/>
        </w:rPr>
      </w:pPr>
    </w:p>
    <w:p w14:paraId="27630F81">
      <w:pPr>
        <w:spacing w:line="360" w:lineRule="auto"/>
        <w:rPr>
          <w:rFonts w:hint="default" w:ascii="Times New Roman Regular" w:hAnsi="Times New Roman Regular" w:cs="Times New Roman Regular"/>
          <w:lang w:val="en-US" w:eastAsia="zh-CN"/>
        </w:rPr>
      </w:pPr>
    </w:p>
    <w:p w14:paraId="1CBE79E0">
      <w:pPr>
        <w:spacing w:line="360" w:lineRule="auto"/>
        <w:rPr>
          <w:rFonts w:hint="default" w:ascii="Times New Roman Regular" w:hAnsi="Times New Roman Regular" w:cs="Times New Roman Regular"/>
          <w:lang w:val="en-US" w:eastAsia="zh-CN"/>
        </w:rPr>
      </w:pPr>
    </w:p>
    <w:p w14:paraId="196B46DD">
      <w:pPr>
        <w:spacing w:line="360" w:lineRule="auto"/>
        <w:rPr>
          <w:rFonts w:hint="default" w:ascii="Times New Roman Regular" w:hAnsi="Times New Roman Regular" w:cs="Times New Roman Regular"/>
          <w:lang w:val="en-US" w:eastAsia="zh-CN"/>
        </w:rPr>
        <w:sectPr>
          <w:footerReference r:id="rId4" w:type="default"/>
          <w:pgSz w:w="11906" w:h="16838"/>
          <w:pgMar w:top="1440" w:right="1800" w:bottom="1440" w:left="1800" w:header="851" w:footer="992" w:gutter="0"/>
          <w:pgNumType w:start="1"/>
          <w:cols w:space="425" w:num="1"/>
          <w:docGrid w:type="lines" w:linePitch="312" w:charSpace="0"/>
        </w:sectPr>
      </w:pPr>
    </w:p>
    <w:p w14:paraId="1AEB221E">
      <w:pPr>
        <w:spacing w:line="360" w:lineRule="auto"/>
        <w:rPr>
          <w:rFonts w:hint="default" w:ascii="Times New Roman Regular" w:hAnsi="Times New Roman Regular" w:cs="Times New Roman Regular"/>
          <w:lang w:val="en-US" w:eastAsia="zh-CN"/>
        </w:rPr>
      </w:pPr>
    </w:p>
    <w:p w14:paraId="78CECB67">
      <w:pPr>
        <w:spacing w:line="360" w:lineRule="auto"/>
        <w:jc w:val="center"/>
        <w:rPr>
          <w:rFonts w:hint="default" w:ascii="Times New Roman Regular" w:hAnsi="Times New Roman Regular" w:cs="Times New Roman Regular"/>
        </w:rPr>
      </w:pPr>
      <w:r>
        <w:rPr>
          <w:rFonts w:hint="eastAsia" w:ascii="Times New Roman Bold" w:hAnsi="Times New Roman Bold" w:cs="Times New Roman Bold"/>
          <w:b/>
          <w:bCs w:val="0"/>
          <w:sz w:val="32"/>
          <w:szCs w:val="32"/>
          <w:lang w:val="en-US" w:eastAsia="zh-CN"/>
        </w:rPr>
        <w:t>CHAPTER 1：</w:t>
      </w:r>
      <w:r>
        <w:rPr>
          <w:rFonts w:hint="default" w:ascii="Times New Roman Bold" w:hAnsi="Times New Roman Bold" w:cs="Times New Roman Bold"/>
          <w:b/>
          <w:bCs w:val="0"/>
          <w:sz w:val="32"/>
          <w:szCs w:val="32"/>
        </w:rPr>
        <w:t>Introduction</w:t>
      </w:r>
    </w:p>
    <w:p w14:paraId="670C4F10">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Art creation and appreciation have traditionally been based on visual experience, assuming that audiences have normal vision. This visual-centered approach limits the participation of people with visual impairments in artistic and cultural activities. </w:t>
      </w:r>
      <w:r>
        <w:rPr>
          <w:rFonts w:hint="default" w:ascii="Times New Roman Regular" w:hAnsi="Times New Roman Regular" w:cs="Times New Roman Regular"/>
          <w:sz w:val="24"/>
          <w:szCs w:val="24"/>
          <w:highlight w:val="none"/>
        </w:rPr>
        <w:t>World Health Organization figures suggest approximately 2.2 billion individuals globally cope with varying degrees of visual impairment. This includes total blindness, low‑sight conditions, as well as colour‑vision deficiencies. While great strides have been taken to boost accessibility in architecture, transportation and digital interfaces, accessible art practices still lag far behind. The gap is most obvious in art‑therapy applications and everyday creative media.</w:t>
      </w:r>
      <w:r>
        <w:rPr>
          <w:rFonts w:hint="default" w:ascii="Times New Roman Regular" w:hAnsi="Times New Roman Regular" w:cs="Times New Roman Regular"/>
          <w:sz w:val="24"/>
          <w:szCs w:val="24"/>
        </w:rPr>
        <w:t>Most art therapy practices rely heavily on visual activities, restricting participation for blind and some low-vision users. This study therefore asks: How can multisensory design enhance the accessibility of art therapy journals?</w:t>
      </w:r>
    </w:p>
    <w:p w14:paraId="18F485E7">
      <w:pPr>
        <w:spacing w:line="360" w:lineRule="auto"/>
        <w:rPr>
          <w:rFonts w:hint="default" w:ascii="Times New Roman Regular" w:hAnsi="Times New Roman Regular" w:cs="Times New Roman Regular"/>
          <w:sz w:val="24"/>
          <w:szCs w:val="24"/>
        </w:rPr>
      </w:pPr>
    </w:p>
    <w:p w14:paraId="4A2208DC">
      <w:pPr>
        <w:spacing w:line="360" w:lineRule="auto"/>
        <w:rPr>
          <w:rFonts w:hint="default" w:ascii="Times New Roman Regular" w:hAnsi="Times New Roman Regular" w:cs="Times New Roman Regular"/>
          <w:sz w:val="24"/>
          <w:szCs w:val="24"/>
          <w:highlight w:val="none"/>
        </w:rPr>
      </w:pPr>
      <w:r>
        <w:rPr>
          <w:rFonts w:hint="default" w:ascii="Times New Roman Regular" w:hAnsi="Times New Roman Regular" w:cs="Times New Roman Regular"/>
          <w:sz w:val="24"/>
          <w:szCs w:val="24"/>
          <w:highlight w:val="none"/>
        </w:rPr>
        <w:t>This study takes cultural equity as its core research foundation. The 30th Article of the UN Convention on the Rights of Persons with Disabilities legally recognises the equal cultural participation rights of people with disabilities, pointing out that true cultural accessibility goes far beyond basic technical adjustments. It focuses more on delivering fair and accessible channels for disabled people to create art and join in various cultural activities. Different from common accessible design that simply simplifies artistic content for adaptation, this research prioritises touch, sound, smell and subjective imagination as vital parts of artistic interaction and experience.Taking handmade collage journals as its creative reference, the research reworks traditional vision-only art carriers and turns them into multi-sensory journals suitable for art therapy practice. The design revolves around four everyday natural scenes: bamboo forests, rainy weather, seawater landscapes and night environments. It blends tactile textures, ambient sound backgrounds, natural scent hints and emotional story contexts to form a complete sensory flow, guiding users from feeling external natural scenery to sorting out and reflecting on their inner emotions. Targeting groups with colour vision deficiency, low vision and total blindness, this multi-sensory journal provides them with a specialised, barrier-free art therapy carrier.</w:t>
      </w:r>
      <w:r>
        <w:rPr>
          <w:rFonts w:hint="eastAsia" w:ascii="Times New Roman Regular" w:hAnsi="Times New Roman Regular" w:cs="Times New Roman Regular"/>
          <w:sz w:val="24"/>
          <w:szCs w:val="24"/>
          <w:highlight w:val="none"/>
          <w:lang w:val="en-US" w:eastAsia="zh-CN"/>
        </w:rPr>
        <w:t xml:space="preserve"> </w:t>
      </w:r>
      <w:r>
        <w:rPr>
          <w:rFonts w:hint="default" w:ascii="Times New Roman Regular" w:hAnsi="Times New Roman Regular" w:cs="Times New Roman Regular"/>
          <w:sz w:val="24"/>
          <w:szCs w:val="24"/>
          <w:highlight w:val="none"/>
        </w:rPr>
        <w:t>In a larger sense, this project explores a practical way to realise cultural equity through multi-sensory design innovation. It abandons the traditional art appreciation and creation model that overly relies on vision, and rebuilds the artistic experience system based on comprehensive human perception, so as to narrow the cultural participation gap for visually impaired groups and realise more inclusive cultural equality.</w:t>
      </w:r>
    </w:p>
    <w:p w14:paraId="3981B039">
      <w:pPr>
        <w:spacing w:line="360" w:lineRule="auto"/>
        <w:rPr>
          <w:rFonts w:hint="default" w:ascii="Times New Roman Regular" w:hAnsi="Times New Roman Regular" w:cs="Times New Roman Regular"/>
        </w:rPr>
      </w:pPr>
    </w:p>
    <w:p w14:paraId="38D5143F">
      <w:pPr>
        <w:spacing w:line="360" w:lineRule="auto"/>
        <w:jc w:val="center"/>
        <w:rPr>
          <w:rFonts w:hint="default" w:ascii="Times New Roman Bold" w:hAnsi="Times New Roman Bold" w:cs="Times New Roman Bold"/>
          <w:b/>
          <w:bCs w:val="0"/>
          <w:sz w:val="32"/>
          <w:szCs w:val="32"/>
          <w:lang w:val="en-US" w:eastAsia="zh-CN"/>
        </w:rPr>
      </w:pPr>
      <w:r>
        <w:rPr>
          <w:rFonts w:hint="eastAsia" w:ascii="Times New Roman Bold" w:hAnsi="Times New Roman Bold" w:cs="Times New Roman Bold"/>
          <w:b/>
          <w:bCs w:val="0"/>
          <w:sz w:val="32"/>
          <w:szCs w:val="32"/>
          <w:lang w:val="en-US" w:eastAsia="zh-CN"/>
        </w:rPr>
        <w:t>CHAPTER 2</w:t>
      </w:r>
      <w:r>
        <w:rPr>
          <w:rFonts w:hint="default" w:ascii="Times New Roman Regular" w:hAnsi="Times New Roman Regular" w:cs="Times New Roman Regular"/>
          <w:b/>
          <w:bCs w:val="0"/>
          <w:sz w:val="32"/>
          <w:szCs w:val="32"/>
          <w:lang w:val="en-US" w:eastAsia="zh-CN"/>
        </w:rPr>
        <w:t>：</w:t>
      </w:r>
      <w:r>
        <w:rPr>
          <w:rFonts w:hint="default" w:ascii="Times New Roman Bold" w:hAnsi="Times New Roman Bold" w:cs="Times New Roman Bold"/>
          <w:b/>
          <w:bCs w:val="0"/>
          <w:sz w:val="32"/>
          <w:szCs w:val="32"/>
          <w:lang w:val="en-US" w:eastAsia="zh-CN"/>
        </w:rPr>
        <w:t xml:space="preserve">Literature </w:t>
      </w:r>
      <w:r>
        <w:rPr>
          <w:rFonts w:hint="eastAsia" w:ascii="Times New Roman Bold" w:hAnsi="Times New Roman Bold" w:cs="Times New Roman Bold"/>
          <w:b/>
          <w:bCs w:val="0"/>
          <w:sz w:val="32"/>
          <w:szCs w:val="32"/>
          <w:lang w:val="en-US" w:eastAsia="zh-CN"/>
        </w:rPr>
        <w:t>R</w:t>
      </w:r>
      <w:r>
        <w:rPr>
          <w:rFonts w:hint="default" w:ascii="Times New Roman Bold" w:hAnsi="Times New Roman Bold" w:cs="Times New Roman Bold"/>
          <w:b/>
          <w:bCs w:val="0"/>
          <w:sz w:val="32"/>
          <w:szCs w:val="32"/>
          <w:lang w:val="en-US" w:eastAsia="zh-CN"/>
        </w:rPr>
        <w:t>eview</w:t>
      </w:r>
    </w:p>
    <w:p w14:paraId="47D28ECE">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highlight w:val="none"/>
          <w:lang w:val="en-US" w:eastAsia="zh-CN"/>
        </w:rPr>
        <w:t>This work investigates how multi-sensory design can better adapt art therapy journals to the usage needs of visually impaired users. Synthesizing research findings from art design, visual science, psychology and disability research domains, this literature review centers on three core theoretical pillars: cultural equity, multi-sensory design and color psychology.Cultural equity establishes the fundamental value system of this research, which advocates for equal participation rights in diverse artistic and cultural activities for all groups. Multi-sensory design supplies practical design strategies that integrate tactile, auditory, olfactory and visual perceptions into complete artistic experiences. In parallel, color psychology elaborates on how colors shape people’s emotional reactions, as well as how they affect visual accessibility for users with color vision deficiencies and low vision.</w:t>
      </w:r>
      <w:r>
        <w:rPr>
          <w:rFonts w:hint="default" w:ascii="Times New Roman Regular" w:hAnsi="Times New Roman Regular" w:cs="Times New Roman Regular"/>
          <w:sz w:val="24"/>
          <w:szCs w:val="24"/>
          <w:lang w:val="en-US" w:eastAsia="zh-CN"/>
        </w:rPr>
        <w:t>Together, these theories establish the conceptual foundation for the design practice presented in this study.</w:t>
      </w:r>
    </w:p>
    <w:p w14:paraId="092E4585">
      <w:pPr>
        <w:spacing w:line="360" w:lineRule="auto"/>
        <w:rPr>
          <w:rFonts w:hint="default" w:ascii="Times New Roman Regular" w:hAnsi="Times New Roman Regular" w:cs="Times New Roman Regular"/>
          <w:sz w:val="24"/>
          <w:szCs w:val="24"/>
          <w:lang w:val="en-US" w:eastAsia="zh-CN"/>
        </w:rPr>
      </w:pPr>
    </w:p>
    <w:p w14:paraId="0AD548FA">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2.1  Cultural Equity and Accessible Art</w:t>
      </w:r>
    </w:p>
    <w:p w14:paraId="01DC097A">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highlight w:val="none"/>
          <w:lang w:val="en-US" w:eastAsia="zh-CN"/>
        </w:rPr>
        <w:t>Visual perception has long dictated the creation and appreciation of traditional art, which heavily relies on a sight-centric model of aesthetic experience. This mainstream paradigm presumes that audiences primarily engage with artistic works through visual input alone. Thanks to the evolving discipline of disability studies, academics have revised their understanding of accessible art practice. Scholars now argue that inclusive art design cannot be limited to basic supportive facilities, but must reimagine the entire mechanism behind artistic experience production. Cultural equity underpins this conceptual transition, advocating for equal cultural participation opportunities for individuals with disabilities.Article 30 of the United Nations Convention on the Rights of Persons with Disabilities entitles people with disabilities to equal involvement in cultural activities, artistic production, and cultural resource access (Fajrie et al., 2020). This framework suggests that art accessibility is never purely a technical problem; it is fundamentally tied to social inclusivity and fundamental cultural rights. For this reason, inclusive art design needs to build accommodating environments that embrace diverse modes of art perception and interaction. Additionally, the Disability Arts movement pushes back against the outdated stereotype that portrays disabled people as passive receivers of cultural services. It highlights their identity as proactive creators, whose personal lived experiences hold genuine artistic value and creative potential.(</w:t>
      </w:r>
      <w:r>
        <w:rPr>
          <w:rFonts w:hint="default" w:ascii="Times New Roman Regular" w:hAnsi="Times New Roman Regular" w:cs="Times New Roman Regular"/>
          <w:sz w:val="24"/>
          <w:szCs w:val="24"/>
          <w:lang w:val="en-US" w:eastAsia="zh-CN"/>
        </w:rPr>
        <w:t>Wasson, 2004) Similarly, Tobin Siebers' concept of disability aesthetics argues that disability should be understood as a source of new aesthetic perspectives rather than a limitation. This approach encourages designers to move beyond functional accessibility and value different forms of perception.(Fajrie et al., 2020) Guided by these perspectives, this project does not aim to create a substitute for visual art but to reconstruct the art therapy experience through touch, sound, smell, and narrative, enabling people with different visual abilities to engage with art in their own ways. (Špinarová et al., 2025) However, while previous research has examined cultural equity and accessible art in museums, public spaces, and digital environments, limited attention has been given to multisensory art therapy journals. This study therefore combines cultural equity with multisensory design to explore a shift from a visual-centered model of art toward a perception-centered approach.(DiGiulio, 2017)</w:t>
      </w:r>
    </w:p>
    <w:p w14:paraId="71614590">
      <w:pPr>
        <w:spacing w:line="360" w:lineRule="auto"/>
        <w:rPr>
          <w:rFonts w:hint="default" w:ascii="Times New Roman Regular" w:hAnsi="Times New Roman Regular" w:cs="Times New Roman Regular"/>
          <w:sz w:val="24"/>
          <w:szCs w:val="24"/>
          <w:lang w:val="en-US" w:eastAsia="zh-CN"/>
        </w:rPr>
      </w:pPr>
    </w:p>
    <w:p w14:paraId="48A195B4">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2.2 Visual Impairment, Multisensory Design and Art Therapy </w:t>
      </w:r>
    </w:p>
    <w:p w14:paraId="2C86D802">
      <w:pPr>
        <w:spacing w:line="360" w:lineRule="auto"/>
        <w:rPr>
          <w:rFonts w:hint="default" w:ascii="Times New Roman Regular" w:hAnsi="Times New Roman Regular" w:cs="Times New Roman Regular"/>
          <w:sz w:val="24"/>
          <w:szCs w:val="24"/>
          <w:highlight w:val="none"/>
          <w:lang w:val="en-US" w:eastAsia="zh-CN"/>
        </w:rPr>
      </w:pPr>
      <w:r>
        <w:rPr>
          <w:rFonts w:hint="default" w:ascii="Times New Roman Regular" w:hAnsi="Times New Roman Regular" w:cs="Times New Roman Regular"/>
          <w:sz w:val="24"/>
          <w:szCs w:val="24"/>
          <w:highlight w:val="none"/>
          <w:lang w:val="en-US" w:eastAsia="zh-CN"/>
        </w:rPr>
        <w:t>Visual impairment covers three primary categories: color vision deficiency, low vision, and total blindness, with each group processing information and engaging with artistic works in uniquely different ways. This means inclusive art design cannot rely on a one-size-fits-all solution, but must adopt tailored strategies that accommodate varying visual capabilities.Those with color vision deficiencies typically retain normal visual sharpness, yet struggle to tell specific colors apart due to abnormal sensitivity in retinal cone cells. Red-green deficiency is the most prevalent form of this condition. Visual science research confirms that hues falling on identical color confusion lines are highly likely to be misidentified. In practice, common color pairings including red, green, brown and orange often compromise visual distinguishability. For this reason, accessible design must balance aesthetic presentation with practical color discriminability.</w:t>
      </w:r>
    </w:p>
    <w:p w14:paraId="0752FAD5">
      <w:pPr>
        <w:spacing w:line="360" w:lineRule="auto"/>
        <w:rPr>
          <w:rFonts w:hint="default" w:ascii="Times New Roman Regular" w:hAnsi="Times New Roman Regular" w:cs="Times New Roman Regular"/>
          <w:sz w:val="24"/>
          <w:szCs w:val="24"/>
          <w:highlight w:val="none"/>
          <w:lang w:val="en-US" w:eastAsia="zh-CN"/>
        </w:rPr>
      </w:pPr>
      <w:r>
        <w:rPr>
          <w:rFonts w:hint="default" w:ascii="Times New Roman Regular" w:hAnsi="Times New Roman Regular" w:cs="Times New Roman Regular"/>
          <w:sz w:val="24"/>
          <w:szCs w:val="24"/>
          <w:highlight w:val="none"/>
          <w:lang w:val="en-US" w:eastAsia="zh-CN"/>
        </w:rPr>
        <w:drawing>
          <wp:inline distT="0" distB="0" distL="114300" distR="114300">
            <wp:extent cx="5273040" cy="1958975"/>
            <wp:effectExtent l="0" t="0" r="10160" b="22225"/>
            <wp:docPr id="5" name="图片 5" descr="IMG_6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IMG_6718"/>
                    <pic:cNvPicPr>
                      <a:picLocks noChangeAspect="1"/>
                    </pic:cNvPicPr>
                  </pic:nvPicPr>
                  <pic:blipFill>
                    <a:blip r:embed="rId7"/>
                    <a:stretch>
                      <a:fillRect/>
                    </a:stretch>
                  </pic:blipFill>
                  <pic:spPr>
                    <a:xfrm>
                      <a:off x="0" y="0"/>
                      <a:ext cx="5273040" cy="1958975"/>
                    </a:xfrm>
                    <a:prstGeom prst="rect">
                      <a:avLst/>
                    </a:prstGeom>
                  </pic:spPr>
                </pic:pic>
              </a:graphicData>
            </a:graphic>
          </wp:inline>
        </w:drawing>
      </w:r>
    </w:p>
    <w:p w14:paraId="1F4AAE6A">
      <w:pPr>
        <w:spacing w:line="360" w:lineRule="auto"/>
        <w:rPr>
          <w:rFonts w:hint="default" w:ascii="Times New Roman Regular" w:hAnsi="Times New Roman Regular" w:cs="Times New Roman Regular"/>
          <w:sz w:val="24"/>
          <w:szCs w:val="24"/>
          <w:highlight w:val="none"/>
          <w:lang w:val="en-US" w:eastAsia="zh-CN"/>
        </w:rPr>
      </w:pPr>
      <w:r>
        <w:rPr>
          <w:rFonts w:hint="default" w:ascii="Times New Roman Regular" w:hAnsi="Times New Roman Regular" w:cs="Times New Roman Regular"/>
          <w:sz w:val="24"/>
          <w:szCs w:val="24"/>
          <w:highlight w:val="none"/>
          <w:lang w:val="en-US" w:eastAsia="zh-CN"/>
        </w:rPr>
        <w:t>Unlike color vision deficiency, low vision is defined by weakened visual acuity, restricted visual fields and reduced sensitivity to light contrast. Since people with low vision still possess partial visual function, design solutions ought to optimize and support their remaining sight, rather than completely replacing visual input. Relevant studies have proven that high-contrast color palettes, enlarged graphical and textual elements, and streamlined layouts effectively boost visual legibility and recognition, allowing low-vision users to fully utilize their residual vision.For individuals with total blindness, spatial and environmental perception primarily relies on tactile touch, auditory cues, smell and physical movement. The sensory compensation theory explains that the human brain undergoes neural plasticity in the absence of visual input, strengthening its ability to process information from other senses. This fully validates that rich, immersive artistic experiences can be constructed through diverse sensory channels, instead of depending solely on vision.The multisensory integration theory further illustrates that human perception is formed through the interplay of multiple sensory systems. When tactile, auditory and olfactory stimuli deliver consistent and unified information, users gain a clearer grasp of their surroundings, better emotional control, and more vivid mental imagery (Hertneky, 2020). Owing to these benefits, multisensory design has been widely applied in inclusive museum design, accessible education and art therapy practice through tactile textures, audio guidance, scent atmospheres and interactive experiences (Kydyrova &amp; Alimanova, 2025). A systematic review analyzing 89 art therapy studies for visually impaired populations verified that multisensory interventions significantly improve user participation, independent engagement and emotional expression, proving their value extends far beyond simple visual compensation.</w:t>
      </w:r>
    </w:p>
    <w:p w14:paraId="151B80E1">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highlight w:val="none"/>
          <w:lang w:val="en-US" w:eastAsia="zh-CN"/>
        </w:rPr>
        <w:t>Despite these proven advantages, current academic research largely centers on museum exhibitions, rehabilitation training and inclusive education. There is a notable lack of research focusing on collage-based multisensory art therapy journals. Furthermore, different visually impaired groups exhibit unique sensory preferences and emotional feedback patterns, yet targeted, differentiated design strategies for specific user groups remain scarce.</w:t>
      </w:r>
      <w:r>
        <w:rPr>
          <w:rFonts w:hint="default" w:ascii="Times New Roman Regular" w:hAnsi="Times New Roman Regular" w:cs="Times New Roman Regular"/>
          <w:sz w:val="24"/>
          <w:szCs w:val="24"/>
          <w:lang w:val="en-US" w:eastAsia="zh-CN"/>
        </w:rPr>
        <w:t>Therefore, this study integrates theories of visual impairment and multisensory design to combine tactile, auditory, olfactory, narrative, and visual elements in an art therapy journal, aiming to create a more inclusive and accessible artistic experience for people with color vision deficiencies, low vision, and blindness.</w:t>
      </w:r>
    </w:p>
    <w:p w14:paraId="5A6D813A">
      <w:pPr>
        <w:spacing w:line="360" w:lineRule="auto"/>
        <w:rPr>
          <w:rFonts w:hint="default" w:ascii="Times New Roman Regular" w:hAnsi="Times New Roman Regular" w:cs="Times New Roman Regular"/>
          <w:sz w:val="24"/>
          <w:szCs w:val="24"/>
          <w:lang w:val="en-US" w:eastAsia="zh-CN"/>
        </w:rPr>
      </w:pPr>
    </w:p>
    <w:p w14:paraId="67F8E46C">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2.3 Color Psychology and Visually Friendly Design </w:t>
      </w:r>
    </w:p>
    <w:p w14:paraId="60C28791">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highlight w:val="none"/>
          <w:lang w:val="en-US" w:eastAsia="zh-CN"/>
        </w:rPr>
        <w:t>Color acts as a core medium for artistic creation and expression, while also serving as a key environmental factor that shapes people’s emotions, cognitive abilities and daily behaviors. As a professional research discipline, color psychology focuses on exploring how different hues affect individuals’ psychological experiences and trigger corresponding physiological responses.</w:t>
      </w:r>
      <w:r>
        <w:rPr>
          <w:rFonts w:hint="default" w:ascii="Times New Roman Regular" w:hAnsi="Times New Roman Regular" w:cs="Times New Roman Regular"/>
          <w:sz w:val="24"/>
          <w:szCs w:val="24"/>
          <w:lang w:val="en-US" w:eastAsia="zh-CN"/>
        </w:rPr>
        <w:t>Faber Birren proposed in "Color Psychology and Color Therapy" that colours can influence people's emotions, cognition, and behaviors through visual stimulation, and thus are widely applied in medical spaces, rehabilitation environments, and art therapy fields. Subsequently, Max Lüscher further explored the relationship between colours and the nervous system, believing that different colours may cause different psychological and physiological reactions, laying the foundation for the development of colour psychology.The “Invariant Hues” theory proposed by visual science suggests that colours located around 475 nm (blue) and 575 nm (yellow) have a high consistency perception among normal visual individuals and most red-green color-deficient individuals, and are less likely to be confused by the contrast line. (Mochizuki et al., 2011)Therefore, blue and yellow are considered the most stable colours in colour vision-friendly design. At the same time, high-contrast colour combinations are also an important strategy to improve colour vision recognition ability, such as black and white, yellow and black, blue and white, and deep blue and orange. (Mochizuki et al., 2008) These colour combinations have a high recognizability, while combinations such as red-green, red-black, and green-brown should be avoided. Current research generally believes that blue has the effect of stabilizing emotions and alleviating anxiety. (Oshima et al., 2012)Blue, a typical cool-toned hue, commonly conveys a sense of calm, security and reliability. Research has proven it can effectively ease psychological stress in medical settings and moderately stabilize users’ heart rate and blood pressure, making it a prevalent color choice for rehabilitation space design (Wang et al., 2021). In contrast, yellow embodies the warmth of sunshine, vitality and hopefulness. It works to elevate people’s emotional states, relieve nervous fatigue, and foster better focus and positive mindsets. As a dominant color in nature, green is widely recognized for its therapeutic benefits: it calms the nervous system, regulates emotional fluctuations, and facilitates psychological restoration. These unique properties make green a frequent research subject in natural healing and environmental psychology studies.For people with low vision, not only the colour itself but also the size of the graphics, the contrast of light and dark, and the layout structure affect the visual experience. A study from the University Hospital of Bern showed that increasing contrast can significantly improve the reading speed of patients with different types of low vision, and enlarging images and using large areas of colour blocks also help reduce the difficulty of visual recognition. (Christen and Abegg, 2017) Therefore, in visual design, high-contrast colour combinations, simple composition, and clear outlines should be adopted to fully utilize the remaining visual ability of people with low vision.</w:t>
      </w:r>
    </w:p>
    <w:p w14:paraId="7EB2E8BB">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Based on the above theories, this study integrates colour psychology, colour vision science, and low vision design principles in colour design. On the one hand, blue and yellow are used as the main colour systems, hoping to leverage their relatively stable visual recognition and positive emotional associations to balance the accessibility for colour vision-deficient individuals and the artistic healing experience; on the other hand, through high-contrast colour combinations, large areas of colour blocks, and simple composition, the visual recognition efficiency of people with low vision is improved. (DiGiulio, 2017) At the same time, for completely blind users, tactile, auditory, olfactory, and narrative designs should be combined to jointly construct a complete multi-sensory artistic experience, rather than relying solely on visual expression.</w:t>
      </w:r>
    </w:p>
    <w:p w14:paraId="548ACE3B">
      <w:pPr>
        <w:spacing w:line="360" w:lineRule="auto"/>
        <w:rPr>
          <w:rFonts w:hint="default" w:ascii="Times New Roman Regular" w:hAnsi="Times New Roman Regular" w:cs="Times New Roman Regular"/>
          <w:sz w:val="24"/>
          <w:szCs w:val="24"/>
          <w:lang w:val="en-US" w:eastAsia="zh-CN"/>
        </w:rPr>
      </w:pPr>
    </w:p>
    <w:p w14:paraId="005180D8">
      <w:pPr>
        <w:spacing w:line="360" w:lineRule="auto"/>
        <w:rPr>
          <w:rFonts w:hint="default" w:ascii="Times New Roman Regular" w:hAnsi="Times New Roman Regular" w:cs="Times New Roman Regular"/>
          <w:sz w:val="24"/>
          <w:szCs w:val="24"/>
          <w:lang w:val="en-US" w:eastAsia="zh-CN"/>
        </w:rPr>
      </w:pPr>
    </w:p>
    <w:p w14:paraId="454C6E65">
      <w:pPr>
        <w:spacing w:line="360" w:lineRule="auto"/>
        <w:jc w:val="center"/>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val="0"/>
          <w:sz w:val="32"/>
          <w:szCs w:val="32"/>
          <w:lang w:val="en-US" w:eastAsia="zh-CN"/>
        </w:rPr>
        <w:t>CHAPTER</w:t>
      </w:r>
      <w:r>
        <w:rPr>
          <w:rFonts w:hint="eastAsia" w:ascii="Times New Roman Bold" w:hAnsi="Times New Roman Bold" w:cs="Times New Roman Bold"/>
          <w:b/>
          <w:bCs w:val="0"/>
          <w:sz w:val="32"/>
          <w:szCs w:val="32"/>
          <w:lang w:val="en-US" w:eastAsia="zh-CN"/>
        </w:rPr>
        <w:t xml:space="preserve"> </w:t>
      </w:r>
      <w:r>
        <w:rPr>
          <w:rFonts w:hint="default" w:ascii="Times New Roman Bold" w:hAnsi="Times New Roman Bold" w:cs="Times New Roman Bold"/>
          <w:b/>
          <w:bCs w:val="0"/>
          <w:sz w:val="32"/>
          <w:szCs w:val="32"/>
          <w:lang w:val="en-US" w:eastAsia="zh-CN"/>
        </w:rPr>
        <w:t>3</w:t>
      </w:r>
      <w:r>
        <w:rPr>
          <w:rFonts w:hint="eastAsia" w:ascii="Times New Roman Bold" w:hAnsi="Times New Roman Bold" w:cs="Times New Roman Bold"/>
          <w:b/>
          <w:bCs w:val="0"/>
          <w:sz w:val="32"/>
          <w:szCs w:val="32"/>
          <w:lang w:val="en-US" w:eastAsia="zh-CN"/>
        </w:rPr>
        <w:t>：</w:t>
      </w:r>
      <w:r>
        <w:rPr>
          <w:rFonts w:hint="default" w:ascii="Times New Roman Bold" w:hAnsi="Times New Roman Bold" w:cs="Times New Roman Bold"/>
          <w:b/>
          <w:bCs/>
          <w:sz w:val="32"/>
          <w:szCs w:val="32"/>
          <w:lang w:val="en-US" w:eastAsia="zh-CN"/>
        </w:rPr>
        <w:t>Research Methodology</w:t>
      </w:r>
    </w:p>
    <w:p w14:paraId="39D1AB49">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study adopts Practice-based Research as the main research method, viewing design practice as an important way of knowledge production. Unlike traditional research methods that focus mainly on experiments or questionnaires, Practice-based Research emphasizes that design works themselves are both research outcomes and an important part of the research process. Researchers continuously try, adjust, and reflect in the design process to validate theories and form new design insights. Therefore, this project does not first complete the theory and then proceed with the design; instead, it continuously cycles and modifies between theoretical learning, material experimentation, and creative practice, making the design process an important part of the research.</w:t>
      </w:r>
    </w:p>
    <w:p w14:paraId="3B335ACE">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At the same time, this study combines the Reflective Practice method proposed by Schön (1983). Throughout the design process, the author continuously records design decisions, problems encountered during material experiments and creative processes, and through continuous reflection, adjusts the design direction. For example, when designing the bamboo forest scene initially, a large amount of green was used as the main visual element. However, after consulting relevant literature on color perception science, it was found that green might cause greater difficulty in recognition for people with red-green color vision deficiencies. Therefore, the color system was adjusted, and blue, yellow, and high-contrast elements were added in the subsequent design. (Zhangmin Yan,2020) This “design-reflection-correction” cycle runs through the entire project and forms the important foundation of the reflection chapter in the fifth chapter.In addition, this study draws on the concept of Participatory Design. The needs of visually impaired individuals are taken as the starting point of the design, rather than merely focusing on the visual effect of the work. (Chunfu Li, Huiting Shi，2014)Since this project was unable to conduct real user testing, the Participatory Design is more reflected in literature research and the introduction of design principles, such as combining visual science, multi-sensory art therapy, and cultural equality theory to attempt to establish stratified design strategies for color vision deficiencies, low vision, and total blindness populations. At the same time, this limitation of lacking the participation of real participants in the design process will also be further reflected in the fifth chapter.</w:t>
      </w:r>
    </w:p>
    <w:p w14:paraId="10BE55F0">
      <w:pPr>
        <w:spacing w:line="360" w:lineRule="auto"/>
        <w:rPr>
          <w:rFonts w:hint="default" w:ascii="Times New Roman Regular" w:hAnsi="Times New Roman Regular" w:cs="Times New Roman Regular"/>
          <w:lang w:val="en-US" w:eastAsia="zh-CN"/>
        </w:rPr>
      </w:pPr>
    </w:p>
    <w:p w14:paraId="0EC5D22B">
      <w:pPr>
        <w:spacing w:line="360" w:lineRule="auto"/>
        <w:rPr>
          <w:rFonts w:hint="default" w:ascii="Times New Roman Regular" w:hAnsi="Times New Roman Regular" w:cs="Times New Roman Regular"/>
          <w:lang w:val="en-US" w:eastAsia="zh-CN"/>
        </w:rPr>
      </w:pPr>
    </w:p>
    <w:p w14:paraId="239820B3">
      <w:pPr>
        <w:spacing w:line="360" w:lineRule="auto"/>
        <w:jc w:val="center"/>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val="0"/>
          <w:sz w:val="32"/>
          <w:szCs w:val="32"/>
          <w:lang w:val="en-US" w:eastAsia="zh-CN"/>
        </w:rPr>
        <w:t>CHAPTER</w:t>
      </w:r>
      <w:r>
        <w:rPr>
          <w:rFonts w:hint="eastAsia" w:ascii="Times New Roman Bold" w:hAnsi="Times New Roman Bold" w:cs="Times New Roman Bold"/>
          <w:b/>
          <w:bCs w:val="0"/>
          <w:sz w:val="32"/>
          <w:szCs w:val="32"/>
          <w:lang w:val="en-US" w:eastAsia="zh-CN"/>
        </w:rPr>
        <w:t xml:space="preserve"> </w:t>
      </w:r>
      <w:r>
        <w:rPr>
          <w:rFonts w:hint="default" w:ascii="Times New Roman Bold" w:hAnsi="Times New Roman Bold" w:cs="Times New Roman Bold"/>
          <w:b/>
          <w:bCs w:val="0"/>
          <w:sz w:val="32"/>
          <w:szCs w:val="32"/>
          <w:lang w:val="en-US" w:eastAsia="zh-CN"/>
        </w:rPr>
        <w:t>4</w:t>
      </w:r>
      <w:r>
        <w:rPr>
          <w:rFonts w:hint="eastAsia" w:ascii="Times New Roman Bold" w:hAnsi="Times New Roman Bold" w:cs="Times New Roman Bold"/>
          <w:b/>
          <w:bCs w:val="0"/>
          <w:sz w:val="32"/>
          <w:szCs w:val="32"/>
          <w:lang w:val="en-US" w:eastAsia="zh-CN"/>
        </w:rPr>
        <w:t>：</w:t>
      </w:r>
      <w:r>
        <w:rPr>
          <w:rFonts w:hint="default" w:ascii="Times New Roman Bold" w:hAnsi="Times New Roman Bold" w:cs="Times New Roman Bold"/>
          <w:b/>
          <w:bCs/>
          <w:sz w:val="32"/>
          <w:szCs w:val="32"/>
          <w:lang w:val="en-US" w:eastAsia="zh-CN"/>
        </w:rPr>
        <w:t>Project Analysis</w:t>
      </w:r>
    </w:p>
    <w:p w14:paraId="510B4D88">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4.1  Bamboo Forest Series Analysis </w:t>
      </w:r>
    </w:p>
    <w:p w14:paraId="361A9538">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bamboo forest serves as the starting point of the entire set of notebooks, functioning to guide users into a sensory experience. Therefore, the overall design emphasizes “awareness" and "listening”. In terms of color design, this series uses green as the main visual element, supplemented by a small amount of yellow to represent the natural atmosphere of sunlight passing through the bamboo forest. According to color psychology, green is typically associated with nature, balance, recovery, and vitality, and can alleviate tension and promote mental relaxation, making it suitable as the beginning of a healing narrative. However, this study also realizes that green is one of the colors that red-green color-blind individuals are most likely to confuse. Therefore, during the design process, contrast in brightness and black outline lines were added, and yellow was used to enhance the sense of depth, in order to reduce the difficulty in recognition for color-impaired individuals. This design reflects the balance between color psychology and color vision science, that is, it retains the emotional value of green while also considering visual accessibility.</w:t>
      </w:r>
    </w:p>
    <w:p w14:paraId="41FA7801">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anchor distT="0" distB="0" distL="114300" distR="114300" simplePos="0" relativeHeight="251660288" behindDoc="0" locked="0" layoutInCell="1" allowOverlap="1">
            <wp:simplePos x="0" y="0"/>
            <wp:positionH relativeFrom="column">
              <wp:posOffset>969010</wp:posOffset>
            </wp:positionH>
            <wp:positionV relativeFrom="paragraph">
              <wp:posOffset>134620</wp:posOffset>
            </wp:positionV>
            <wp:extent cx="3484245" cy="2142490"/>
            <wp:effectExtent l="0" t="0" r="20955" b="16510"/>
            <wp:wrapTopAndBottom/>
            <wp:docPr id="9" name="图片 9" descr="IMG_3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IMG_3097"/>
                    <pic:cNvPicPr>
                      <a:picLocks noChangeAspect="1"/>
                    </pic:cNvPicPr>
                  </pic:nvPicPr>
                  <pic:blipFill>
                    <a:blip r:embed="rId8"/>
                    <a:stretch>
                      <a:fillRect/>
                    </a:stretch>
                  </pic:blipFill>
                  <pic:spPr>
                    <a:xfrm>
                      <a:off x="0" y="0"/>
                      <a:ext cx="3484245" cy="2142490"/>
                    </a:xfrm>
                    <a:prstGeom prst="rect">
                      <a:avLst/>
                    </a:prstGeom>
                  </pic:spPr>
                </pic:pic>
              </a:graphicData>
            </a:graphic>
          </wp:anchor>
        </w:drawing>
      </w:r>
      <w:r>
        <w:rPr>
          <w:rFonts w:hint="default" w:ascii="Times New Roman Regular" w:hAnsi="Times New Roman Regular" w:cs="Times New Roman Regular"/>
          <w:sz w:val="24"/>
          <w:szCs w:val="24"/>
          <w:lang w:val="en-US" w:eastAsia="zh-CN"/>
        </w:rPr>
        <w:t>In terms of sensory design, the Bamboo Forest Series mainly combines static tactile, auditory, and olfactory sensations to construct a spatial experience. Materials with bamboo vein textures are added to the pages, allowing users to perceive the rhythm changes of the bamboo through touch; at the same time, non-periodic bird chirping and the sound of wind blowing through the bamboo leaves are combined to simulate the spatial sense of the natural environment, and bamboo leaf fragrance is added to further strengthen the image of the bamboo forest. Compared to visual images, this multi-sensory experience is more helpful for completely blind users to establish an overall imagination of the environment. From a theoretical perspective, this series mainly responds to the Attention Restoration Theory and the Non-Visual Mental Imagery Theory. The sounds and tactile sensations in the natural environment can help individuals recover their attention from continuous cognitive stress, and the combined effect of touch, sound, and smell also proves that vision is not the only way to form spatial imagination. In the story, “The wind first learned to listen to the world” symbolizes that the healing process is not to change oneself， but to re-establish a connection with the environment， laying the foundation for subsequent emotional exploration.</w:t>
      </w:r>
    </w:p>
    <w:p w14:paraId="07A268A5">
      <w:pPr>
        <w:spacing w:line="360" w:lineRule="auto"/>
        <w:rPr>
          <w:rFonts w:hint="default" w:ascii="Times New Roman Regular" w:hAnsi="Times New Roman Regular" w:cs="Times New Roman Regular"/>
          <w:sz w:val="24"/>
          <w:szCs w:val="24"/>
          <w:lang w:val="en-US" w:eastAsia="zh-CN"/>
        </w:rPr>
      </w:pPr>
    </w:p>
    <w:p w14:paraId="7CCE1D14">
      <w:pPr>
        <w:spacing w:line="360" w:lineRule="auto"/>
        <w:rPr>
          <w:rFonts w:hint="default" w:ascii="Times New Roman Regular" w:hAnsi="Times New Roman Regular" w:cs="Times New Roman Regular"/>
          <w:sz w:val="24"/>
          <w:szCs w:val="24"/>
          <w:lang w:val="en-US" w:eastAsia="zh-CN"/>
        </w:rPr>
      </w:pPr>
      <w:r>
        <w:rPr>
          <w:rFonts w:hint="default" w:ascii="Times New Roman Bold" w:hAnsi="Times New Roman Bold" w:cs="Times New Roman Bold"/>
          <w:b/>
          <w:bCs/>
          <w:sz w:val="24"/>
          <w:szCs w:val="24"/>
          <w:lang w:val="en-US" w:eastAsia="zh-CN"/>
        </w:rPr>
        <w:t>4.2 Rain Series Analysis</w:t>
      </w:r>
    </w:p>
    <w:p w14:paraId="280AFDB3">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The rain series is the most emotionally expressive chapter in the entire notebook series. Its theme shifts from exploration to companionship and acceptance, thus the overall design places greater emphasis on rhythm and emotional flow. In terms of color design, this series uses blue, white, and gray as the main color palette. Blue is believed to have the psychological effects of stabilizing emotions, reducing anxiety, and promoting relaxation. It is also one of the most stable colors for those with red-green color vision deficiencies, thus being able to balance both therapeutic functions and accessibility requirements. White and gray are enhanced through blank spaces to create a quiet atmosphere during rainy days, keeping the overall picture simple and reducing visual burden. </w:t>
      </w:r>
    </w:p>
    <w:p w14:paraId="18A164AF">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anchor distT="0" distB="0" distL="114300" distR="114300" simplePos="0" relativeHeight="251659264" behindDoc="0" locked="0" layoutInCell="1" allowOverlap="1">
            <wp:simplePos x="0" y="0"/>
            <wp:positionH relativeFrom="column">
              <wp:posOffset>1087755</wp:posOffset>
            </wp:positionH>
            <wp:positionV relativeFrom="paragraph">
              <wp:posOffset>128270</wp:posOffset>
            </wp:positionV>
            <wp:extent cx="3267710" cy="2310130"/>
            <wp:effectExtent l="0" t="0" r="8890" b="1270"/>
            <wp:wrapTopAndBottom/>
            <wp:docPr id="8" name="图片 8" descr="IMG_3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IMG_3095"/>
                    <pic:cNvPicPr>
                      <a:picLocks noChangeAspect="1"/>
                    </pic:cNvPicPr>
                  </pic:nvPicPr>
                  <pic:blipFill>
                    <a:blip r:embed="rId9"/>
                    <a:stretch>
                      <a:fillRect/>
                    </a:stretch>
                  </pic:blipFill>
                  <pic:spPr>
                    <a:xfrm>
                      <a:off x="0" y="0"/>
                      <a:ext cx="3267710" cy="2310130"/>
                    </a:xfrm>
                    <a:prstGeom prst="rect">
                      <a:avLst/>
                    </a:prstGeom>
                  </pic:spPr>
                </pic:pic>
              </a:graphicData>
            </a:graphic>
          </wp:anchor>
        </w:drawing>
      </w:r>
      <w:r>
        <w:rPr>
          <w:rFonts w:hint="default" w:ascii="Times New Roman Regular" w:hAnsi="Times New Roman Regular" w:cs="Times New Roman Regular"/>
          <w:sz w:val="24"/>
          <w:szCs w:val="24"/>
          <w:lang w:val="en-US" w:eastAsia="zh-CN"/>
        </w:rPr>
        <w:t xml:space="preserve">The tactile design uses bubble film as the core material. When the user gently presses the bubbles, a continuous tactile feedback is generated, corresponding to the rhythm of raindrops falling. At the same time, natural rain sounds are played to create cross-modal correspondence between touch and hearing, enhancing the overall perception of the rainy environment. Additionally, the rain after it stops, the earthy fragrance (Petrichor), as part of the olfactory design, further activates natural memories. This series mainly combines the theory of multisensory integration and the research results of pink noise. Studies have shown that continuous and stable natural rain sounds can reduce psychological stress and help individuals enter a more peaceful state. The combined effect of touch and hearing can enhance the consistency of emotional experience. In the story, the wind initially attempts to blow away the rain but eventually chooses to accompany it as it falls, reflecting that emotions do not necessarily need to be eliminated; sometimes companionship itself is a form of healing. This narrative also responds to the concept emphasized by art therapy of emotional expression and acceptance. </w:t>
      </w:r>
    </w:p>
    <w:p w14:paraId="2CC53643">
      <w:pPr>
        <w:spacing w:line="360" w:lineRule="auto"/>
        <w:rPr>
          <w:rFonts w:hint="default" w:ascii="Times New Roman Regular" w:hAnsi="Times New Roman Regular" w:cs="Times New Roman Regular"/>
          <w:sz w:val="24"/>
          <w:szCs w:val="24"/>
          <w:lang w:val="en-US" w:eastAsia="zh-CN"/>
        </w:rPr>
      </w:pPr>
    </w:p>
    <w:p w14:paraId="4F37D41C">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4.3 Sea Series Analysis</w:t>
      </w:r>
    </w:p>
    <w:p w14:paraId="63C1312A">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anchor distT="0" distB="0" distL="114300" distR="114300" simplePos="0" relativeHeight="251661312" behindDoc="0" locked="0" layoutInCell="1" allowOverlap="1">
            <wp:simplePos x="0" y="0"/>
            <wp:positionH relativeFrom="column">
              <wp:posOffset>1152525</wp:posOffset>
            </wp:positionH>
            <wp:positionV relativeFrom="paragraph">
              <wp:posOffset>2101215</wp:posOffset>
            </wp:positionV>
            <wp:extent cx="3202940" cy="2264410"/>
            <wp:effectExtent l="0" t="0" r="22860" b="21590"/>
            <wp:wrapTopAndBottom/>
            <wp:docPr id="11" name="图片 11" descr="IMG_3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IMG_3091"/>
                    <pic:cNvPicPr>
                      <a:picLocks noChangeAspect="1"/>
                    </pic:cNvPicPr>
                  </pic:nvPicPr>
                  <pic:blipFill>
                    <a:blip r:embed="rId10"/>
                    <a:stretch>
                      <a:fillRect/>
                    </a:stretch>
                  </pic:blipFill>
                  <pic:spPr>
                    <a:xfrm>
                      <a:off x="0" y="0"/>
                      <a:ext cx="3202940" cy="2264410"/>
                    </a:xfrm>
                    <a:prstGeom prst="rect">
                      <a:avLst/>
                    </a:prstGeom>
                  </pic:spPr>
                </pic:pic>
              </a:graphicData>
            </a:graphic>
          </wp:anchor>
        </w:drawing>
      </w:r>
      <w:r>
        <w:rPr>
          <w:rFonts w:hint="default" w:ascii="Times New Roman Regular" w:hAnsi="Times New Roman Regular" w:cs="Times New Roman Regular"/>
          <w:sz w:val="24"/>
          <w:szCs w:val="24"/>
          <w:lang w:val="en-US" w:eastAsia="zh-CN"/>
        </w:rPr>
        <w:t xml:space="preserve">The Sea series symbolizes the most free and open stage in the entire story, and also the part with the richest multi-sensory design. Compared to the previous two series, the design of the Sea series places greater emphasis on physical perception and spatial experience. It aims to stimulate users' desire for exploration through an open natural environment. The color design features icy blue and extensive blank spaces. The blue color continues the calm psychological suggestion from the previous chapter, while the gradual transition of light blue creates spatial layers of the sea surface. </w:t>
      </w:r>
    </w:p>
    <w:p w14:paraId="1C6B415B">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The use of blank spaces draws on the “leaving blank” concept in Eastern aesthetics, making the picture open and providing users with more space for free imagination. This series integrates three senses: touch, hearing, and smell. The page incorporates real sand grains and three-dimensional paper art structures to simulate the tactile experience of the beach and the waves; at the same time, it combines the sound of the waves and the chirping of seagulls to establish a complete auditory environment. The ocean fragrance further supplements the olfactory perception, allowing users to form an imagination of the seaside environment through multiple senses, rather than relying solely on visual images. Theoretically, this series mainly combines the Default Mode Network and the eight sensory models. The waves have a stable and repetitive rhythm, which helps to reduce external stimuli and gradually bring the brain into a relaxed and introspective state; while the three-dimensional structure and the touch process between different materials activate body movements and spatial perception, making the artistic experience no longer limited to visual viewing, but a process of body participation. In the story, the wind first faces the vast sea, from fear to running freely, symbolizing that the individual gradually breaks through psychological limitations and builds a sense of self-ability. Therefore, the sea not only represents the natural landscape but also symbolizes the re-gaining of freedom and confidence during the healing process. </w:t>
      </w:r>
    </w:p>
    <w:p w14:paraId="5FA0DC4B">
      <w:pPr>
        <w:spacing w:line="360" w:lineRule="auto"/>
        <w:rPr>
          <w:rFonts w:hint="default" w:ascii="Times New Roman Regular" w:hAnsi="Times New Roman Regular" w:cs="Times New Roman Regular"/>
          <w:sz w:val="24"/>
          <w:szCs w:val="24"/>
          <w:lang w:val="en-US" w:eastAsia="zh-CN"/>
        </w:rPr>
      </w:pPr>
    </w:p>
    <w:p w14:paraId="6B481B5C">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4.4 Night and Clouds Series Analysis</w:t>
      </w:r>
    </w:p>
    <w:p w14:paraId="780182C4">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drawing>
          <wp:anchor distT="0" distB="0" distL="114300" distR="114300" simplePos="0" relativeHeight="251662336" behindDoc="0" locked="0" layoutInCell="1" allowOverlap="1">
            <wp:simplePos x="0" y="0"/>
            <wp:positionH relativeFrom="column">
              <wp:posOffset>1060450</wp:posOffset>
            </wp:positionH>
            <wp:positionV relativeFrom="paragraph">
              <wp:posOffset>113665</wp:posOffset>
            </wp:positionV>
            <wp:extent cx="3560445" cy="2141855"/>
            <wp:effectExtent l="0" t="0" r="20955" b="17145"/>
            <wp:wrapTopAndBottom/>
            <wp:docPr id="12" name="图片 12" descr="IMG_3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IMG_3093"/>
                    <pic:cNvPicPr>
                      <a:picLocks noChangeAspect="1"/>
                    </pic:cNvPicPr>
                  </pic:nvPicPr>
                  <pic:blipFill>
                    <a:blip r:embed="rId11"/>
                    <a:stretch>
                      <a:fillRect/>
                    </a:stretch>
                  </pic:blipFill>
                  <pic:spPr>
                    <a:xfrm>
                      <a:off x="0" y="0"/>
                      <a:ext cx="3560445" cy="2141855"/>
                    </a:xfrm>
                    <a:prstGeom prst="rect">
                      <a:avLst/>
                    </a:prstGeom>
                  </pic:spPr>
                </pic:pic>
              </a:graphicData>
            </a:graphic>
          </wp:anchor>
        </w:drawing>
      </w:r>
      <w:r>
        <w:rPr>
          <w:rFonts w:hint="default" w:ascii="Times New Roman Regular" w:hAnsi="Times New Roman Regular" w:cs="Times New Roman Regular"/>
          <w:sz w:val="24"/>
          <w:szCs w:val="24"/>
          <w:lang w:val="en-US" w:eastAsia="zh-CN"/>
        </w:rPr>
        <w:t>The “Night and Clouds” series is the final chapter of the entire notebook set and also the conclusion of the healing narrative. Compared with the previous scenes, this series pays more attention to rest, reflection, and inner peace, aiming to guide the users to return from the external world to themselves. In terms of the color system, this series uses a high contrast combination of black and yellow. According to the invariant hues theory in color vision science, yellow is one of the most stable colors perceived by color vision defectors, and the black-yellow combination has extremely high visual contrast, thus enhancing the recognition ability of those with weak vision and color blindness. In this study, black does not represent fear but symbolizes tranquility, rest, and the night, enabling users to re-understand the healing significance of darkness. In terms of sensory design, the pages incorporate a jigsaw puzzle structure, requiring users to complete the assembly through touch, obtaining clear tactile feedback during the operation; soft cotton materials simulate the touch of clouds, further enhancing the sense of security. At the same time, combined with the slow chirping of crickets and the sounds of the nighttime environment, a meditative auditory atmosphere is formed, guiding emotions to gradually stabilize. This series mainly responds to research related to the Sense of Capability theory, the Psychosocial Adaptation Theory, and Interoception. The completion of the jigsaw puzzle can help users establish a positive experience of “I can complete it”, while the continuous and stable chirping of crickets reduces environmental stimulation, allowing attention to gradually return to the body, promoting emotional recovery. At the end of the story, the wind hides in the clouds, recalling the bamboo forest, the sea, and the rain it has experienced along the way, and sleeps quietly in the night. The entire narrative progresses from initially understanding the world to understanding oneself, forming a complete healing cycle. Therefore, the night is not the end of the story but the rest before the next journey begins, and it is also an important symbol of the final return to internal perception in the entire multi-sensory experience.</w:t>
      </w:r>
    </w:p>
    <w:p w14:paraId="612F358E">
      <w:pPr>
        <w:spacing w:line="360" w:lineRule="auto"/>
        <w:rPr>
          <w:rFonts w:hint="default" w:ascii="Times New Roman Regular" w:hAnsi="Times New Roman Regular" w:cs="Times New Roman Regular"/>
          <w:sz w:val="24"/>
          <w:szCs w:val="24"/>
          <w:lang w:val="en-US" w:eastAsia="zh-CN"/>
        </w:rPr>
      </w:pPr>
    </w:p>
    <w:p w14:paraId="046BCC1E">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By integrating the four series, it can be observed that this research does not consider vision as the sole artistic expression method. Instead, it jointly constructs a continuous sensory experience through color, touch, hearing, smell, and narration. The four natural scenes form a sensory narrative arc of “listening - accompanying - releasing - resting”, enabling users to gradually complete the psychological transition from the external world to their inner emotions while experiencing the natural environment. Although this project still lacks real user testing and its therapeutic effect cannot be verified through clinical validation, by integrating color psychology, color vision science, multi-sensory integration theory, and art therapy theory, this research provides a practical design idea for accessible art design for the visually impaired group, and also lays the foundation for subsequent clinical cooperation and user research.</w:t>
      </w:r>
    </w:p>
    <w:p w14:paraId="105DC691">
      <w:pPr>
        <w:spacing w:line="360" w:lineRule="auto"/>
        <w:rPr>
          <w:rFonts w:hint="default" w:ascii="Times New Roman Regular" w:hAnsi="Times New Roman Regular" w:cs="Times New Roman Regular"/>
          <w:sz w:val="24"/>
          <w:szCs w:val="24"/>
          <w:lang w:val="en-US" w:eastAsia="zh-CN"/>
        </w:rPr>
      </w:pPr>
    </w:p>
    <w:p w14:paraId="66519C4E">
      <w:pPr>
        <w:spacing w:line="360" w:lineRule="auto"/>
        <w:jc w:val="center"/>
        <w:rPr>
          <w:rFonts w:hint="default" w:ascii="Times New Roman Regular" w:hAnsi="Times New Roman Regular" w:cs="Times New Roman Regular"/>
        </w:rPr>
      </w:pPr>
      <w:r>
        <w:rPr>
          <w:rFonts w:hint="default" w:ascii="Times New Roman Bold" w:hAnsi="Times New Roman Bold" w:cs="Times New Roman Bold"/>
          <w:b/>
          <w:bCs w:val="0"/>
          <w:sz w:val="32"/>
          <w:szCs w:val="32"/>
          <w:lang w:val="en-US" w:eastAsia="zh-CN"/>
        </w:rPr>
        <w:t>CHAPTER</w:t>
      </w:r>
      <w:r>
        <w:rPr>
          <w:rFonts w:hint="eastAsia" w:ascii="Times New Roman Bold" w:hAnsi="Times New Roman Bold" w:cs="Times New Roman Bold"/>
          <w:b/>
          <w:bCs w:val="0"/>
          <w:sz w:val="32"/>
          <w:szCs w:val="32"/>
          <w:lang w:val="en-US" w:eastAsia="zh-CN"/>
        </w:rPr>
        <w:t xml:space="preserve"> 5：</w:t>
      </w:r>
      <w:r>
        <w:rPr>
          <w:rFonts w:hint="default" w:ascii="Times New Roman Bold" w:hAnsi="Times New Roman Bold" w:cs="Times New Roman Bold"/>
          <w:b/>
          <w:bCs/>
          <w:sz w:val="32"/>
          <w:szCs w:val="32"/>
        </w:rPr>
        <w:t>Reflection</w:t>
      </w:r>
    </w:p>
    <w:p w14:paraId="381B7551">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5.1 From Designer to Collaborative Designer: Reflections on User Involvement and Clinical Collaboration </w:t>
      </w:r>
    </w:p>
    <w:p w14:paraId="25DEFAB3">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This project initially aimed to respond to the concept of cultural equality, providing a more inclusive artistic experience for people with different visual abilities. However, throughout the design process, I gradually realized that the biggest limitation of this project did not come from the material selection or design presentation, but rather from the always-present and unignorable gap between the designer and the actual users. Due to time, ethical approval, and resource limitations, this project failed to establish partnerships with hospitals, schools for the visually impaired, or rehabilitation institutions, and did not invite real visually impaired individuals to participate in the design process. Therefore, from the story content, multi-sensory materials to the establishment of the color system, almost all design decisions were made by me based on literature research and personal understanding. This means that although this project is designed for visually impaired individuals, it lacks feedback from their real experiences. </w:t>
      </w:r>
    </w:p>
    <w:p w14:paraId="5DBB016E">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At the beginning of the project, I believed that thoroughly reading the relevant literature on visual science, art therapy, and multi-sensory design would help me establish a more reliable theoretical foundation. However, as I gradually completed the design of the four series, I began to realize that theory can help designers understand “what might happen”, but it cannot replace real usage experience. For instance, I assumed that bubble film could simulate the rhythm of raindrops, bamboo-patterned materials could help create the image of a bamboo forest, and the sound of crickets could bring a sense of calm, but these assumptions all came from my personal experience rather than from the real feedback of visually impaired people. Users of different ages, different cultural backgrounds, and different experiences of blindness might give completely different meanings to the same material, and these differences have not been verified in this project. This problem not only involves methodological deficiencies, but also relates to design ethics. Disability Studies has long emphasized the principle of “Nothing About Us Without Us”. Looking back on the entire project, I gradually realized that I have always defined what “healing” is and what “artistic experience suitable for visually impaired people” is from the perspective of a sighted designer. This way of constructing the usage experience solely by the designer, which is in stark contrast to the concept of cultural parity emphasizing shared participation, exists a clear tension. Therefore, if this project is to be continued in the future, I hope to change the “designing for the visually impaired” mindset and shift to “designing with the visually impaired”. Specifically, cooperation should be established with rehabilitation departments of eye hospitals, visually impaired schools, community support institutions for visually impaired people, and art therapists. Through interviews, joint creation, and long-term observation, the design should be continuously revised, so that visually impaired people not only become research subjects but also become important participants in the design decisions. </w:t>
      </w:r>
    </w:p>
    <w:p w14:paraId="290474E9">
      <w:pPr>
        <w:spacing w:line="360" w:lineRule="auto"/>
        <w:rPr>
          <w:rFonts w:hint="default" w:ascii="Times New Roman Regular" w:hAnsi="Times New Roman Regular" w:cs="Times New Roman Regular"/>
          <w:sz w:val="24"/>
          <w:szCs w:val="24"/>
          <w:lang w:val="en-US" w:eastAsia="zh-CN"/>
        </w:rPr>
      </w:pPr>
    </w:p>
    <w:p w14:paraId="1EB08CCE">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5.2 Reflection on the Application of Psychological Theories </w:t>
      </w:r>
    </w:p>
    <w:p w14:paraId="35FF77FB">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In this project, color psychology, multi-sensory integration, and narrative design jointly form the important theoretical basis of art therapy. However, after continuously reviewing the literature and completing the design, I gradually realized that there is still a certain gap in the derivation among these theories, and their applicability requires a more cautious understanding. First, this study extensively cited color psychology research such as blue alleviating anxiety and yellow enhancing mood, and based on this, established the color system of the entire work. However, after further reading related literature, I found that most color psychology experiments were based on normal visual groups, while specialized research on color vision defectors was very limited. This means that even if blue and yellow have stable psychological significance for normal visual individuals, it cannot directly prove that color vision defectors can obtain the same healing experience. Therefore, this project actually transfers the research results of normal visual groups to visual-impaired groups, and there are still certain theoretical gaps in between. On the other hand, I hope to construct a narrative structure with therapeutic significance through “The Journey of the Wind”, so that the four natural scenes form an emotional progression from exploration, release, companionship to rest. However, during the later reflection process, I realized that this story still belongs to a closed narrative. Participants are more likely to read the story provided by the designer rather than re-construct their own life experiences. From the perspective of narrative therapy, a truly therapeutic story should allow participants to actively interpret, modify, and even re-create the narrative, rather than accepting a completed answer. Therefore, in the future version, attempts can be made to add blank pages, tactile markers, audio recording modules, or personal story recording spaces, so that users can continue to write “The Journey of the Wind”, allowing the art experience to shift from being led by the designer to being jointly created by the participants. </w:t>
      </w:r>
    </w:p>
    <w:p w14:paraId="6FC291E7">
      <w:pPr>
        <w:spacing w:line="360" w:lineRule="auto"/>
        <w:rPr>
          <w:rFonts w:hint="default" w:ascii="Times New Roman Regular" w:hAnsi="Times New Roman Regular" w:cs="Times New Roman Regular"/>
          <w:sz w:val="24"/>
          <w:szCs w:val="24"/>
          <w:lang w:val="en-US" w:eastAsia="zh-CN"/>
        </w:rPr>
      </w:pPr>
    </w:p>
    <w:p w14:paraId="0CAF6C48">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5.3 Reflection on Functionality and Accessibility Design </w:t>
      </w:r>
    </w:p>
    <w:p w14:paraId="2BD8C69A">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After completing the physical notebook, I gradually realized that I paid more attention to how the work was presented, rather than thinking about how visually impaired people could truly use it independently. For instance, the entire notebook still relies on vision for navigation. Turning pages, finding materials, identifying chapters, and other operations all assume that the user has certain visual abilities. For fully blind users, this means they must rely on others’ assistance to complete the experience, which is in clear contradiction to the principle of independent use emphasized by accessible design. Moreover, although the four scenarios have obvious differences in themes and materials, the therapeutic functions have not been clearly divided. Regardless of different psychological stages such as anxiety, sadness, or long-term adaptation to blindness, this project has not established corresponding usage suggestions. Therefore, the work is closer to artistic creation rather than developing into an art therapy tool with clear clinical logic. I also found that although the entire project emphasizes multi-sensory experiences, the development of different senses is not balanced. The tactile design runs through all four series, the auditory design forms a complete soundscence, while the olfactory design still remains at the conceptual stage. Only in the paper is there a suggestion of fragrances such as bamboo leaves and the ocean, but they have not been truly integrated into the physical work. This imbalance also reflects that in the design process, I am still influenced by visual thinking. Even if I hope to achieve de-visual centralization, the visual still unconsciously occupies the design focus. If I continue to improve this project in the future, I hope to add braille page indexes, raised navigation lines, audio guides, and tactile positioning systems, and further collaborate with fragrance designers to make the four senses truly form a complete and balanced experience. </w:t>
      </w:r>
    </w:p>
    <w:p w14:paraId="06D0F3FC">
      <w:pPr>
        <w:spacing w:line="360" w:lineRule="auto"/>
        <w:rPr>
          <w:rFonts w:hint="default" w:ascii="Times New Roman Regular" w:hAnsi="Times New Roman Regular" w:cs="Times New Roman Regular"/>
          <w:sz w:val="24"/>
          <w:szCs w:val="24"/>
          <w:lang w:val="en-US" w:eastAsia="zh-CN"/>
        </w:rPr>
      </w:pPr>
    </w:p>
    <w:p w14:paraId="193D259D">
      <w:pPr>
        <w:spacing w:line="360" w:lineRule="auto"/>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5.4 Reflection from a Cultural Perspective </w:t>
      </w:r>
    </w:p>
    <w:p w14:paraId="2E67F4CA">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project selects bamboo groves, rain, the sea, and night as four natural scenes, aiming to establish a universal healing experience through the natural environment. However, after completing the design, I began to re-examine whether these natural images truly have cross-cultural universality.Among them, bamboo groves have distinct characteristics of East Asian culture. In cultures such as China and Japan, bamboo is usually associated with resilience, humility, and tranquility, thus easily linking to healing. However, for users who grew up in Europe or other cultural backgrounds, bamboo groves may not evoke the same psychological associations. They might be more familiar with forests, grasslands, or snowy areas. Therefore, the natural images I originally thought to be universally applicable actually still contain the designer's own cultural experience. This realization made me further realize that "universal design" is not truly without cultural background; rather, it hides the designer's own cultural perspective. Therefore, in the future, this project can attempt to develop a culturally-adaptive version. For example, while retaining the overall narrative structure, replace the corresponding natural scenes according to different regions, so that "The Journey of the Wind" can continue to unfold in different cultural environments while maintaining its core healing themes of exploration, companionship, freedom, and rest.</w:t>
      </w:r>
    </w:p>
    <w:p w14:paraId="7820F9DA">
      <w:pPr>
        <w:spacing w:line="360" w:lineRule="auto"/>
        <w:rPr>
          <w:rFonts w:hint="default" w:ascii="Times New Roman Regular" w:hAnsi="Times New Roman Regular" w:cs="Times New Roman Regular"/>
          <w:lang w:val="en-US" w:eastAsia="zh-CN"/>
        </w:rPr>
      </w:pPr>
    </w:p>
    <w:p w14:paraId="1E457573">
      <w:pPr>
        <w:spacing w:line="360" w:lineRule="auto"/>
        <w:jc w:val="center"/>
        <w:rPr>
          <w:rFonts w:hint="default" w:ascii="Times New Roman Regular" w:hAnsi="Times New Roman Regular" w:cs="Times New Roman Regular"/>
          <w:lang w:val="en-US" w:eastAsia="zh-CN"/>
        </w:rPr>
      </w:pPr>
      <w:r>
        <w:rPr>
          <w:rFonts w:hint="default" w:ascii="Times New Roman Bold" w:hAnsi="Times New Roman Bold" w:cs="Times New Roman Bold"/>
          <w:b/>
          <w:bCs w:val="0"/>
          <w:sz w:val="32"/>
          <w:szCs w:val="32"/>
          <w:lang w:val="en-US" w:eastAsia="zh-CN"/>
        </w:rPr>
        <w:t>CHAPTER</w:t>
      </w:r>
      <w:r>
        <w:rPr>
          <w:rFonts w:hint="eastAsia" w:ascii="Times New Roman Bold" w:hAnsi="Times New Roman Bold" w:cs="Times New Roman Bold"/>
          <w:b/>
          <w:bCs w:val="0"/>
          <w:sz w:val="32"/>
          <w:szCs w:val="32"/>
          <w:lang w:val="en-US" w:eastAsia="zh-CN"/>
        </w:rPr>
        <w:t xml:space="preserve"> 6：C</w:t>
      </w:r>
      <w:r>
        <w:rPr>
          <w:rFonts w:hint="default" w:ascii="Times New Roman Bold" w:hAnsi="Times New Roman Bold" w:cs="Times New Roman Bold"/>
          <w:b/>
          <w:bCs/>
          <w:sz w:val="32"/>
          <w:szCs w:val="32"/>
          <w:lang w:val="en-US" w:eastAsia="zh-CN"/>
        </w:rPr>
        <w:t>onclusion</w:t>
      </w:r>
    </w:p>
    <w:p w14:paraId="247EF04C">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This study focused on the visually impaired population and designed a set of art therapy journals that integrate visual, tactile, auditory and olfactory experiences, centered around cultural equality, multi-sensory design and art therapy. A sensory narrative composed of bamboo groves, oceans, rain and night was constructed with the theme of “The Journey of the Wind”. Different design strategies such as high contrast color schemes, visual assistance optimization, and the combination of touch, sound and smell were proposed for different visually impaired groups, providing references for accessible art design. The study integrates color vision, multi-sensory integration and art therapy theory, proposing the “Sensory Narrative Arc” design concept, emphasizing the substitution of visual center with multiple perceptions, and responding to cultural equality and inclusive design concepts. As it is still at the design prototype stage, in the future, it is necessary to combine real user participation, interdisciplinary collaboration and long-term evaluation to further verify the design effect, and improve auxiliary functions such as braille and voice guidance, while exploring adaptive designs in different cultural backgrounds. Overall, this study aims to re-think the relationship between humans and art, and humans and perception through de-centering visual design practices, promoting the construction of a more open, equal and shared art experience environment.</w:t>
      </w:r>
    </w:p>
    <w:p w14:paraId="3A095463">
      <w:pPr>
        <w:spacing w:line="360" w:lineRule="auto"/>
        <w:rPr>
          <w:rFonts w:hint="default" w:ascii="Times New Roman Regular" w:hAnsi="Times New Roman Regular" w:cs="Times New Roman Regular"/>
          <w:sz w:val="24"/>
          <w:szCs w:val="24"/>
          <w:lang w:val="en-US" w:eastAsia="zh-CN"/>
        </w:rPr>
      </w:pPr>
    </w:p>
    <w:p w14:paraId="793024B4">
      <w:pPr>
        <w:spacing w:line="360" w:lineRule="auto"/>
        <w:rPr>
          <w:rFonts w:hint="default" w:ascii="Times New Roman Regular" w:hAnsi="Times New Roman Regular" w:cs="Times New Roman Regular"/>
          <w:sz w:val="24"/>
          <w:szCs w:val="24"/>
          <w:lang w:val="en-US" w:eastAsia="zh-CN"/>
        </w:rPr>
      </w:pPr>
    </w:p>
    <w:p w14:paraId="4A06924F">
      <w:pPr>
        <w:spacing w:line="360" w:lineRule="auto"/>
        <w:rPr>
          <w:rFonts w:hint="default" w:ascii="Times New Roman Regular" w:hAnsi="Times New Roman Regular" w:cs="Times New Roman Regular"/>
          <w:sz w:val="24"/>
          <w:szCs w:val="24"/>
          <w:lang w:val="en-US" w:eastAsia="zh-CN"/>
        </w:rPr>
      </w:pPr>
    </w:p>
    <w:p w14:paraId="321E0EF2">
      <w:pPr>
        <w:spacing w:line="360" w:lineRule="auto"/>
        <w:rPr>
          <w:rFonts w:hint="default" w:ascii="Times New Roman Regular" w:hAnsi="Times New Roman Regular" w:cs="Times New Roman Regular"/>
          <w:sz w:val="24"/>
          <w:szCs w:val="24"/>
          <w:lang w:val="en-US" w:eastAsia="zh-CN"/>
        </w:rPr>
      </w:pPr>
    </w:p>
    <w:p w14:paraId="617B2767">
      <w:pPr>
        <w:spacing w:line="360" w:lineRule="auto"/>
        <w:rPr>
          <w:rFonts w:hint="default" w:ascii="Times New Roman Regular" w:hAnsi="Times New Roman Regular" w:cs="Times New Roman Regular"/>
          <w:sz w:val="24"/>
          <w:szCs w:val="24"/>
          <w:lang w:val="en-US" w:eastAsia="zh-CN"/>
        </w:rPr>
      </w:pPr>
    </w:p>
    <w:p w14:paraId="67413F32">
      <w:pPr>
        <w:spacing w:line="360" w:lineRule="auto"/>
        <w:rPr>
          <w:rFonts w:hint="default" w:ascii="Times New Roman Regular" w:hAnsi="Times New Roman Regular" w:cs="Times New Roman Regular"/>
          <w:sz w:val="24"/>
          <w:szCs w:val="24"/>
          <w:lang w:val="en-US" w:eastAsia="zh-CN"/>
        </w:rPr>
      </w:pPr>
    </w:p>
    <w:p w14:paraId="471983C4">
      <w:pPr>
        <w:keepNext w:val="0"/>
        <w:keepLines w:val="0"/>
        <w:pageBreakBefore w:val="0"/>
        <w:kinsoku/>
        <w:wordWrap/>
        <w:overflowPunct/>
        <w:topLinePunct w:val="0"/>
        <w:autoSpaceDE/>
        <w:autoSpaceDN/>
        <w:bidi w:val="0"/>
        <w:adjustRightInd/>
        <w:snapToGrid/>
        <w:spacing w:beforeAutospacing="0" w:afterAutospacing="0" w:line="480" w:lineRule="auto"/>
        <w:jc w:val="center"/>
        <w:textAlignment w:val="auto"/>
        <w:rPr>
          <w:rFonts w:hint="default" w:ascii="Times New Roman Regular" w:hAnsi="Times New Roman Regular" w:cs="Times New Roman Regular"/>
          <w:sz w:val="32"/>
          <w:szCs w:val="32"/>
          <w:lang w:val="en-US" w:eastAsia="zh-CN"/>
        </w:rPr>
      </w:pPr>
      <w:r>
        <w:rPr>
          <w:rFonts w:hint="default" w:ascii="Times New Roman Bold" w:hAnsi="Times New Roman Bold" w:cs="Times New Roman Bold"/>
          <w:b/>
          <w:bCs/>
          <w:sz w:val="32"/>
          <w:szCs w:val="32"/>
          <w:lang w:val="en-US" w:eastAsia="zh-CN"/>
        </w:rPr>
        <w:t>Reference</w:t>
      </w:r>
    </w:p>
    <w:p w14:paraId="203D1A2F">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Chao, H.-Y. (2018) 'Practice of art participation for adults with visual impairments: case study of life aesthetics curriculum in the Institute for the Blind of Taiwan', Journal of Special Education Development, 65, pp. 53–64.</w:t>
      </w:r>
    </w:p>
    <w:p w14:paraId="596D57DD">
      <w:pPr>
        <w:spacing w:line="360" w:lineRule="auto"/>
        <w:rPr>
          <w:rFonts w:hint="default" w:ascii="Times New Roman Regular" w:hAnsi="Times New Roman Regular" w:cs="Times New Roman Regular"/>
          <w:sz w:val="24"/>
          <w:szCs w:val="24"/>
          <w:lang w:val="en-US" w:eastAsia="zh-CN"/>
        </w:rPr>
      </w:pPr>
    </w:p>
    <w:p w14:paraId="7FCE20D8">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Christen, M. and Abegg, M. (2017) 'The effect of magnification and contrast on reading performance in different types of simulated low vision', Journal of Eye Movement Research, 10(2), 5, pp. 1–9. doi: 10.16910/jemr.10.2.5.</w:t>
      </w:r>
    </w:p>
    <w:p w14:paraId="2A70041B">
      <w:pPr>
        <w:spacing w:line="360" w:lineRule="auto"/>
        <w:rPr>
          <w:rFonts w:hint="default" w:ascii="Times New Roman Regular" w:hAnsi="Times New Roman Regular" w:cs="Times New Roman Regular"/>
          <w:sz w:val="24"/>
          <w:szCs w:val="24"/>
          <w:lang w:val="en-US" w:eastAsia="zh-CN"/>
        </w:rPr>
      </w:pPr>
    </w:p>
    <w:p w14:paraId="231E7E89">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DiGiulio, D. (2017) The Use of Art Therapy with the Blind to Impact a Sense of Capability. Undergraduate Honors College Thesis. Long Island University. Available at: https://digitalcommons.liu.edu/post_honors_theses/38.</w:t>
      </w:r>
    </w:p>
    <w:p w14:paraId="6FFD25E7">
      <w:pPr>
        <w:spacing w:line="360" w:lineRule="auto"/>
        <w:rPr>
          <w:rFonts w:hint="default" w:ascii="Times New Roman Regular" w:hAnsi="Times New Roman Regular" w:cs="Times New Roman Regular"/>
          <w:sz w:val="24"/>
          <w:szCs w:val="24"/>
          <w:lang w:val="en-US" w:eastAsia="zh-CN"/>
        </w:rPr>
      </w:pPr>
    </w:p>
    <w:p w14:paraId="29082C8E">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Elhawary, D.M., Maghraby, T.M., Elhag, A.E., Romeh, R.M. and Hassabo, A.G. (2024) 'Article Title', Journal of Textiles, Coloration and Polymer Science, pp. 443–448. Available at: https://jtcps.journals.ekb.eg/.</w:t>
      </w:r>
    </w:p>
    <w:p w14:paraId="0BDD47CD">
      <w:pPr>
        <w:spacing w:line="360" w:lineRule="auto"/>
        <w:rPr>
          <w:rFonts w:hint="default" w:ascii="Times New Roman Regular" w:hAnsi="Times New Roman Regular" w:cs="Times New Roman Regular"/>
          <w:sz w:val="24"/>
          <w:szCs w:val="24"/>
          <w:lang w:val="en-US" w:eastAsia="zh-CN"/>
        </w:rPr>
      </w:pPr>
    </w:p>
    <w:p w14:paraId="7A154B49">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Elliot, A.J. (2015) 'Color and psychological functioning: a review of theoretical and empirical work', Frontiers in Psychology, 6, article 368, pp. 1–8. doi: 10.3389/fpsyg.2015.00368.</w:t>
      </w:r>
    </w:p>
    <w:p w14:paraId="0928CB4D">
      <w:pPr>
        <w:spacing w:line="360" w:lineRule="auto"/>
        <w:rPr>
          <w:rFonts w:hint="default" w:ascii="Times New Roman Regular" w:hAnsi="Times New Roman Regular" w:cs="Times New Roman Regular"/>
          <w:sz w:val="24"/>
          <w:szCs w:val="24"/>
          <w:lang w:val="en-US" w:eastAsia="zh-CN"/>
        </w:rPr>
      </w:pPr>
    </w:p>
    <w:p w14:paraId="1F8D77FE">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Eshaghabadi, A., Koulivand, P.H. and Kazemi, H. (2017) 'Color Psychology and its Effect on Hospital Design and Patient Treatment', Archive of SID, pp. 170–177.</w:t>
      </w:r>
    </w:p>
    <w:p w14:paraId="3605AE76">
      <w:pPr>
        <w:spacing w:line="360" w:lineRule="auto"/>
        <w:rPr>
          <w:rFonts w:hint="default" w:ascii="Times New Roman Regular" w:hAnsi="Times New Roman Regular" w:cs="Times New Roman Regular"/>
          <w:sz w:val="24"/>
          <w:szCs w:val="24"/>
          <w:lang w:val="en-US" w:eastAsia="zh-CN"/>
        </w:rPr>
      </w:pPr>
    </w:p>
    <w:p w14:paraId="401D1D6D">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Fajrie, N., Rohidi, T.R. and Syakir, M. (2020) 'The Visualization of Technique to Express Art in the Emotional Representation of Visually Impaired People', in Proceedings of the International Conference on Science and Education and Technology (ISET 2019). Dordrecht: Atlantis Press (Advances in Social Science, Education and Humanities Research, vol. 443), pp. 106–109. doi: 10.2991/assehr.k.200620.021.</w:t>
      </w:r>
    </w:p>
    <w:p w14:paraId="03234190">
      <w:pPr>
        <w:spacing w:line="360" w:lineRule="auto"/>
        <w:rPr>
          <w:rFonts w:hint="default" w:ascii="Times New Roman Regular" w:hAnsi="Times New Roman Regular" w:cs="Times New Roman Regular"/>
          <w:sz w:val="24"/>
          <w:szCs w:val="24"/>
          <w:lang w:val="en-US" w:eastAsia="zh-CN"/>
        </w:rPr>
      </w:pPr>
    </w:p>
    <w:p w14:paraId="1EBD47D8">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Hertneky, C.E. (2020) Building multisensory awareness in arts participation. Master's thesis. Drexel University. Available at: https://doi.org/10.17918/00000062 (Accessed: 6 August 2026).</w:t>
      </w:r>
    </w:p>
    <w:p w14:paraId="69FF9BAD">
      <w:pPr>
        <w:spacing w:line="360" w:lineRule="auto"/>
        <w:rPr>
          <w:rFonts w:hint="default" w:ascii="Times New Roman Regular" w:hAnsi="Times New Roman Regular" w:cs="Times New Roman Regular"/>
          <w:sz w:val="24"/>
          <w:szCs w:val="24"/>
          <w:lang w:val="en-US" w:eastAsia="zh-CN"/>
        </w:rPr>
      </w:pPr>
    </w:p>
    <w:p w14:paraId="0D398855">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Li, C. and Shi, H. (2014) 'Medical Space Oriented Color Psychology Perception Model', Advanced Materials Research [or relevant venue], pp. 461–467. Available at: www.scientific.net.</w:t>
      </w:r>
    </w:p>
    <w:p w14:paraId="01B2FFC8">
      <w:pPr>
        <w:spacing w:line="360" w:lineRule="auto"/>
        <w:rPr>
          <w:rFonts w:hint="default" w:ascii="Times New Roman Regular" w:hAnsi="Times New Roman Regular" w:cs="Times New Roman Regular"/>
          <w:sz w:val="24"/>
          <w:szCs w:val="24"/>
          <w:lang w:val="en-US" w:eastAsia="zh-CN"/>
        </w:rPr>
      </w:pPr>
    </w:p>
    <w:p w14:paraId="03E9BFB1">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Mochizuki, R., Nakamura, T., Chao, J. and Lenz, R. (2008) 'Color-weak correction by discrimination threshold matching', in Proceedings of the 4th European Conference on Color in Graphics, Imaging, and Vision (CGIV 2008). Terrassa, Spain, 9–13 June. Springfield, VA: Society for Imaging Science and Technology (IS&amp;T), pp. 208–213.</w:t>
      </w:r>
    </w:p>
    <w:p w14:paraId="38FC7654">
      <w:pPr>
        <w:spacing w:line="360" w:lineRule="auto"/>
        <w:rPr>
          <w:rFonts w:hint="default" w:ascii="Times New Roman Regular" w:hAnsi="Times New Roman Regular" w:cs="Times New Roman Regular"/>
          <w:sz w:val="24"/>
          <w:szCs w:val="24"/>
          <w:lang w:val="en-US" w:eastAsia="zh-CN"/>
        </w:rPr>
      </w:pPr>
    </w:p>
    <w:p w14:paraId="7382D5AD">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Mochizuki, R., Oshima, S. and Chao, J. (2011) 'Fast Color-Weakness Compensation with Discrimination Threshold Matching', in Schettini, R., Tominaga, S. and Trémeau, A. (eds.) Computational Color Imaging (CCIW 2011). Berlin, Heidelberg: Springer (Lecture Notes in Computer Science, vol. 6626), pp. 176–187. doi: 10.1007/978-3-642-20404-3_16.</w:t>
      </w:r>
    </w:p>
    <w:p w14:paraId="6734957E">
      <w:pPr>
        <w:spacing w:line="360" w:lineRule="auto"/>
        <w:rPr>
          <w:rFonts w:hint="default" w:ascii="Times New Roman Regular" w:hAnsi="Times New Roman Regular" w:cs="Times New Roman Regular"/>
          <w:sz w:val="24"/>
          <w:szCs w:val="24"/>
          <w:lang w:val="en-US" w:eastAsia="zh-CN"/>
        </w:rPr>
      </w:pPr>
    </w:p>
    <w:p w14:paraId="4396F25F">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Oshima, S., Mochizuki, R., Lenz, R. and Chao, J. (2012) 'Color-Weakness Compensation using Riemann Normal Coordinates', in 2012 IEEE International Symposium on Multimedia. Irvine, CA, USA, 10–12 December. IEEE, pp. 207–210. doi: 10.1109/ISM.2012.42.</w:t>
      </w:r>
    </w:p>
    <w:p w14:paraId="2AD607B7">
      <w:pPr>
        <w:spacing w:line="360" w:lineRule="auto"/>
        <w:rPr>
          <w:rFonts w:hint="default" w:ascii="Times New Roman Regular" w:hAnsi="Times New Roman Regular" w:cs="Times New Roman Regular"/>
          <w:sz w:val="24"/>
          <w:szCs w:val="24"/>
          <w:lang w:val="en-US" w:eastAsia="zh-CN"/>
        </w:rPr>
      </w:pPr>
    </w:p>
    <w:p w14:paraId="3B8740DD">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Špinarová, G., Svobodová, Z., Růžičková, V., Potměšilová, P., Vrbová, T., Perimal-Lewis, L., Potměšil, M., Marečková, J. and Kantor, J. (2025) 'Arts therapies and people with visual impairment: a scoping review', The Arts in Psychotherapy, 95, 102317. doi: 10.1016/j.aip.2025.102317.</w:t>
      </w:r>
    </w:p>
    <w:p w14:paraId="2A2F4780">
      <w:pPr>
        <w:spacing w:line="360" w:lineRule="auto"/>
        <w:rPr>
          <w:rFonts w:hint="default" w:ascii="Times New Roman Regular" w:hAnsi="Times New Roman Regular" w:cs="Times New Roman Regular"/>
          <w:sz w:val="24"/>
          <w:szCs w:val="24"/>
          <w:lang w:val="en-US" w:eastAsia="zh-CN"/>
        </w:rPr>
      </w:pPr>
    </w:p>
    <w:p w14:paraId="730EF232">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Wang, W., Yuan, X., Chen, Z., Wu, X. and Gao, Z. (2021) 'Weak-Light Image Enhancement Method Based on Adaptive Local Gamma Transform and Color Compensation', Journal of Sensors, 2021, article ID 5563698, pp. 1–18. doi: 10.1155/2021/5563698.</w:t>
      </w:r>
    </w:p>
    <w:p w14:paraId="4ED86DED">
      <w:pPr>
        <w:spacing w:line="360" w:lineRule="auto"/>
        <w:rPr>
          <w:rFonts w:hint="default" w:ascii="Times New Roman Regular" w:hAnsi="Times New Roman Regular" w:cs="Times New Roman Regular"/>
          <w:sz w:val="24"/>
          <w:szCs w:val="24"/>
          <w:lang w:val="en-US" w:eastAsia="zh-CN"/>
        </w:rPr>
      </w:pPr>
    </w:p>
    <w:p w14:paraId="071D3319">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Wasson, J. (2004) An Art Therapy Assessment with Visually Impaired Adults. Master's thesis. Drexel University. Available at: https://doi.org/10.17918/00009385.</w:t>
      </w:r>
    </w:p>
    <w:p w14:paraId="0DA76182">
      <w:pPr>
        <w:spacing w:line="360" w:lineRule="auto"/>
        <w:rPr>
          <w:rFonts w:hint="default" w:ascii="Times New Roman Regular" w:hAnsi="Times New Roman Regular" w:cs="Times New Roman Regular"/>
          <w:sz w:val="24"/>
          <w:szCs w:val="24"/>
          <w:lang w:val="en-US" w:eastAsia="zh-CN"/>
        </w:rPr>
      </w:pPr>
    </w:p>
    <w:p w14:paraId="696FA77F">
      <w:pPr>
        <w:spacing w:line="360" w:lineRule="auto"/>
        <w:rPr>
          <w:rFonts w:hint="default" w:ascii="Times New Roman Regular" w:hAnsi="Times New Roman Regular" w:cs="Times New Roman Regular"/>
          <w:sz w:val="24"/>
          <w:szCs w:val="24"/>
          <w:lang w:val="en-US" w:eastAsia="zh-CN"/>
        </w:rPr>
      </w:pPr>
    </w:p>
    <w:p w14:paraId="21C37D61">
      <w:pPr>
        <w:spacing w:line="360" w:lineRule="auto"/>
        <w:rPr>
          <w:rFonts w:hint="default" w:ascii="Times New Roman Regular" w:hAnsi="Times New Roman Regular" w:cs="Times New Roman Regular"/>
          <w:sz w:val="24"/>
          <w:szCs w:val="24"/>
          <w:lang w:val="en-US" w:eastAsia="zh-CN"/>
        </w:rPr>
      </w:pPr>
    </w:p>
    <w:p w14:paraId="696C3A17">
      <w:pPr>
        <w:spacing w:line="360" w:lineRule="auto"/>
        <w:rPr>
          <w:rFonts w:hint="default" w:ascii="Times New Roman Regular" w:hAnsi="Times New Roman Regular" w:cs="Times New Roman Regular"/>
          <w:sz w:val="24"/>
          <w:szCs w:val="24"/>
          <w:lang w:val="en-US" w:eastAsia="zh-CN"/>
        </w:rPr>
      </w:pPr>
    </w:p>
    <w:p w14:paraId="2481B750">
      <w:pPr>
        <w:spacing w:line="360" w:lineRule="auto"/>
        <w:rPr>
          <w:rFonts w:hint="default" w:ascii="Times New Roman Regular" w:hAnsi="Times New Roman Regular" w:cs="Times New Roman Regular"/>
          <w:sz w:val="24"/>
          <w:szCs w:val="24"/>
          <w:lang w:val="en-US" w:eastAsia="zh-CN"/>
        </w:rPr>
      </w:pPr>
    </w:p>
    <w:p w14:paraId="29090796">
      <w:pPr>
        <w:spacing w:line="360" w:lineRule="auto"/>
        <w:rPr>
          <w:rFonts w:hint="default" w:ascii="Times New Roman Regular" w:hAnsi="Times New Roman Regular" w:cs="Times New Roman Regular"/>
          <w:sz w:val="24"/>
          <w:szCs w:val="24"/>
          <w:lang w:val="en-US" w:eastAsia="zh-CN"/>
        </w:rPr>
      </w:pPr>
    </w:p>
    <w:p w14:paraId="379860C5">
      <w:pPr>
        <w:spacing w:line="360" w:lineRule="auto"/>
        <w:rPr>
          <w:rFonts w:hint="default" w:ascii="Times New Roman Regular" w:hAnsi="Times New Roman Regular" w:cs="Times New Roman Regular"/>
          <w:sz w:val="24"/>
          <w:szCs w:val="24"/>
          <w:lang w:val="en-US" w:eastAsia="zh-CN"/>
        </w:rPr>
      </w:pPr>
    </w:p>
    <w:p w14:paraId="524D5E8B">
      <w:pPr>
        <w:spacing w:line="360" w:lineRule="auto"/>
        <w:rPr>
          <w:rFonts w:hint="default" w:ascii="Times New Roman Regular" w:hAnsi="Times New Roman Regular" w:cs="Times New Roman Regular"/>
          <w:sz w:val="24"/>
          <w:szCs w:val="24"/>
          <w:lang w:val="en-US" w:eastAsia="zh-CN"/>
        </w:rPr>
      </w:pPr>
    </w:p>
    <w:p w14:paraId="5547F446">
      <w:pPr>
        <w:spacing w:line="360" w:lineRule="auto"/>
        <w:rPr>
          <w:rFonts w:hint="default" w:ascii="Times New Roman Regular" w:hAnsi="Times New Roman Regular" w:cs="Times New Roman Regular"/>
          <w:sz w:val="24"/>
          <w:szCs w:val="24"/>
          <w:lang w:val="en-US" w:eastAsia="zh-CN"/>
        </w:rPr>
      </w:pPr>
    </w:p>
    <w:p w14:paraId="6ABC0347">
      <w:pPr>
        <w:spacing w:line="360" w:lineRule="auto"/>
        <w:rPr>
          <w:rFonts w:hint="default" w:ascii="Times New Roman Regular" w:hAnsi="Times New Roman Regular" w:cs="Times New Roman Regular"/>
          <w:sz w:val="24"/>
          <w:szCs w:val="24"/>
          <w:lang w:val="en-US" w:eastAsia="zh-CN"/>
        </w:rPr>
      </w:pPr>
    </w:p>
    <w:p w14:paraId="34CDC84D">
      <w:pPr>
        <w:spacing w:line="360" w:lineRule="auto"/>
        <w:rPr>
          <w:rFonts w:hint="default" w:ascii="Times New Roman Regular" w:hAnsi="Times New Roman Regular" w:cs="Times New Roman Regular"/>
          <w:sz w:val="24"/>
          <w:szCs w:val="24"/>
          <w:lang w:val="en-US" w:eastAsia="zh-CN"/>
        </w:rPr>
      </w:pPr>
    </w:p>
    <w:p w14:paraId="56C33295">
      <w:pPr>
        <w:spacing w:line="360" w:lineRule="auto"/>
        <w:rPr>
          <w:rFonts w:hint="default" w:ascii="Times New Roman Regular" w:hAnsi="Times New Roman Regular" w:cs="Times New Roman Regular"/>
          <w:sz w:val="24"/>
          <w:szCs w:val="24"/>
          <w:lang w:val="en-US" w:eastAsia="zh-CN"/>
        </w:rPr>
      </w:pPr>
    </w:p>
    <w:p w14:paraId="73B29D87">
      <w:pPr>
        <w:spacing w:line="360" w:lineRule="auto"/>
        <w:rPr>
          <w:rFonts w:hint="default" w:ascii="Times New Roman Regular" w:hAnsi="Times New Roman Regular" w:cs="Times New Roman Regular"/>
          <w:sz w:val="24"/>
          <w:szCs w:val="24"/>
          <w:lang w:val="en-US" w:eastAsia="zh-CN"/>
        </w:rPr>
      </w:pPr>
    </w:p>
    <w:p w14:paraId="2824B0CE">
      <w:pPr>
        <w:spacing w:line="360" w:lineRule="auto"/>
        <w:rPr>
          <w:rFonts w:hint="default" w:ascii="Times New Roman Regular" w:hAnsi="Times New Roman Regular" w:cs="Times New Roman Regular"/>
          <w:sz w:val="24"/>
          <w:szCs w:val="24"/>
          <w:lang w:val="en-US" w:eastAsia="zh-CN"/>
        </w:rPr>
      </w:pPr>
    </w:p>
    <w:p w14:paraId="4FED9ACA">
      <w:pPr>
        <w:spacing w:line="360" w:lineRule="auto"/>
        <w:rPr>
          <w:rFonts w:hint="default" w:ascii="Times New Roman Regular" w:hAnsi="Times New Roman Regular" w:cs="Times New Roman Regular"/>
          <w:sz w:val="24"/>
          <w:szCs w:val="24"/>
          <w:lang w:val="en-US" w:eastAsia="zh-CN"/>
        </w:rPr>
      </w:pPr>
    </w:p>
    <w:p w14:paraId="21513467">
      <w:pPr>
        <w:spacing w:line="360" w:lineRule="auto"/>
        <w:rPr>
          <w:rFonts w:hint="default" w:ascii="Times New Roman Regular" w:hAnsi="Times New Roman Regular" w:cs="Times New Roman Regular"/>
          <w:sz w:val="24"/>
          <w:szCs w:val="24"/>
          <w:lang w:val="en-US" w:eastAsia="zh-CN"/>
        </w:rPr>
      </w:pPr>
    </w:p>
    <w:p w14:paraId="701A63CA">
      <w:pPr>
        <w:spacing w:line="360" w:lineRule="auto"/>
        <w:rPr>
          <w:rFonts w:hint="default" w:ascii="Times New Roman Regular" w:hAnsi="Times New Roman Regular" w:cs="Times New Roman Regular"/>
          <w:sz w:val="24"/>
          <w:szCs w:val="24"/>
          <w:lang w:val="en-US" w:eastAsia="zh-CN"/>
        </w:rPr>
      </w:pPr>
    </w:p>
    <w:p w14:paraId="2B4F945B">
      <w:pPr>
        <w:spacing w:line="360" w:lineRule="auto"/>
        <w:rPr>
          <w:rFonts w:hint="default" w:ascii="Times New Roman Regular" w:hAnsi="Times New Roman Regular" w:cs="Times New Roman Regular"/>
          <w:sz w:val="24"/>
          <w:szCs w:val="24"/>
          <w:lang w:val="en-US" w:eastAsia="zh-CN"/>
        </w:rPr>
      </w:pPr>
    </w:p>
    <w:p w14:paraId="37787B34">
      <w:pPr>
        <w:spacing w:line="360" w:lineRule="auto"/>
        <w:rPr>
          <w:rFonts w:hint="default" w:ascii="Times New Roman Regular" w:hAnsi="Times New Roman Regular" w:cs="Times New Roman Regular"/>
          <w:sz w:val="24"/>
          <w:szCs w:val="24"/>
          <w:lang w:val="en-US" w:eastAsia="zh-CN"/>
        </w:rPr>
      </w:pPr>
    </w:p>
    <w:p w14:paraId="1FC86336">
      <w:pPr>
        <w:spacing w:line="360" w:lineRule="auto"/>
        <w:rPr>
          <w:rFonts w:hint="default" w:ascii="Times New Roman Regular" w:hAnsi="Times New Roman Regular" w:cs="Times New Roman Regular"/>
          <w:sz w:val="24"/>
          <w:szCs w:val="24"/>
          <w:lang w:val="en-US" w:eastAsia="zh-CN"/>
        </w:rPr>
      </w:pPr>
    </w:p>
    <w:p w14:paraId="0D5FE369">
      <w:pPr>
        <w:spacing w:line="360" w:lineRule="auto"/>
        <w:rPr>
          <w:rFonts w:hint="default" w:ascii="Times New Roman Regular" w:hAnsi="Times New Roman Regular" w:cs="Times New Roman Regular"/>
          <w:sz w:val="24"/>
          <w:szCs w:val="24"/>
          <w:lang w:val="en-US" w:eastAsia="zh-CN"/>
        </w:rPr>
      </w:pPr>
    </w:p>
    <w:p w14:paraId="3D1F39D9">
      <w:pPr>
        <w:spacing w:line="360" w:lineRule="auto"/>
        <w:rPr>
          <w:rFonts w:hint="default" w:ascii="Times New Roman Regular" w:hAnsi="Times New Roman Regular" w:cs="Times New Roman Regular"/>
          <w:sz w:val="24"/>
          <w:szCs w:val="24"/>
          <w:lang w:val="en-US" w:eastAsia="zh-CN"/>
        </w:rPr>
      </w:pPr>
      <w:bookmarkStart w:id="0" w:name="_GoBack"/>
      <w:bookmarkEnd w:id="0"/>
    </w:p>
    <w:p w14:paraId="294FFD37">
      <w:pPr>
        <w:spacing w:line="360" w:lineRule="auto"/>
        <w:jc w:val="center"/>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Bibliography</w:t>
      </w:r>
    </w:p>
    <w:p w14:paraId="5B52024C">
      <w:pPr>
        <w:spacing w:line="360" w:lineRule="auto"/>
        <w:rPr>
          <w:rFonts w:hint="default" w:ascii="Times New Roman Regular" w:hAnsi="Times New Roman Regular" w:cs="Times New Roman Regular"/>
          <w:sz w:val="24"/>
          <w:szCs w:val="24"/>
          <w:lang w:val="en-US" w:eastAsia="zh-CN"/>
        </w:rPr>
      </w:pPr>
    </w:p>
    <w:p w14:paraId="5A71679C">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Anonymous. (2017). Color psychology and its effect on hospital design and patient treatment. ResearchGate [J], 4(1).</w:t>
      </w:r>
    </w:p>
    <w:p w14:paraId="6BD1CE85">
      <w:pPr>
        <w:spacing w:line="360" w:lineRule="auto"/>
        <w:rPr>
          <w:rFonts w:hint="default" w:ascii="Times New Roman Regular" w:hAnsi="Times New Roman Regular" w:cs="Times New Roman Regular"/>
          <w:sz w:val="24"/>
          <w:szCs w:val="24"/>
          <w:lang w:val="en-US" w:eastAsia="zh-CN"/>
        </w:rPr>
      </w:pPr>
    </w:p>
    <w:p w14:paraId="589F8CBF">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Anonymous. (2024). Uncovering the five-element and five-color code of TCM: Traditional medical application of the five-element and five-color theory [EB/OL]. https://www.tianyijiankang.com</w:t>
      </w:r>
    </w:p>
    <w:p w14:paraId="0AD2F222">
      <w:pPr>
        <w:spacing w:line="360" w:lineRule="auto"/>
        <w:rPr>
          <w:rFonts w:hint="default" w:ascii="Times New Roman Regular" w:hAnsi="Times New Roman Regular" w:cs="Times New Roman Regular"/>
          <w:sz w:val="24"/>
          <w:szCs w:val="24"/>
          <w:lang w:val="en-US" w:eastAsia="zh-CN"/>
        </w:rPr>
      </w:pPr>
    </w:p>
    <w:p w14:paraId="36432F87">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Bosch, S. J., &amp; Cama, R. (2012). Evidence-based design for multiple building types [M]. Center for Health Design.</w:t>
      </w:r>
    </w:p>
    <w:p w14:paraId="0434E612">
      <w:pPr>
        <w:spacing w:line="360" w:lineRule="auto"/>
        <w:rPr>
          <w:rFonts w:hint="default" w:ascii="Times New Roman Regular" w:hAnsi="Times New Roman Regular" w:cs="Times New Roman Regular"/>
          <w:sz w:val="24"/>
          <w:szCs w:val="24"/>
          <w:lang w:val="en-US" w:eastAsia="zh-CN"/>
        </w:rPr>
      </w:pPr>
    </w:p>
    <w:p w14:paraId="23EA00E4">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Dahlkemper, M. P. (2014). Healing environments: Architecture and design for advanced geriatric care [M]. CreateSpace Independent Publishing Platform.</w:t>
      </w:r>
    </w:p>
    <w:p w14:paraId="04BEA437">
      <w:pPr>
        <w:spacing w:line="360" w:lineRule="auto"/>
        <w:rPr>
          <w:rFonts w:hint="default" w:ascii="Times New Roman Regular" w:hAnsi="Times New Roman Regular" w:cs="Times New Roman Regular"/>
          <w:sz w:val="24"/>
          <w:szCs w:val="24"/>
          <w:lang w:val="en-US" w:eastAsia="zh-CN"/>
        </w:rPr>
      </w:pPr>
    </w:p>
    <w:p w14:paraId="32CD1A48">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Huangdi Neijing</w:t>
      </w:r>
      <w:r>
        <w:rPr>
          <w:rFonts w:hint="default" w:ascii="Times New Roman Regular" w:hAnsi="Times New Roman Regular" w:cs="Times New Roman Regular"/>
          <w:i/>
          <w:iCs/>
          <w:sz w:val="24"/>
          <w:szCs w:val="24"/>
          <w:lang w:val="en-US" w:eastAsia="zh-CN"/>
        </w:rPr>
        <w:t> The Yellow Emperor’s Inner Canon</w:t>
      </w:r>
      <w:r>
        <w:rPr>
          <w:rFonts w:hint="default" w:ascii="Times New Roman Regular" w:hAnsi="Times New Roman Regular" w:cs="Times New Roman Regular"/>
          <w:sz w:val="24"/>
          <w:szCs w:val="24"/>
          <w:lang w:val="en-US" w:eastAsia="zh-CN"/>
        </w:rPr>
        <w:t>. (2012). The five-element and five-color theory [M]. People’s Medical Publishing House.</w:t>
      </w:r>
    </w:p>
    <w:p w14:paraId="34EB6082">
      <w:pPr>
        <w:spacing w:line="360" w:lineRule="auto"/>
        <w:rPr>
          <w:rFonts w:hint="default" w:ascii="Times New Roman Regular" w:hAnsi="Times New Roman Regular" w:cs="Times New Roman Regular"/>
          <w:sz w:val="24"/>
          <w:szCs w:val="24"/>
          <w:lang w:val="en-US" w:eastAsia="zh-CN"/>
        </w:rPr>
      </w:pPr>
    </w:p>
    <w:p w14:paraId="4DD8F7BC">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Lankston, L., Cusack, P., Fremantle, C., et al. (2010). The uptake of simple colour psychology principles in healthcare. Journal of Interior Design [J], 36(2), 21-37.</w:t>
      </w:r>
    </w:p>
    <w:p w14:paraId="6FB89EC7">
      <w:pPr>
        <w:spacing w:line="360" w:lineRule="auto"/>
        <w:rPr>
          <w:rFonts w:hint="default" w:ascii="Times New Roman Regular" w:hAnsi="Times New Roman Regular" w:cs="Times New Roman Regular"/>
          <w:sz w:val="24"/>
          <w:szCs w:val="24"/>
          <w:lang w:val="en-US" w:eastAsia="zh-CN"/>
        </w:rPr>
      </w:pPr>
    </w:p>
    <w:p w14:paraId="394E2496">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Lewis, M. (2024). Color in health care: How mindful design can improve clinical spaces. Psychiatry Advisor [J], 8(16).</w:t>
      </w:r>
    </w:p>
    <w:p w14:paraId="6C6FD333">
      <w:pPr>
        <w:spacing w:line="360" w:lineRule="auto"/>
        <w:rPr>
          <w:rFonts w:hint="default" w:ascii="Times New Roman Regular" w:hAnsi="Times New Roman Regular" w:cs="Times New Roman Regular"/>
          <w:sz w:val="24"/>
          <w:szCs w:val="24"/>
          <w:lang w:val="en-US" w:eastAsia="zh-CN"/>
        </w:rPr>
      </w:pPr>
    </w:p>
    <w:p w14:paraId="69287512">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Plutchik, R. (1980). A general psychoevolutionary theory of emotion. In Emotion: Theory, Research and Experience [J], 1, 3-33.</w:t>
      </w:r>
    </w:p>
    <w:p w14:paraId="0960B405">
      <w:pPr>
        <w:spacing w:line="360" w:lineRule="auto"/>
        <w:rPr>
          <w:rFonts w:hint="default" w:ascii="Times New Roman Regular" w:hAnsi="Times New Roman Regular" w:cs="Times New Roman Regular"/>
          <w:sz w:val="24"/>
          <w:szCs w:val="24"/>
          <w:lang w:val="en-US" w:eastAsia="zh-CN"/>
        </w:rPr>
      </w:pPr>
    </w:p>
    <w:p w14:paraId="493140BF">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Center for Health Design. Color in health care environments: The effects of color on health care providers and patients [EB/OL]. https://www.healthdesign.org</w:t>
      </w:r>
    </w:p>
    <w:p w14:paraId="345D29BE">
      <w:pPr>
        <w:spacing w:line="360" w:lineRule="auto"/>
        <w:rPr>
          <w:rFonts w:hint="default" w:ascii="Times New Roman Regular" w:hAnsi="Times New Roman Regular" w:cs="Times New Roman Regular"/>
          <w:sz w:val="24"/>
          <w:szCs w:val="24"/>
          <w:lang w:val="en-US" w:eastAsia="zh-CN"/>
        </w:rPr>
      </w:pPr>
    </w:p>
    <w:p w14:paraId="6DE5D151">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Ulrich, R. S. (1983). Aesthetic and affective response to natural environment. In Advances in Environmental Psychology [J], 6, 85-125.</w:t>
      </w:r>
    </w:p>
    <w:p w14:paraId="7EFB173D">
      <w:pPr>
        <w:spacing w:line="360" w:lineRule="auto"/>
        <w:rPr>
          <w:rFonts w:hint="default" w:ascii="Times New Roman Regular" w:hAnsi="Times New Roman Regular" w:cs="Times New Roman Regular"/>
          <w:sz w:val="24"/>
          <w:szCs w:val="24"/>
          <w:lang w:val="en-US" w:eastAsia="zh-CN"/>
        </w:rPr>
      </w:pPr>
    </w:p>
    <w:p w14:paraId="48407AF9">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Yi Li: Pin Li (Book of Etiquette and Ceremonial: Reception Rites). (2010). Traditional color system [M]. Zhonghua Book Company.</w:t>
      </w:r>
    </w:p>
    <w:p w14:paraId="0DFC15B3">
      <w:pPr>
        <w:spacing w:line="360" w:lineRule="auto"/>
        <w:rPr>
          <w:rFonts w:hint="default" w:ascii="Times New Roman Regular" w:hAnsi="Times New Roman Regular" w:cs="Times New Roman Regular"/>
          <w:sz w:val="24"/>
          <w:szCs w:val="24"/>
          <w:lang w:val="en-US" w:eastAsia="zh-CN"/>
        </w:rPr>
      </w:pPr>
    </w:p>
    <w:p w14:paraId="42095CAD">
      <w:pPr>
        <w:spacing w:line="360" w:lineRule="auto"/>
        <w:rPr>
          <w:rFonts w:hint="default" w:ascii="Times New Roman Regular" w:hAnsi="Times New Roman Regular" w:cs="Times New Roman Regular"/>
          <w:lang w:val="en-US" w:eastAsia="zh-CN"/>
        </w:rPr>
      </w:pPr>
      <w:r>
        <w:rPr>
          <w:rFonts w:hint="default" w:ascii="Times New Roman Regular" w:hAnsi="Times New Roman Regular" w:cs="Times New Roman Regular"/>
          <w:sz w:val="24"/>
          <w:szCs w:val="24"/>
          <w:lang w:val="en-US" w:eastAsia="zh-CN"/>
        </w:rPr>
        <w:t>Zhou Li: Tian Guan Zhong Zai. (2010). The five-color system [M]. Zhonghua Book Comp</w:t>
      </w:r>
      <w:r>
        <w:rPr>
          <w:rFonts w:hint="default" w:ascii="Times New Roman Regular" w:hAnsi="Times New Roman Regular" w:cs="Times New Roman Regular"/>
          <w:lang w:val="en-US" w:eastAsia="zh-CN"/>
        </w:rPr>
        <w:t>any.</w:t>
      </w:r>
    </w:p>
    <w:sectPr>
      <w:footerReference r:id="rId5"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Arial Regular">
    <w:panose1 w:val="020B06040202020902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80BE9A8">
    <w:pPr>
      <w:pStyle w:val="2"/>
      <w:jc w:val="center"/>
      <w:rPr>
        <w:rFonts w:hint="eastAsia" w:eastAsiaTheme="minorEastAsia"/>
        <w:lang w:val="en-US" w:eastAsia="zh-CN"/>
      </w:rPr>
    </w:pPr>
    <w:r>
      <w:rPr>
        <w:rFonts w:hint="eastAsia"/>
        <w:lang w:val="en-US" w:eastAsia="zh-CN"/>
      </w:rPr>
      <w:t>i</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E56D15">
    <w:pPr>
      <w:pStyle w:val="2"/>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267ECDD">
    <w:pPr>
      <w:pStyle w:val="2"/>
    </w:pPr>
    <w:r>
      <w:rPr>
        <w:sz w:val="18"/>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C7407D5">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14:paraId="3C7407D5">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1"/>
  <w:embedSystemFonts/>
  <w:bordersDoNotSurroundHeader w:val="0"/>
  <w:bordersDoNotSurroundFooter w:val="0"/>
  <w:documentProtection w:edit="readOnly"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3DF862E"/>
    <w:rsid w:val="1DCF6C3D"/>
    <w:rsid w:val="2DF401DC"/>
    <w:rsid w:val="34EBFD88"/>
    <w:rsid w:val="3E7B3C4E"/>
    <w:rsid w:val="3EBF894D"/>
    <w:rsid w:val="5F3710C5"/>
    <w:rsid w:val="5FFBDDB8"/>
    <w:rsid w:val="5FFF764B"/>
    <w:rsid w:val="71D1AB68"/>
    <w:rsid w:val="73DF862E"/>
    <w:rsid w:val="75F6649C"/>
    <w:rsid w:val="77FBD151"/>
    <w:rsid w:val="77FFB798"/>
    <w:rsid w:val="7AFDA209"/>
    <w:rsid w:val="7BCDE8F9"/>
    <w:rsid w:val="7D6A59FE"/>
    <w:rsid w:val="7F77A21E"/>
    <w:rsid w:val="A59FB82D"/>
    <w:rsid w:val="AF3D9E6F"/>
    <w:rsid w:val="B6F72DDF"/>
    <w:rsid w:val="B97BE5A1"/>
    <w:rsid w:val="BC764B93"/>
    <w:rsid w:val="BED643ED"/>
    <w:rsid w:val="C93787F4"/>
    <w:rsid w:val="CCA860C7"/>
    <w:rsid w:val="CEA68E07"/>
    <w:rsid w:val="CF279D5F"/>
    <w:rsid w:val="D94F169C"/>
    <w:rsid w:val="DEAF29C3"/>
    <w:rsid w:val="DFDD7993"/>
    <w:rsid w:val="E5D71AF7"/>
    <w:rsid w:val="ED797F27"/>
    <w:rsid w:val="EEB71AFD"/>
    <w:rsid w:val="F5BF9AEB"/>
    <w:rsid w:val="F6F84430"/>
    <w:rsid w:val="F7BFEAC6"/>
    <w:rsid w:val="F7F3DFB4"/>
    <w:rsid w:val="F7F50B47"/>
    <w:rsid w:val="FDCE7F49"/>
    <w:rsid w:val="FDF87E77"/>
    <w:rsid w:val="FE712A90"/>
    <w:rsid w:val="FFFDD385"/>
    <w:rsid w:val="FFFE33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26</Pages>
  <Words>0</Words>
  <Characters>0</Characters>
  <Lines>0</Lines>
  <Paragraphs>0</Paragraphs>
  <TotalTime>6</TotalTime>
  <ScaleCrop>false</ScaleCrop>
  <LinksUpToDate>false</LinksUpToDate>
  <CharactersWithSpaces>0</CharactersWithSpaces>
  <Application>WPS Office_12.1.23141.23141_F1E327BC-269C-435d-A152-05C5408002CA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2026-06-25T10:46:00Z</dcterms:created>
  <dc:creator>poon.</dc:creator>
  <cp:lastModifiedBy>poon.</cp:lastModifiedBy>
  <dcterms:modified xsi:type="dcterms:W3CDTF">2026-08-26T15:59:06Z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2052-12.1.23141.23141</vt:lpwstr>
  </property>
  <property fmtid="{D5CDD505-2E9C-101B-9397-08002B2CF9AE}" pid="3" name="ICV">
    <vt:lpwstr>726B178B2E45E9ACB8DC3C6A9863BDC9_41</vt:lpwstr>
  </property>
</Properties>
</file>