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5BBC60" w14:textId="77777777" w:rsidR="004F4F5B" w:rsidRPr="00021BF4" w:rsidRDefault="00AB049D" w:rsidP="00FB3560">
      <w:pPr>
        <w:jc w:val="center"/>
        <w:rPr>
          <w:b/>
          <w:bCs/>
          <w:color w:val="000000" w:themeColor="text1"/>
          <w:sz w:val="32"/>
          <w:szCs w:val="32"/>
          <w:lang w:val="en-GB"/>
        </w:rPr>
      </w:pPr>
      <w:r w:rsidRPr="00021BF4">
        <w:rPr>
          <w:b/>
          <w:bCs/>
          <w:color w:val="000000" w:themeColor="text1"/>
          <w:sz w:val="32"/>
          <w:szCs w:val="32"/>
          <w:lang w:val="en-GB"/>
        </w:rPr>
        <w:t>HEALTH, WELLBEING AND SUSTAINABLE DEVELOPMENT</w:t>
      </w:r>
    </w:p>
    <w:p w14:paraId="2056A50A" w14:textId="77777777" w:rsidR="004F4F5B" w:rsidRPr="00021BF4" w:rsidRDefault="004F4F5B" w:rsidP="00FB3560">
      <w:pPr>
        <w:rPr>
          <w:b/>
          <w:bCs/>
          <w:color w:val="000000" w:themeColor="text1"/>
          <w:sz w:val="32"/>
          <w:szCs w:val="32"/>
          <w:lang w:val="en-GB"/>
        </w:rPr>
      </w:pPr>
      <w:r w:rsidRPr="00021BF4">
        <w:rPr>
          <w:b/>
          <w:bCs/>
          <w:color w:val="000000" w:themeColor="text1"/>
          <w:sz w:val="32"/>
          <w:szCs w:val="32"/>
          <w:lang w:val="en-GB"/>
        </w:rPr>
        <w:br w:type="page"/>
      </w:r>
    </w:p>
    <w:sdt>
      <w:sdtPr>
        <w:rPr>
          <w:rFonts w:ascii="Arial" w:eastAsia="Arial" w:hAnsi="Arial" w:cs="Arial"/>
          <w:color w:val="auto"/>
          <w:sz w:val="22"/>
          <w:szCs w:val="22"/>
          <w:lang w:val="en-GB" w:eastAsia="en-IN"/>
        </w:rPr>
        <w:id w:val="1758248338"/>
        <w:docPartObj>
          <w:docPartGallery w:val="Table of Contents"/>
          <w:docPartUnique/>
        </w:docPartObj>
      </w:sdtPr>
      <w:sdtEndPr>
        <w:rPr>
          <w:b/>
          <w:bCs/>
          <w:noProof/>
        </w:rPr>
      </w:sdtEndPr>
      <w:sdtContent>
        <w:p w14:paraId="37063558" w14:textId="77777777" w:rsidR="004F4F5B" w:rsidRPr="00021BF4" w:rsidRDefault="004F4F5B" w:rsidP="00FB3560">
          <w:pPr>
            <w:pStyle w:val="TOCHeading"/>
            <w:spacing w:before="0"/>
            <w:jc w:val="center"/>
            <w:rPr>
              <w:rFonts w:ascii="Arial" w:hAnsi="Arial" w:cs="Arial"/>
              <w:b/>
              <w:bCs/>
              <w:color w:val="000000" w:themeColor="text1"/>
              <w:lang w:val="en-GB"/>
            </w:rPr>
          </w:pPr>
          <w:r w:rsidRPr="00021BF4">
            <w:rPr>
              <w:rFonts w:ascii="Arial" w:hAnsi="Arial" w:cs="Arial"/>
              <w:b/>
              <w:bCs/>
              <w:color w:val="000000" w:themeColor="text1"/>
              <w:lang w:val="en-GB"/>
            </w:rPr>
            <w:t>Table of Contents</w:t>
          </w:r>
        </w:p>
        <w:p w14:paraId="04393A1A" w14:textId="77777777" w:rsidR="004F4F5B" w:rsidRPr="00021BF4" w:rsidRDefault="00437420" w:rsidP="00FB3560">
          <w:pPr>
            <w:pStyle w:val="TOC1"/>
            <w:tabs>
              <w:tab w:val="right" w:leader="dot" w:pos="9350"/>
            </w:tabs>
            <w:spacing w:after="0"/>
            <w:rPr>
              <w:noProof/>
              <w:lang w:val="en-GB"/>
            </w:rPr>
          </w:pPr>
          <w:r w:rsidRPr="00021BF4">
            <w:rPr>
              <w:lang w:val="en-GB"/>
            </w:rPr>
            <w:fldChar w:fldCharType="begin"/>
          </w:r>
          <w:r w:rsidR="004F4F5B" w:rsidRPr="00021BF4">
            <w:rPr>
              <w:lang w:val="en-GB"/>
            </w:rPr>
            <w:instrText xml:space="preserve"> TOC \o "1-3" \h \z \u </w:instrText>
          </w:r>
          <w:r w:rsidRPr="00021BF4">
            <w:rPr>
              <w:lang w:val="en-GB"/>
            </w:rPr>
            <w:fldChar w:fldCharType="separate"/>
          </w:r>
          <w:hyperlink w:anchor="_Toc224577770" w:history="1">
            <w:r w:rsidR="004F4F5B" w:rsidRPr="00021BF4">
              <w:rPr>
                <w:rStyle w:val="Hyperlink"/>
                <w:noProof/>
                <w:lang w:val="en-GB"/>
              </w:rPr>
              <w:t>Introduction</w:t>
            </w:r>
            <w:r w:rsidR="004F4F5B" w:rsidRPr="00021BF4">
              <w:rPr>
                <w:noProof/>
                <w:webHidden/>
                <w:lang w:val="en-GB"/>
              </w:rPr>
              <w:tab/>
            </w:r>
            <w:r w:rsidRPr="00021BF4">
              <w:rPr>
                <w:noProof/>
                <w:webHidden/>
                <w:lang w:val="en-GB"/>
              </w:rPr>
              <w:fldChar w:fldCharType="begin"/>
            </w:r>
            <w:r w:rsidR="004F4F5B" w:rsidRPr="00021BF4">
              <w:rPr>
                <w:noProof/>
                <w:webHidden/>
                <w:lang w:val="en-GB"/>
              </w:rPr>
              <w:instrText xml:space="preserve"> PAGEREF _Toc224577770 \h </w:instrText>
            </w:r>
            <w:r w:rsidRPr="00021BF4">
              <w:rPr>
                <w:noProof/>
                <w:webHidden/>
                <w:lang w:val="en-GB"/>
              </w:rPr>
            </w:r>
            <w:r w:rsidRPr="00021BF4">
              <w:rPr>
                <w:noProof/>
                <w:webHidden/>
                <w:lang w:val="en-GB"/>
              </w:rPr>
              <w:fldChar w:fldCharType="separate"/>
            </w:r>
            <w:r w:rsidR="004F4F5B" w:rsidRPr="00021BF4">
              <w:rPr>
                <w:noProof/>
                <w:webHidden/>
                <w:lang w:val="en-GB"/>
              </w:rPr>
              <w:t>3</w:t>
            </w:r>
            <w:r w:rsidRPr="00021BF4">
              <w:rPr>
                <w:noProof/>
                <w:webHidden/>
                <w:lang w:val="en-GB"/>
              </w:rPr>
              <w:fldChar w:fldCharType="end"/>
            </w:r>
          </w:hyperlink>
        </w:p>
        <w:p w14:paraId="2276B5B6" w14:textId="77777777" w:rsidR="004F4F5B" w:rsidRPr="00021BF4" w:rsidRDefault="004F4F5B" w:rsidP="00FB3560">
          <w:pPr>
            <w:pStyle w:val="TOC1"/>
            <w:tabs>
              <w:tab w:val="right" w:leader="dot" w:pos="9350"/>
            </w:tabs>
            <w:spacing w:after="0"/>
            <w:rPr>
              <w:noProof/>
              <w:lang w:val="en-GB"/>
            </w:rPr>
          </w:pPr>
          <w:hyperlink w:anchor="_Toc224577771" w:history="1">
            <w:r w:rsidRPr="00021BF4">
              <w:rPr>
                <w:rStyle w:val="Hyperlink"/>
                <w:noProof/>
                <w:lang w:val="en-GB"/>
              </w:rPr>
              <w:t>Overview of the Selected SDGs</w:t>
            </w:r>
            <w:r w:rsidRPr="00021BF4">
              <w:rPr>
                <w:noProof/>
                <w:webHidden/>
                <w:lang w:val="en-GB"/>
              </w:rPr>
              <w:tab/>
            </w:r>
            <w:r w:rsidR="00437420" w:rsidRPr="00021BF4">
              <w:rPr>
                <w:noProof/>
                <w:webHidden/>
                <w:lang w:val="en-GB"/>
              </w:rPr>
              <w:fldChar w:fldCharType="begin"/>
            </w:r>
            <w:r w:rsidRPr="00021BF4">
              <w:rPr>
                <w:noProof/>
                <w:webHidden/>
                <w:lang w:val="en-GB"/>
              </w:rPr>
              <w:instrText xml:space="preserve"> PAGEREF _Toc224577771 \h </w:instrText>
            </w:r>
            <w:r w:rsidR="00437420" w:rsidRPr="00021BF4">
              <w:rPr>
                <w:noProof/>
                <w:webHidden/>
                <w:lang w:val="en-GB"/>
              </w:rPr>
            </w:r>
            <w:r w:rsidR="00437420" w:rsidRPr="00021BF4">
              <w:rPr>
                <w:noProof/>
                <w:webHidden/>
                <w:lang w:val="en-GB"/>
              </w:rPr>
              <w:fldChar w:fldCharType="separate"/>
            </w:r>
            <w:r w:rsidRPr="00021BF4">
              <w:rPr>
                <w:noProof/>
                <w:webHidden/>
                <w:lang w:val="en-GB"/>
              </w:rPr>
              <w:t>3</w:t>
            </w:r>
            <w:r w:rsidR="00437420" w:rsidRPr="00021BF4">
              <w:rPr>
                <w:noProof/>
                <w:webHidden/>
                <w:lang w:val="en-GB"/>
              </w:rPr>
              <w:fldChar w:fldCharType="end"/>
            </w:r>
          </w:hyperlink>
        </w:p>
        <w:p w14:paraId="3F25DEC9" w14:textId="77777777" w:rsidR="004F4F5B" w:rsidRPr="00021BF4" w:rsidRDefault="004F4F5B" w:rsidP="00FB3560">
          <w:pPr>
            <w:pStyle w:val="TOC2"/>
            <w:tabs>
              <w:tab w:val="right" w:leader="dot" w:pos="9350"/>
            </w:tabs>
            <w:spacing w:after="0"/>
            <w:rPr>
              <w:noProof/>
              <w:lang w:val="en-GB"/>
            </w:rPr>
          </w:pPr>
          <w:hyperlink w:anchor="_Toc224577772" w:history="1">
            <w:r w:rsidRPr="00021BF4">
              <w:rPr>
                <w:rStyle w:val="Hyperlink"/>
                <w:noProof/>
                <w:lang w:val="en-GB"/>
              </w:rPr>
              <w:t>SDG 3: Good Health and Wellbeing and Impact</w:t>
            </w:r>
            <w:r w:rsidRPr="00021BF4">
              <w:rPr>
                <w:noProof/>
                <w:webHidden/>
                <w:lang w:val="en-GB"/>
              </w:rPr>
              <w:tab/>
            </w:r>
            <w:r w:rsidR="00437420" w:rsidRPr="00021BF4">
              <w:rPr>
                <w:noProof/>
                <w:webHidden/>
                <w:lang w:val="en-GB"/>
              </w:rPr>
              <w:fldChar w:fldCharType="begin"/>
            </w:r>
            <w:r w:rsidRPr="00021BF4">
              <w:rPr>
                <w:noProof/>
                <w:webHidden/>
                <w:lang w:val="en-GB"/>
              </w:rPr>
              <w:instrText xml:space="preserve"> PAGEREF _Toc224577772 \h </w:instrText>
            </w:r>
            <w:r w:rsidR="00437420" w:rsidRPr="00021BF4">
              <w:rPr>
                <w:noProof/>
                <w:webHidden/>
                <w:lang w:val="en-GB"/>
              </w:rPr>
            </w:r>
            <w:r w:rsidR="00437420" w:rsidRPr="00021BF4">
              <w:rPr>
                <w:noProof/>
                <w:webHidden/>
                <w:lang w:val="en-GB"/>
              </w:rPr>
              <w:fldChar w:fldCharType="separate"/>
            </w:r>
            <w:r w:rsidRPr="00021BF4">
              <w:rPr>
                <w:noProof/>
                <w:webHidden/>
                <w:lang w:val="en-GB"/>
              </w:rPr>
              <w:t>3</w:t>
            </w:r>
            <w:r w:rsidR="00437420" w:rsidRPr="00021BF4">
              <w:rPr>
                <w:noProof/>
                <w:webHidden/>
                <w:lang w:val="en-GB"/>
              </w:rPr>
              <w:fldChar w:fldCharType="end"/>
            </w:r>
          </w:hyperlink>
        </w:p>
        <w:p w14:paraId="2AE08C6E" w14:textId="77777777" w:rsidR="004F4F5B" w:rsidRPr="00021BF4" w:rsidRDefault="004F4F5B" w:rsidP="00FB3560">
          <w:pPr>
            <w:pStyle w:val="TOC2"/>
            <w:tabs>
              <w:tab w:val="right" w:leader="dot" w:pos="9350"/>
            </w:tabs>
            <w:spacing w:after="0"/>
            <w:rPr>
              <w:noProof/>
              <w:lang w:val="en-GB"/>
            </w:rPr>
          </w:pPr>
          <w:hyperlink w:anchor="_Toc224577773" w:history="1">
            <w:r w:rsidRPr="00021BF4">
              <w:rPr>
                <w:rStyle w:val="Hyperlink"/>
                <w:noProof/>
                <w:lang w:val="en-GB"/>
              </w:rPr>
              <w:t>SDG 6: Clean Water and Sanitation and Impact</w:t>
            </w:r>
            <w:r w:rsidRPr="00021BF4">
              <w:rPr>
                <w:noProof/>
                <w:webHidden/>
                <w:lang w:val="en-GB"/>
              </w:rPr>
              <w:tab/>
            </w:r>
            <w:r w:rsidR="00437420" w:rsidRPr="00021BF4">
              <w:rPr>
                <w:noProof/>
                <w:webHidden/>
                <w:lang w:val="en-GB"/>
              </w:rPr>
              <w:fldChar w:fldCharType="begin"/>
            </w:r>
            <w:r w:rsidRPr="00021BF4">
              <w:rPr>
                <w:noProof/>
                <w:webHidden/>
                <w:lang w:val="en-GB"/>
              </w:rPr>
              <w:instrText xml:space="preserve"> PAGEREF _Toc224577773 \h </w:instrText>
            </w:r>
            <w:r w:rsidR="00437420" w:rsidRPr="00021BF4">
              <w:rPr>
                <w:noProof/>
                <w:webHidden/>
                <w:lang w:val="en-GB"/>
              </w:rPr>
            </w:r>
            <w:r w:rsidR="00437420" w:rsidRPr="00021BF4">
              <w:rPr>
                <w:noProof/>
                <w:webHidden/>
                <w:lang w:val="en-GB"/>
              </w:rPr>
              <w:fldChar w:fldCharType="separate"/>
            </w:r>
            <w:r w:rsidRPr="00021BF4">
              <w:rPr>
                <w:noProof/>
                <w:webHidden/>
                <w:lang w:val="en-GB"/>
              </w:rPr>
              <w:t>4</w:t>
            </w:r>
            <w:r w:rsidR="00437420" w:rsidRPr="00021BF4">
              <w:rPr>
                <w:noProof/>
                <w:webHidden/>
                <w:lang w:val="en-GB"/>
              </w:rPr>
              <w:fldChar w:fldCharType="end"/>
            </w:r>
          </w:hyperlink>
        </w:p>
        <w:p w14:paraId="03780F69" w14:textId="77777777" w:rsidR="004F4F5B" w:rsidRPr="00021BF4" w:rsidRDefault="004F4F5B" w:rsidP="00FB3560">
          <w:pPr>
            <w:pStyle w:val="TOC1"/>
            <w:tabs>
              <w:tab w:val="right" w:leader="dot" w:pos="9350"/>
            </w:tabs>
            <w:spacing w:after="0"/>
            <w:rPr>
              <w:noProof/>
              <w:lang w:val="en-GB"/>
            </w:rPr>
          </w:pPr>
          <w:hyperlink w:anchor="_Toc224577774" w:history="1">
            <w:r w:rsidRPr="00021BF4">
              <w:rPr>
                <w:rStyle w:val="Hyperlink"/>
                <w:noProof/>
                <w:lang w:val="en-GB"/>
              </w:rPr>
              <w:t>Sustainability Policies and Initiatives</w:t>
            </w:r>
            <w:r w:rsidRPr="00021BF4">
              <w:rPr>
                <w:noProof/>
                <w:webHidden/>
                <w:lang w:val="en-GB"/>
              </w:rPr>
              <w:tab/>
            </w:r>
            <w:r w:rsidR="00437420" w:rsidRPr="00021BF4">
              <w:rPr>
                <w:noProof/>
                <w:webHidden/>
                <w:lang w:val="en-GB"/>
              </w:rPr>
              <w:fldChar w:fldCharType="begin"/>
            </w:r>
            <w:r w:rsidRPr="00021BF4">
              <w:rPr>
                <w:noProof/>
                <w:webHidden/>
                <w:lang w:val="en-GB"/>
              </w:rPr>
              <w:instrText xml:space="preserve"> PAGEREF _Toc224577774 \h </w:instrText>
            </w:r>
            <w:r w:rsidR="00437420" w:rsidRPr="00021BF4">
              <w:rPr>
                <w:noProof/>
                <w:webHidden/>
                <w:lang w:val="en-GB"/>
              </w:rPr>
            </w:r>
            <w:r w:rsidR="00437420" w:rsidRPr="00021BF4">
              <w:rPr>
                <w:noProof/>
                <w:webHidden/>
                <w:lang w:val="en-GB"/>
              </w:rPr>
              <w:fldChar w:fldCharType="separate"/>
            </w:r>
            <w:r w:rsidRPr="00021BF4">
              <w:rPr>
                <w:noProof/>
                <w:webHidden/>
                <w:lang w:val="en-GB"/>
              </w:rPr>
              <w:t>6</w:t>
            </w:r>
            <w:r w:rsidR="00437420" w:rsidRPr="00021BF4">
              <w:rPr>
                <w:noProof/>
                <w:webHidden/>
                <w:lang w:val="en-GB"/>
              </w:rPr>
              <w:fldChar w:fldCharType="end"/>
            </w:r>
          </w:hyperlink>
        </w:p>
        <w:p w14:paraId="2FF3F282" w14:textId="77777777" w:rsidR="004F4F5B" w:rsidRPr="00021BF4" w:rsidRDefault="004F4F5B" w:rsidP="00FB3560">
          <w:pPr>
            <w:pStyle w:val="TOC2"/>
            <w:tabs>
              <w:tab w:val="right" w:leader="dot" w:pos="9350"/>
            </w:tabs>
            <w:spacing w:after="0"/>
            <w:rPr>
              <w:noProof/>
              <w:lang w:val="en-GB"/>
            </w:rPr>
          </w:pPr>
          <w:hyperlink w:anchor="_Toc224577775" w:history="1">
            <w:r w:rsidRPr="00021BF4">
              <w:rPr>
                <w:rStyle w:val="Hyperlink"/>
                <w:noProof/>
                <w:lang w:val="en-GB"/>
              </w:rPr>
              <w:t>Local and national Initiatives</w:t>
            </w:r>
            <w:r w:rsidRPr="00021BF4">
              <w:rPr>
                <w:noProof/>
                <w:webHidden/>
                <w:lang w:val="en-GB"/>
              </w:rPr>
              <w:tab/>
            </w:r>
            <w:r w:rsidR="00437420" w:rsidRPr="00021BF4">
              <w:rPr>
                <w:noProof/>
                <w:webHidden/>
                <w:lang w:val="en-GB"/>
              </w:rPr>
              <w:fldChar w:fldCharType="begin"/>
            </w:r>
            <w:r w:rsidRPr="00021BF4">
              <w:rPr>
                <w:noProof/>
                <w:webHidden/>
                <w:lang w:val="en-GB"/>
              </w:rPr>
              <w:instrText xml:space="preserve"> PAGEREF _Toc224577775 \h </w:instrText>
            </w:r>
            <w:r w:rsidR="00437420" w:rsidRPr="00021BF4">
              <w:rPr>
                <w:noProof/>
                <w:webHidden/>
                <w:lang w:val="en-GB"/>
              </w:rPr>
            </w:r>
            <w:r w:rsidR="00437420" w:rsidRPr="00021BF4">
              <w:rPr>
                <w:noProof/>
                <w:webHidden/>
                <w:lang w:val="en-GB"/>
              </w:rPr>
              <w:fldChar w:fldCharType="separate"/>
            </w:r>
            <w:r w:rsidRPr="00021BF4">
              <w:rPr>
                <w:noProof/>
                <w:webHidden/>
                <w:lang w:val="en-GB"/>
              </w:rPr>
              <w:t>6</w:t>
            </w:r>
            <w:r w:rsidR="00437420" w:rsidRPr="00021BF4">
              <w:rPr>
                <w:noProof/>
                <w:webHidden/>
                <w:lang w:val="en-GB"/>
              </w:rPr>
              <w:fldChar w:fldCharType="end"/>
            </w:r>
          </w:hyperlink>
        </w:p>
        <w:p w14:paraId="3CAB2404" w14:textId="77777777" w:rsidR="004F4F5B" w:rsidRPr="00021BF4" w:rsidRDefault="004F4F5B" w:rsidP="00FB3560">
          <w:pPr>
            <w:pStyle w:val="TOC2"/>
            <w:tabs>
              <w:tab w:val="right" w:leader="dot" w:pos="9350"/>
            </w:tabs>
            <w:spacing w:after="0"/>
            <w:rPr>
              <w:noProof/>
              <w:lang w:val="en-GB"/>
            </w:rPr>
          </w:pPr>
          <w:hyperlink w:anchor="_Toc224577776" w:history="1">
            <w:r w:rsidRPr="00021BF4">
              <w:rPr>
                <w:rStyle w:val="Hyperlink"/>
                <w:noProof/>
                <w:lang w:val="en-GB"/>
              </w:rPr>
              <w:t>Evaluation of the Effectiveness of Initiatives</w:t>
            </w:r>
            <w:r w:rsidRPr="00021BF4">
              <w:rPr>
                <w:noProof/>
                <w:webHidden/>
                <w:lang w:val="en-GB"/>
              </w:rPr>
              <w:tab/>
            </w:r>
            <w:r w:rsidR="00437420" w:rsidRPr="00021BF4">
              <w:rPr>
                <w:noProof/>
                <w:webHidden/>
                <w:lang w:val="en-GB"/>
              </w:rPr>
              <w:fldChar w:fldCharType="begin"/>
            </w:r>
            <w:r w:rsidRPr="00021BF4">
              <w:rPr>
                <w:noProof/>
                <w:webHidden/>
                <w:lang w:val="en-GB"/>
              </w:rPr>
              <w:instrText xml:space="preserve"> PAGEREF _Toc224577776 \h </w:instrText>
            </w:r>
            <w:r w:rsidR="00437420" w:rsidRPr="00021BF4">
              <w:rPr>
                <w:noProof/>
                <w:webHidden/>
                <w:lang w:val="en-GB"/>
              </w:rPr>
            </w:r>
            <w:r w:rsidR="00437420" w:rsidRPr="00021BF4">
              <w:rPr>
                <w:noProof/>
                <w:webHidden/>
                <w:lang w:val="en-GB"/>
              </w:rPr>
              <w:fldChar w:fldCharType="separate"/>
            </w:r>
            <w:r w:rsidRPr="00021BF4">
              <w:rPr>
                <w:noProof/>
                <w:webHidden/>
                <w:lang w:val="en-GB"/>
              </w:rPr>
              <w:t>7</w:t>
            </w:r>
            <w:r w:rsidR="00437420" w:rsidRPr="00021BF4">
              <w:rPr>
                <w:noProof/>
                <w:webHidden/>
                <w:lang w:val="en-GB"/>
              </w:rPr>
              <w:fldChar w:fldCharType="end"/>
            </w:r>
          </w:hyperlink>
        </w:p>
        <w:p w14:paraId="0C918F8A" w14:textId="77777777" w:rsidR="004F4F5B" w:rsidRPr="00021BF4" w:rsidRDefault="004F4F5B" w:rsidP="00FB3560">
          <w:pPr>
            <w:pStyle w:val="TOC1"/>
            <w:tabs>
              <w:tab w:val="right" w:leader="dot" w:pos="9350"/>
            </w:tabs>
            <w:spacing w:after="0"/>
            <w:rPr>
              <w:noProof/>
              <w:lang w:val="en-GB"/>
            </w:rPr>
          </w:pPr>
          <w:hyperlink w:anchor="_Toc224577777" w:history="1">
            <w:r w:rsidRPr="00021BF4">
              <w:rPr>
                <w:rStyle w:val="Hyperlink"/>
                <w:noProof/>
                <w:lang w:val="en-GB"/>
              </w:rPr>
              <w:t>Recommendations for Improvement</w:t>
            </w:r>
            <w:r w:rsidRPr="00021BF4">
              <w:rPr>
                <w:noProof/>
                <w:webHidden/>
                <w:lang w:val="en-GB"/>
              </w:rPr>
              <w:tab/>
            </w:r>
            <w:r w:rsidR="00437420" w:rsidRPr="00021BF4">
              <w:rPr>
                <w:noProof/>
                <w:webHidden/>
                <w:lang w:val="en-GB"/>
              </w:rPr>
              <w:fldChar w:fldCharType="begin"/>
            </w:r>
            <w:r w:rsidRPr="00021BF4">
              <w:rPr>
                <w:noProof/>
                <w:webHidden/>
                <w:lang w:val="en-GB"/>
              </w:rPr>
              <w:instrText xml:space="preserve"> PAGEREF _Toc224577777 \h </w:instrText>
            </w:r>
            <w:r w:rsidR="00437420" w:rsidRPr="00021BF4">
              <w:rPr>
                <w:noProof/>
                <w:webHidden/>
                <w:lang w:val="en-GB"/>
              </w:rPr>
            </w:r>
            <w:r w:rsidR="00437420" w:rsidRPr="00021BF4">
              <w:rPr>
                <w:noProof/>
                <w:webHidden/>
                <w:lang w:val="en-GB"/>
              </w:rPr>
              <w:fldChar w:fldCharType="separate"/>
            </w:r>
            <w:r w:rsidRPr="00021BF4">
              <w:rPr>
                <w:noProof/>
                <w:webHidden/>
                <w:lang w:val="en-GB"/>
              </w:rPr>
              <w:t>8</w:t>
            </w:r>
            <w:r w:rsidR="00437420" w:rsidRPr="00021BF4">
              <w:rPr>
                <w:noProof/>
                <w:webHidden/>
                <w:lang w:val="en-GB"/>
              </w:rPr>
              <w:fldChar w:fldCharType="end"/>
            </w:r>
          </w:hyperlink>
        </w:p>
        <w:p w14:paraId="473C4BB1" w14:textId="77777777" w:rsidR="004F4F5B" w:rsidRPr="00021BF4" w:rsidRDefault="004F4F5B" w:rsidP="00FB3560">
          <w:pPr>
            <w:pStyle w:val="TOC1"/>
            <w:tabs>
              <w:tab w:val="right" w:leader="dot" w:pos="9350"/>
            </w:tabs>
            <w:spacing w:after="0"/>
            <w:rPr>
              <w:noProof/>
              <w:lang w:val="en-GB"/>
            </w:rPr>
          </w:pPr>
          <w:hyperlink w:anchor="_Toc224577778" w:history="1">
            <w:r w:rsidRPr="00021BF4">
              <w:rPr>
                <w:rStyle w:val="Hyperlink"/>
                <w:noProof/>
                <w:lang w:val="en-GB"/>
              </w:rPr>
              <w:t>Conclusion</w:t>
            </w:r>
            <w:r w:rsidRPr="00021BF4">
              <w:rPr>
                <w:noProof/>
                <w:webHidden/>
                <w:lang w:val="en-GB"/>
              </w:rPr>
              <w:tab/>
            </w:r>
            <w:r w:rsidR="00437420" w:rsidRPr="00021BF4">
              <w:rPr>
                <w:noProof/>
                <w:webHidden/>
                <w:lang w:val="en-GB"/>
              </w:rPr>
              <w:fldChar w:fldCharType="begin"/>
            </w:r>
            <w:r w:rsidRPr="00021BF4">
              <w:rPr>
                <w:noProof/>
                <w:webHidden/>
                <w:lang w:val="en-GB"/>
              </w:rPr>
              <w:instrText xml:space="preserve"> PAGEREF _Toc224577778 \h </w:instrText>
            </w:r>
            <w:r w:rsidR="00437420" w:rsidRPr="00021BF4">
              <w:rPr>
                <w:noProof/>
                <w:webHidden/>
                <w:lang w:val="en-GB"/>
              </w:rPr>
            </w:r>
            <w:r w:rsidR="00437420" w:rsidRPr="00021BF4">
              <w:rPr>
                <w:noProof/>
                <w:webHidden/>
                <w:lang w:val="en-GB"/>
              </w:rPr>
              <w:fldChar w:fldCharType="separate"/>
            </w:r>
            <w:r w:rsidRPr="00021BF4">
              <w:rPr>
                <w:noProof/>
                <w:webHidden/>
                <w:lang w:val="en-GB"/>
              </w:rPr>
              <w:t>9</w:t>
            </w:r>
            <w:r w:rsidR="00437420" w:rsidRPr="00021BF4">
              <w:rPr>
                <w:noProof/>
                <w:webHidden/>
                <w:lang w:val="en-GB"/>
              </w:rPr>
              <w:fldChar w:fldCharType="end"/>
            </w:r>
          </w:hyperlink>
        </w:p>
        <w:p w14:paraId="6F30A5BB" w14:textId="77777777" w:rsidR="004F4F5B" w:rsidRPr="00021BF4" w:rsidRDefault="004F4F5B" w:rsidP="00FB3560">
          <w:pPr>
            <w:pStyle w:val="TOC1"/>
            <w:tabs>
              <w:tab w:val="right" w:leader="dot" w:pos="9350"/>
            </w:tabs>
            <w:spacing w:after="0"/>
            <w:rPr>
              <w:noProof/>
              <w:lang w:val="en-GB"/>
            </w:rPr>
          </w:pPr>
          <w:hyperlink w:anchor="_Toc224577779" w:history="1">
            <w:r w:rsidRPr="00021BF4">
              <w:rPr>
                <w:rStyle w:val="Hyperlink"/>
                <w:noProof/>
                <w:lang w:val="en-GB"/>
              </w:rPr>
              <w:t>References</w:t>
            </w:r>
            <w:r w:rsidRPr="00021BF4">
              <w:rPr>
                <w:noProof/>
                <w:webHidden/>
                <w:lang w:val="en-GB"/>
              </w:rPr>
              <w:tab/>
            </w:r>
            <w:r w:rsidR="00437420" w:rsidRPr="00021BF4">
              <w:rPr>
                <w:noProof/>
                <w:webHidden/>
                <w:lang w:val="en-GB"/>
              </w:rPr>
              <w:fldChar w:fldCharType="begin"/>
            </w:r>
            <w:r w:rsidRPr="00021BF4">
              <w:rPr>
                <w:noProof/>
                <w:webHidden/>
                <w:lang w:val="en-GB"/>
              </w:rPr>
              <w:instrText xml:space="preserve"> PAGEREF _Toc224577779 \h </w:instrText>
            </w:r>
            <w:r w:rsidR="00437420" w:rsidRPr="00021BF4">
              <w:rPr>
                <w:noProof/>
                <w:webHidden/>
                <w:lang w:val="en-GB"/>
              </w:rPr>
            </w:r>
            <w:r w:rsidR="00437420" w:rsidRPr="00021BF4">
              <w:rPr>
                <w:noProof/>
                <w:webHidden/>
                <w:lang w:val="en-GB"/>
              </w:rPr>
              <w:fldChar w:fldCharType="separate"/>
            </w:r>
            <w:r w:rsidRPr="00021BF4">
              <w:rPr>
                <w:noProof/>
                <w:webHidden/>
                <w:lang w:val="en-GB"/>
              </w:rPr>
              <w:t>10</w:t>
            </w:r>
            <w:r w:rsidR="00437420" w:rsidRPr="00021BF4">
              <w:rPr>
                <w:noProof/>
                <w:webHidden/>
                <w:lang w:val="en-GB"/>
              </w:rPr>
              <w:fldChar w:fldCharType="end"/>
            </w:r>
          </w:hyperlink>
        </w:p>
        <w:p w14:paraId="3852EE5F" w14:textId="77777777" w:rsidR="004F4F5B" w:rsidRPr="00021BF4" w:rsidRDefault="00437420" w:rsidP="00FB3560">
          <w:pPr>
            <w:rPr>
              <w:lang w:val="en-GB"/>
            </w:rPr>
          </w:pPr>
          <w:r w:rsidRPr="00021BF4">
            <w:rPr>
              <w:b/>
              <w:bCs/>
              <w:noProof/>
              <w:lang w:val="en-GB"/>
            </w:rPr>
            <w:fldChar w:fldCharType="end"/>
          </w:r>
        </w:p>
      </w:sdtContent>
    </w:sdt>
    <w:p w14:paraId="608F7AAA" w14:textId="77777777" w:rsidR="00B91E91" w:rsidRPr="00021BF4" w:rsidRDefault="00B91E91" w:rsidP="00FB3560">
      <w:pPr>
        <w:jc w:val="center"/>
        <w:rPr>
          <w:b/>
          <w:bCs/>
          <w:color w:val="000000" w:themeColor="text1"/>
          <w:sz w:val="32"/>
          <w:szCs w:val="32"/>
          <w:lang w:val="en-GB"/>
        </w:rPr>
      </w:pPr>
    </w:p>
    <w:p w14:paraId="7B61C8E2" w14:textId="77777777" w:rsidR="00B91E91" w:rsidRPr="00021BF4" w:rsidRDefault="00AB049D" w:rsidP="00FB3560">
      <w:pPr>
        <w:pStyle w:val="Heading1"/>
        <w:spacing w:before="0" w:after="0"/>
        <w:rPr>
          <w:lang w:val="en-GB"/>
        </w:rPr>
      </w:pPr>
      <w:bookmarkStart w:id="0" w:name="_udo5ynrqster" w:colFirst="0" w:colLast="0"/>
      <w:bookmarkEnd w:id="0"/>
      <w:r w:rsidRPr="00021BF4">
        <w:rPr>
          <w:lang w:val="en-GB"/>
        </w:rPr>
        <w:br w:type="page"/>
      </w:r>
    </w:p>
    <w:p w14:paraId="71649357" w14:textId="77777777" w:rsidR="00B91E91" w:rsidRPr="00021BF4" w:rsidRDefault="00AB049D" w:rsidP="00FB3560">
      <w:pPr>
        <w:pStyle w:val="Heading1"/>
        <w:spacing w:before="0" w:after="0"/>
        <w:rPr>
          <w:lang w:val="en-GB"/>
        </w:rPr>
      </w:pPr>
      <w:bookmarkStart w:id="1" w:name="_uo8cwfmpjpsz" w:colFirst="0" w:colLast="0"/>
      <w:bookmarkStart w:id="2" w:name="_Toc224577770"/>
      <w:bookmarkEnd w:id="1"/>
      <w:r w:rsidRPr="00021BF4">
        <w:rPr>
          <w:lang w:val="en-GB"/>
        </w:rPr>
        <w:lastRenderedPageBreak/>
        <w:t>Introduction</w:t>
      </w:r>
      <w:bookmarkEnd w:id="2"/>
    </w:p>
    <w:p w14:paraId="3A755995" w14:textId="77777777" w:rsidR="00B91E91" w:rsidRPr="00021BF4" w:rsidRDefault="00AB049D" w:rsidP="00FB3560">
      <w:pPr>
        <w:rPr>
          <w:color w:val="000000" w:themeColor="text1"/>
          <w:lang w:val="en-GB"/>
        </w:rPr>
      </w:pPr>
      <w:r w:rsidRPr="00021BF4">
        <w:rPr>
          <w:color w:val="000000" w:themeColor="text1"/>
          <w:lang w:val="en-GB"/>
        </w:rPr>
        <w:t>Sustainable development</w:t>
      </w:r>
      <w:r w:rsidR="00E16571">
        <w:rPr>
          <w:color w:val="000000" w:themeColor="text1"/>
          <w:lang w:val="en-GB"/>
        </w:rPr>
        <w:t xml:space="preserve"> (SD)</w:t>
      </w:r>
      <w:r w:rsidRPr="00021BF4">
        <w:rPr>
          <w:color w:val="000000" w:themeColor="text1"/>
          <w:lang w:val="en-GB"/>
        </w:rPr>
        <w:t xml:space="preserve"> is significant in enhancing life and wellbeing in the citizens across the globe. The 2030 Agenda of </w:t>
      </w:r>
      <w:r w:rsidR="00E16571">
        <w:rPr>
          <w:color w:val="000000" w:themeColor="text1"/>
          <w:lang w:val="en-GB"/>
        </w:rPr>
        <w:t xml:space="preserve">SD </w:t>
      </w:r>
      <w:r w:rsidRPr="00021BF4">
        <w:rPr>
          <w:color w:val="000000" w:themeColor="text1"/>
          <w:lang w:val="en-GB"/>
        </w:rPr>
        <w:t xml:space="preserve">offered by the United Nations consists of 17 </w:t>
      </w:r>
      <w:r w:rsidR="00E16571">
        <w:rPr>
          <w:color w:val="000000" w:themeColor="text1"/>
          <w:lang w:val="en-GB"/>
        </w:rPr>
        <w:t xml:space="preserve">SD </w:t>
      </w:r>
      <w:r w:rsidRPr="00021BF4">
        <w:rPr>
          <w:color w:val="000000" w:themeColor="text1"/>
          <w:lang w:val="en-GB"/>
        </w:rPr>
        <w:t>Goals that are intended to deal with global issues</w:t>
      </w:r>
      <w:r w:rsidR="00B42C5A" w:rsidRPr="00021BF4">
        <w:rPr>
          <w:color w:val="000000" w:themeColor="text1"/>
          <w:lang w:val="en-GB"/>
        </w:rPr>
        <w:t xml:space="preserve"> (</w:t>
      </w:r>
      <w:r w:rsidR="00B42C5A" w:rsidRPr="00021BF4">
        <w:rPr>
          <w:color w:val="000000" w:themeColor="text1"/>
          <w:shd w:val="clear" w:color="auto" w:fill="FFFFFF"/>
          <w:lang w:val="en-GB"/>
        </w:rPr>
        <w:t>Aman</w:t>
      </w:r>
      <w:r w:rsidR="009112B1" w:rsidRPr="00021BF4">
        <w:rPr>
          <w:color w:val="000000" w:themeColor="text1"/>
          <w:shd w:val="clear" w:color="auto" w:fill="FFFFFF"/>
          <w:lang w:val="en-GB"/>
        </w:rPr>
        <w:t xml:space="preserve"> </w:t>
      </w:r>
      <w:r w:rsidR="00021BF4" w:rsidRPr="00021BF4">
        <w:rPr>
          <w:i/>
          <w:iCs/>
          <w:color w:val="000000" w:themeColor="text1"/>
          <w:shd w:val="clear" w:color="auto" w:fill="FFFFFF"/>
          <w:lang w:val="en-GB"/>
        </w:rPr>
        <w:t>et.al</w:t>
      </w:r>
      <w:r w:rsidR="00021BF4" w:rsidRPr="00021BF4">
        <w:rPr>
          <w:color w:val="000000" w:themeColor="text1"/>
          <w:shd w:val="clear" w:color="auto" w:fill="FFFFFF"/>
          <w:lang w:val="en-GB"/>
        </w:rPr>
        <w:t xml:space="preserve"> 2024</w:t>
      </w:r>
      <w:r w:rsidR="00B42C5A" w:rsidRPr="00021BF4">
        <w:rPr>
          <w:color w:val="000000" w:themeColor="text1"/>
          <w:lang w:val="en-GB"/>
        </w:rPr>
        <w:t>)</w:t>
      </w:r>
      <w:r w:rsidRPr="00021BF4">
        <w:rPr>
          <w:color w:val="000000" w:themeColor="text1"/>
          <w:lang w:val="en-GB"/>
        </w:rPr>
        <w:t xml:space="preserve">. This report examines </w:t>
      </w:r>
      <w:r w:rsidR="00A27768">
        <w:rPr>
          <w:color w:val="000000" w:themeColor="text1"/>
          <w:lang w:val="en-GB"/>
        </w:rPr>
        <w:t xml:space="preserve">SD </w:t>
      </w:r>
      <w:r w:rsidRPr="00021BF4">
        <w:rPr>
          <w:color w:val="000000" w:themeColor="text1"/>
          <w:lang w:val="en-GB"/>
        </w:rPr>
        <w:t xml:space="preserve">Goal 3: Good Health and Wellbeing and </w:t>
      </w:r>
      <w:r w:rsidR="00A27768">
        <w:rPr>
          <w:color w:val="000000" w:themeColor="text1"/>
          <w:lang w:val="en-GB"/>
        </w:rPr>
        <w:t xml:space="preserve">SD </w:t>
      </w:r>
      <w:r w:rsidRPr="00021BF4">
        <w:rPr>
          <w:color w:val="000000" w:themeColor="text1"/>
          <w:lang w:val="en-GB"/>
        </w:rPr>
        <w:t>Goal 6: Clean Water and Sanitation that both affect the health and wellbeing of the citizens. It also assesses national and local initiatives that can facilitate these objectives and give recommendations to enhance their performance.</w:t>
      </w:r>
    </w:p>
    <w:p w14:paraId="42FA6F0A" w14:textId="77777777" w:rsidR="00B91E91" w:rsidRPr="00021BF4" w:rsidRDefault="00AB049D" w:rsidP="00FB3560">
      <w:pPr>
        <w:pStyle w:val="Heading1"/>
        <w:spacing w:before="0" w:after="0"/>
        <w:rPr>
          <w:lang w:val="en-GB"/>
        </w:rPr>
      </w:pPr>
      <w:bookmarkStart w:id="3" w:name="_9i507qvw75wr" w:colFirst="0" w:colLast="0"/>
      <w:bookmarkStart w:id="4" w:name="_Toc224577771"/>
      <w:bookmarkEnd w:id="3"/>
      <w:r w:rsidRPr="00021BF4">
        <w:rPr>
          <w:lang w:val="en-GB"/>
        </w:rPr>
        <w:t>Overview of the Selected SDGs</w:t>
      </w:r>
      <w:bookmarkEnd w:id="4"/>
    </w:p>
    <w:p w14:paraId="1C82982B" w14:textId="77777777" w:rsidR="00B91E91" w:rsidRPr="00021BF4" w:rsidRDefault="00AB049D" w:rsidP="00FB3560">
      <w:pPr>
        <w:pStyle w:val="Heading2"/>
        <w:spacing w:before="0" w:after="0"/>
        <w:rPr>
          <w:lang w:val="en-GB"/>
        </w:rPr>
      </w:pPr>
      <w:bookmarkStart w:id="5" w:name="_3qioftqfiv6" w:colFirst="0" w:colLast="0"/>
      <w:bookmarkStart w:id="6" w:name="_Toc224577772"/>
      <w:bookmarkEnd w:id="5"/>
      <w:r w:rsidRPr="00021BF4">
        <w:rPr>
          <w:lang w:val="en-GB"/>
        </w:rPr>
        <w:t>SDG 3: Good Health and Wellbeing and Impact</w:t>
      </w:r>
      <w:bookmarkEnd w:id="6"/>
    </w:p>
    <w:p w14:paraId="591472AD" w14:textId="77777777" w:rsidR="00B91E91" w:rsidRPr="00021BF4" w:rsidRDefault="00AB049D" w:rsidP="00FB3560">
      <w:pPr>
        <w:rPr>
          <w:color w:val="000000" w:themeColor="text1"/>
          <w:lang w:val="en-GB"/>
        </w:rPr>
      </w:pPr>
      <w:r w:rsidRPr="00021BF4">
        <w:rPr>
          <w:color w:val="000000" w:themeColor="text1"/>
          <w:lang w:val="en-GB"/>
        </w:rPr>
        <w:t xml:space="preserve">Good Health and Wellbeing sets the objective of healthy living and wellbeing of all people irrespective of their age. It ranks among the 17 goals of the United Nations that are found in the 2030 Agenda of </w:t>
      </w:r>
      <w:r w:rsidR="00E16571">
        <w:rPr>
          <w:color w:val="000000" w:themeColor="text1"/>
          <w:lang w:val="en-GB"/>
        </w:rPr>
        <w:t xml:space="preserve">SD </w:t>
      </w:r>
      <w:r w:rsidRPr="00021BF4">
        <w:rPr>
          <w:color w:val="000000" w:themeColor="text1"/>
          <w:lang w:val="en-GB"/>
        </w:rPr>
        <w:t xml:space="preserve">to deal with the problems affecting the world, including </w:t>
      </w:r>
      <w:r w:rsidR="00A27768">
        <w:rPr>
          <w:color w:val="000000" w:themeColor="text1"/>
          <w:lang w:val="en-GB"/>
        </w:rPr>
        <w:t>different types of</w:t>
      </w:r>
      <w:r w:rsidRPr="00021BF4">
        <w:rPr>
          <w:color w:val="000000" w:themeColor="text1"/>
          <w:lang w:val="en-GB"/>
        </w:rPr>
        <w:t xml:space="preserve"> health problems</w:t>
      </w:r>
      <w:r w:rsidR="00A27768">
        <w:rPr>
          <w:color w:val="000000" w:themeColor="text1"/>
          <w:lang w:val="en-GB"/>
        </w:rPr>
        <w:t>,</w:t>
      </w:r>
      <w:r w:rsidR="00B974CB">
        <w:rPr>
          <w:color w:val="000000" w:themeColor="text1"/>
          <w:lang w:val="en-GB"/>
        </w:rPr>
        <w:t xml:space="preserve"> inequality, climate change and poverty</w:t>
      </w:r>
      <w:r w:rsidRPr="00021BF4">
        <w:rPr>
          <w:color w:val="000000" w:themeColor="text1"/>
          <w:lang w:val="en-GB"/>
        </w:rPr>
        <w:t xml:space="preserve"> (Un, 2026). </w:t>
      </w:r>
    </w:p>
    <w:p w14:paraId="00803483" w14:textId="77777777" w:rsidR="00B91E91" w:rsidRPr="00021BF4" w:rsidRDefault="00AB049D" w:rsidP="00FB3560">
      <w:pPr>
        <w:jc w:val="center"/>
        <w:rPr>
          <w:color w:val="000000" w:themeColor="text1"/>
          <w:lang w:val="en-GB"/>
        </w:rPr>
      </w:pPr>
      <w:r w:rsidRPr="00021BF4">
        <w:rPr>
          <w:noProof/>
          <w:color w:val="000000" w:themeColor="text1"/>
          <w:lang w:eastAsia="en-US"/>
        </w:rPr>
        <w:drawing>
          <wp:inline distT="114300" distB="114300" distL="114300" distR="114300" wp14:anchorId="3D4C7D70" wp14:editId="3A750742">
            <wp:extent cx="2566988" cy="2566988"/>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cstate="print"/>
                    <a:srcRect/>
                    <a:stretch>
                      <a:fillRect/>
                    </a:stretch>
                  </pic:blipFill>
                  <pic:spPr>
                    <a:xfrm>
                      <a:off x="0" y="0"/>
                      <a:ext cx="2566988" cy="2566988"/>
                    </a:xfrm>
                    <a:prstGeom prst="rect">
                      <a:avLst/>
                    </a:prstGeom>
                    <a:ln/>
                  </pic:spPr>
                </pic:pic>
              </a:graphicData>
            </a:graphic>
          </wp:inline>
        </w:drawing>
      </w:r>
    </w:p>
    <w:p w14:paraId="516B3B03" w14:textId="77777777" w:rsidR="00B91E91" w:rsidRPr="00021BF4" w:rsidRDefault="00AB049D" w:rsidP="00FB3560">
      <w:pPr>
        <w:jc w:val="center"/>
        <w:rPr>
          <w:b/>
          <w:bCs/>
          <w:color w:val="000000" w:themeColor="text1"/>
          <w:lang w:val="en-GB"/>
        </w:rPr>
      </w:pPr>
      <w:r w:rsidRPr="00021BF4">
        <w:rPr>
          <w:b/>
          <w:bCs/>
          <w:color w:val="000000" w:themeColor="text1"/>
          <w:lang w:val="en-GB"/>
        </w:rPr>
        <w:t>Figure 1: SDG 3: Good Health and Wellbeing and Impact</w:t>
      </w:r>
    </w:p>
    <w:p w14:paraId="19C3CF7D" w14:textId="77777777" w:rsidR="00B91E91" w:rsidRPr="00021BF4" w:rsidRDefault="00AB049D" w:rsidP="00FB3560">
      <w:pPr>
        <w:jc w:val="center"/>
        <w:rPr>
          <w:color w:val="000000" w:themeColor="text1"/>
          <w:lang w:val="en-GB"/>
        </w:rPr>
      </w:pPr>
      <w:r w:rsidRPr="00021BF4">
        <w:rPr>
          <w:color w:val="000000" w:themeColor="text1"/>
          <w:lang w:val="en-GB"/>
        </w:rPr>
        <w:t>(Source: Un, 2026)</w:t>
      </w:r>
    </w:p>
    <w:p w14:paraId="07FBB4D9" w14:textId="77777777" w:rsidR="00B91E91" w:rsidRPr="00021BF4" w:rsidRDefault="00AB049D" w:rsidP="00FB3560">
      <w:pPr>
        <w:rPr>
          <w:color w:val="000000" w:themeColor="text1"/>
          <w:lang w:val="en-GB"/>
        </w:rPr>
      </w:pPr>
      <w:r w:rsidRPr="00021BF4">
        <w:rPr>
          <w:color w:val="000000" w:themeColor="text1"/>
          <w:lang w:val="en-GB"/>
        </w:rPr>
        <w:t>SDG 3 is concerned with ameliorating the health levels in the world by suppressing mortality levels, curbing diseases, reinforcing healthcare systems, and providing all people with opportunities to access quality healthcare services.</w:t>
      </w:r>
    </w:p>
    <w:p w14:paraId="5E55926A" w14:textId="77777777" w:rsidR="00B91E91" w:rsidRPr="00021BF4" w:rsidRDefault="00AB049D" w:rsidP="00FB3560">
      <w:pPr>
        <w:rPr>
          <w:color w:val="000000" w:themeColor="text1"/>
          <w:lang w:val="en-GB"/>
        </w:rPr>
      </w:pPr>
      <w:r w:rsidRPr="00021BF4">
        <w:rPr>
          <w:color w:val="000000" w:themeColor="text1"/>
          <w:lang w:val="en-GB"/>
        </w:rPr>
        <w:t xml:space="preserve">Minimization of maternal mortality and child mortality is one of the main objectives of SDG 3. As stated by Hales and Birdthistle, (2023), most developing nations are still struggling with the problem of minimal access to prenatal care, skilled health professionals, and proper facilities. Motherhood care and child vaccinations can help nations to greatly lower the number of deaths </w:t>
      </w:r>
      <w:r w:rsidRPr="00021BF4">
        <w:rPr>
          <w:color w:val="000000" w:themeColor="text1"/>
          <w:lang w:val="en-GB"/>
        </w:rPr>
        <w:lastRenderedPageBreak/>
        <w:t>caused by preventable causes and to enhance the way of living of the families. However</w:t>
      </w:r>
      <w:r w:rsidR="00021BF4" w:rsidRPr="00021BF4">
        <w:rPr>
          <w:color w:val="000000" w:themeColor="text1"/>
          <w:lang w:val="en-GB"/>
        </w:rPr>
        <w:t xml:space="preserve">, </w:t>
      </w:r>
      <w:r w:rsidRPr="00021BF4">
        <w:rPr>
          <w:color w:val="000000" w:themeColor="text1"/>
          <w:lang w:val="en-GB"/>
        </w:rPr>
        <w:t>Martelletti</w:t>
      </w:r>
      <w:r w:rsidR="00021BF4" w:rsidRPr="00021BF4">
        <w:rPr>
          <w:color w:val="000000" w:themeColor="text1"/>
          <w:lang w:val="en-GB"/>
        </w:rPr>
        <w:t xml:space="preserve"> </w:t>
      </w:r>
      <w:hyperlink r:id="rId8">
        <w:r w:rsidRPr="00021BF4">
          <w:rPr>
            <w:i/>
            <w:iCs/>
            <w:color w:val="000000" w:themeColor="text1"/>
            <w:lang w:val="en-GB"/>
          </w:rPr>
          <w:t>et.al</w:t>
        </w:r>
      </w:hyperlink>
      <w:r w:rsidRPr="00021BF4">
        <w:rPr>
          <w:color w:val="000000" w:themeColor="text1"/>
          <w:lang w:val="en-GB"/>
        </w:rPr>
        <w:t xml:space="preserve"> (2023) argued that the other major aim is to fight the major communicable diseases that include HIV/AIDS, tuberculosis and malaria that continues to plague millions of people the world over.</w:t>
      </w:r>
    </w:p>
    <w:p w14:paraId="13DEE572" w14:textId="77777777" w:rsidR="00B91E91" w:rsidRPr="00021BF4" w:rsidRDefault="00AB049D" w:rsidP="00FB3560">
      <w:pPr>
        <w:rPr>
          <w:color w:val="000000" w:themeColor="text1"/>
          <w:lang w:val="en-GB"/>
        </w:rPr>
      </w:pPr>
      <w:r w:rsidRPr="00021BF4">
        <w:rPr>
          <w:color w:val="000000" w:themeColor="text1"/>
          <w:lang w:val="en-GB"/>
        </w:rPr>
        <w:t xml:space="preserve">SDG 3 also aims at responding to non-communicable diseases (NCDs), such as heart disease, diabetes, and cancer. As per Babu and Srivastava, (2024), poor diet, </w:t>
      </w:r>
      <w:r w:rsidR="00872B4F" w:rsidRPr="00021BF4">
        <w:rPr>
          <w:color w:val="000000" w:themeColor="text1"/>
          <w:lang w:val="en-GB"/>
        </w:rPr>
        <w:t>lack of physical exercise, smoking, alcohol is</w:t>
      </w:r>
      <w:r w:rsidRPr="00021BF4">
        <w:rPr>
          <w:color w:val="000000" w:themeColor="text1"/>
          <w:lang w:val="en-GB"/>
        </w:rPr>
        <w:t xml:space="preserve"> some lifestyle factors associated with these diseases. The dependence is to have governments and health agencies become promoters of healthy lifestyles by using public health campaigns, education, and preventative healthcare programs. Also, mental health and wellbeing are given the attention in SDG 3, as there is an increase in the effects of stress, anxiety, and depression both on individuals and populations. Monaco (2024) argued SDG 3 has an important implication on citizens, since, good health is directly related with economic productivity, education, and the overall quality of life. Having healthier populations, people can work, study, and promote the society. A good health also ensures that healthcare systems burden family and governments by preventing diseases and decreasing healthcare expenses.</w:t>
      </w:r>
    </w:p>
    <w:p w14:paraId="69150055" w14:textId="77777777" w:rsidR="00B91E91" w:rsidRPr="00021BF4" w:rsidRDefault="00AB049D" w:rsidP="00FB3560">
      <w:pPr>
        <w:pStyle w:val="Heading2"/>
        <w:spacing w:before="0" w:after="0"/>
        <w:rPr>
          <w:lang w:val="en-GB"/>
        </w:rPr>
      </w:pPr>
      <w:bookmarkStart w:id="7" w:name="_u0glf7u6rbeo" w:colFirst="0" w:colLast="0"/>
      <w:bookmarkStart w:id="8" w:name="_Toc224577773"/>
      <w:bookmarkEnd w:id="7"/>
      <w:r w:rsidRPr="00021BF4">
        <w:rPr>
          <w:lang w:val="en-GB"/>
        </w:rPr>
        <w:t>SDG 6: Clean Water and Sanitation and Impact</w:t>
      </w:r>
      <w:bookmarkEnd w:id="8"/>
    </w:p>
    <w:p w14:paraId="65BAA660" w14:textId="77777777" w:rsidR="00B91E91" w:rsidRPr="00021BF4" w:rsidRDefault="00EA41B8" w:rsidP="00FB3560">
      <w:pPr>
        <w:rPr>
          <w:color w:val="000000" w:themeColor="text1"/>
          <w:lang w:val="en-GB"/>
        </w:rPr>
      </w:pPr>
      <w:r w:rsidRPr="00021BF4">
        <w:rPr>
          <w:color w:val="222222"/>
          <w:shd w:val="clear" w:color="auto" w:fill="FFFFFF"/>
          <w:lang w:val="en-GB"/>
        </w:rPr>
        <w:t>Evaristo</w:t>
      </w:r>
      <w:r w:rsidR="00021BF4" w:rsidRPr="00021BF4">
        <w:rPr>
          <w:color w:val="222222"/>
          <w:shd w:val="clear" w:color="auto" w:fill="FFFFFF"/>
          <w:lang w:val="en-GB"/>
        </w:rPr>
        <w:t xml:space="preserve"> </w:t>
      </w:r>
      <w:r w:rsidRPr="00021BF4">
        <w:rPr>
          <w:i/>
          <w:iCs/>
          <w:color w:val="222222"/>
          <w:shd w:val="clear" w:color="auto" w:fill="FFFFFF"/>
          <w:lang w:val="en-GB"/>
        </w:rPr>
        <w:t>et.al</w:t>
      </w:r>
      <w:r w:rsidRPr="00021BF4">
        <w:rPr>
          <w:color w:val="222222"/>
          <w:shd w:val="clear" w:color="auto" w:fill="FFFFFF"/>
          <w:lang w:val="en-GB"/>
        </w:rPr>
        <w:t xml:space="preserve"> (2023) stated i</w:t>
      </w:r>
      <w:r w:rsidR="00AB049D" w:rsidRPr="00021BF4">
        <w:rPr>
          <w:color w:val="000000" w:themeColor="text1"/>
          <w:lang w:val="en-GB"/>
        </w:rPr>
        <w:t xml:space="preserve">t is a goal of sustainable development to provide all people with the access to clean water and sanitation, </w:t>
      </w:r>
      <w:r w:rsidR="00B974CB">
        <w:rPr>
          <w:color w:val="000000" w:themeColor="text1"/>
          <w:lang w:val="en-GB"/>
        </w:rPr>
        <w:t>and</w:t>
      </w:r>
      <w:r w:rsidR="00AB049D" w:rsidRPr="00021BF4">
        <w:rPr>
          <w:color w:val="000000" w:themeColor="text1"/>
          <w:lang w:val="en-GB"/>
        </w:rPr>
        <w:t xml:space="preserve"> guarantee the sustainability of their availability. Human survival, the health of the population, and the environment depend on safe drinking water and good sanitation. Although the situation has been improving in recent years, billions of individuals in the global population continue to be deprived of access to clean water and the provision of basic sanitation services, thus SDG 6 is of a significant global priority (Globalgoals, 2026).</w:t>
      </w:r>
    </w:p>
    <w:p w14:paraId="448DA77D" w14:textId="77777777" w:rsidR="00B91E91" w:rsidRPr="00021BF4" w:rsidRDefault="00AB049D" w:rsidP="00FB3560">
      <w:pPr>
        <w:jc w:val="center"/>
        <w:rPr>
          <w:color w:val="000000" w:themeColor="text1"/>
          <w:lang w:val="en-GB"/>
        </w:rPr>
      </w:pPr>
      <w:r w:rsidRPr="00021BF4">
        <w:rPr>
          <w:noProof/>
          <w:color w:val="000000" w:themeColor="text1"/>
          <w:lang w:eastAsia="en-US"/>
        </w:rPr>
        <w:drawing>
          <wp:inline distT="114300" distB="114300" distL="114300" distR="114300" wp14:anchorId="36A43316" wp14:editId="5448B11A">
            <wp:extent cx="2252663" cy="2252663"/>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cstate="print"/>
                    <a:srcRect/>
                    <a:stretch>
                      <a:fillRect/>
                    </a:stretch>
                  </pic:blipFill>
                  <pic:spPr>
                    <a:xfrm>
                      <a:off x="0" y="0"/>
                      <a:ext cx="2252663" cy="2252663"/>
                    </a:xfrm>
                    <a:prstGeom prst="rect">
                      <a:avLst/>
                    </a:prstGeom>
                    <a:ln/>
                  </pic:spPr>
                </pic:pic>
              </a:graphicData>
            </a:graphic>
          </wp:inline>
        </w:drawing>
      </w:r>
    </w:p>
    <w:p w14:paraId="095F2E7F" w14:textId="77777777" w:rsidR="00B91E91" w:rsidRPr="00021BF4" w:rsidRDefault="00AB049D" w:rsidP="00FB3560">
      <w:pPr>
        <w:jc w:val="center"/>
        <w:rPr>
          <w:b/>
          <w:bCs/>
          <w:color w:val="000000" w:themeColor="text1"/>
          <w:lang w:val="en-GB"/>
        </w:rPr>
      </w:pPr>
      <w:r w:rsidRPr="00021BF4">
        <w:rPr>
          <w:b/>
          <w:bCs/>
          <w:color w:val="000000" w:themeColor="text1"/>
          <w:lang w:val="en-GB"/>
        </w:rPr>
        <w:t>Figure 2: SDG 6: Clean Water and Sanitation and Impact</w:t>
      </w:r>
    </w:p>
    <w:p w14:paraId="23876793" w14:textId="77777777" w:rsidR="00B91E91" w:rsidRPr="00021BF4" w:rsidRDefault="00AB049D" w:rsidP="00FB3560">
      <w:pPr>
        <w:jc w:val="center"/>
        <w:rPr>
          <w:color w:val="000000" w:themeColor="text1"/>
          <w:lang w:val="en-GB"/>
        </w:rPr>
      </w:pPr>
      <w:r w:rsidRPr="00021BF4">
        <w:rPr>
          <w:color w:val="000000" w:themeColor="text1"/>
          <w:lang w:val="en-GB"/>
        </w:rPr>
        <w:lastRenderedPageBreak/>
        <w:t>(Source: Globalgoals, 2026)</w:t>
      </w:r>
    </w:p>
    <w:p w14:paraId="1C9D370A" w14:textId="77777777" w:rsidR="00B91E91" w:rsidRPr="00021BF4" w:rsidRDefault="00AB049D" w:rsidP="00FB3560">
      <w:pPr>
        <w:rPr>
          <w:color w:val="000000" w:themeColor="text1"/>
          <w:lang w:val="en-GB"/>
        </w:rPr>
      </w:pPr>
      <w:r w:rsidRPr="00021BF4">
        <w:rPr>
          <w:color w:val="000000" w:themeColor="text1"/>
          <w:lang w:val="en-GB"/>
        </w:rPr>
        <w:t xml:space="preserve">SDG 6 has </w:t>
      </w:r>
      <w:r w:rsidR="00CF5151">
        <w:rPr>
          <w:color w:val="000000" w:themeColor="text1"/>
          <w:lang w:val="en-GB"/>
        </w:rPr>
        <w:t>various</w:t>
      </w:r>
      <w:r w:rsidRPr="00021BF4">
        <w:rPr>
          <w:color w:val="000000" w:themeColor="text1"/>
          <w:lang w:val="en-GB"/>
        </w:rPr>
        <w:t xml:space="preserve"> goals, such as the provision of universal and fair access to safe and inexpensive drinking water, enhancement of the sanitation and hygiene services, lessening water pollution, and the provision of efficient water management. Aman </w:t>
      </w:r>
      <w:r w:rsidRPr="00021BF4">
        <w:rPr>
          <w:i/>
          <w:iCs/>
          <w:color w:val="000000" w:themeColor="text1"/>
          <w:lang w:val="en-GB"/>
        </w:rPr>
        <w:t xml:space="preserve">et.al </w:t>
      </w:r>
      <w:r w:rsidRPr="00021BF4">
        <w:rPr>
          <w:color w:val="000000" w:themeColor="text1"/>
          <w:lang w:val="en-GB"/>
        </w:rPr>
        <w:t xml:space="preserve">(2024) stated that Provision of clean water is the key to the prevention of spreading water-borne diseases, e.g. cholera, dysentery, typhoid. Unclean water and bad sanitation result in millions of deaths every year especially in the developing areas among the </w:t>
      </w:r>
      <w:r w:rsidR="00021BF4" w:rsidRPr="00021BF4">
        <w:rPr>
          <w:color w:val="000000" w:themeColor="text1"/>
          <w:lang w:val="en-GB"/>
        </w:rPr>
        <w:t>children.</w:t>
      </w:r>
    </w:p>
    <w:p w14:paraId="56553CCB" w14:textId="77777777" w:rsidR="00B91E91" w:rsidRPr="00021BF4" w:rsidRDefault="00AB049D" w:rsidP="00FB3560">
      <w:pPr>
        <w:rPr>
          <w:color w:val="000000" w:themeColor="text1"/>
          <w:lang w:val="en-GB"/>
        </w:rPr>
      </w:pPr>
      <w:r w:rsidRPr="00021BF4">
        <w:rPr>
          <w:color w:val="000000" w:themeColor="text1"/>
          <w:lang w:val="en-GB"/>
        </w:rPr>
        <w:t xml:space="preserve">The SDG 6 has </w:t>
      </w:r>
      <w:r w:rsidR="00CF5151">
        <w:rPr>
          <w:color w:val="000000" w:themeColor="text1"/>
          <w:lang w:val="en-GB"/>
        </w:rPr>
        <w:t xml:space="preserve">important </w:t>
      </w:r>
      <w:r w:rsidRPr="00021BF4">
        <w:rPr>
          <w:color w:val="000000" w:themeColor="text1"/>
          <w:lang w:val="en-GB"/>
        </w:rPr>
        <w:t>implication on the wellbeing</w:t>
      </w:r>
      <w:r w:rsidR="00CF5151">
        <w:rPr>
          <w:color w:val="000000" w:themeColor="text1"/>
          <w:lang w:val="en-GB"/>
        </w:rPr>
        <w:t xml:space="preserve"> and health</w:t>
      </w:r>
      <w:r w:rsidRPr="00021BF4">
        <w:rPr>
          <w:color w:val="000000" w:themeColor="text1"/>
          <w:lang w:val="en-GB"/>
        </w:rPr>
        <w:t xml:space="preserve"> of citizens. With access to clean drinking water and good sanitation points, it reduces the chances of the community being infected by any disease dramatically. It is also a way to control the environmental pollution and ensure cleaner living conditions as better sanitation systems </w:t>
      </w:r>
      <w:r w:rsidR="00021BF4" w:rsidRPr="00021BF4">
        <w:rPr>
          <w:color w:val="000000" w:themeColor="text1"/>
          <w:lang w:val="en-GB"/>
        </w:rPr>
        <w:t>minimize</w:t>
      </w:r>
      <w:r w:rsidRPr="00021BF4">
        <w:rPr>
          <w:color w:val="000000" w:themeColor="text1"/>
          <w:lang w:val="en-GB"/>
        </w:rPr>
        <w:t xml:space="preserve"> polluting the environment. The availability of clean water and wash hands with regularity are important hygiene practices that can ensure that the spread of diseases is avoided. </w:t>
      </w:r>
      <w:r w:rsidR="00021BF4" w:rsidRPr="00021BF4">
        <w:rPr>
          <w:color w:val="000000" w:themeColor="text1"/>
          <w:lang w:val="en-GB"/>
        </w:rPr>
        <w:t xml:space="preserve">However Rajapakse, </w:t>
      </w:r>
      <w:hyperlink r:id="rId10">
        <w:r w:rsidRPr="00021BF4">
          <w:rPr>
            <w:i/>
            <w:iCs/>
            <w:color w:val="000000" w:themeColor="text1"/>
            <w:lang w:val="en-GB"/>
          </w:rPr>
          <w:t>et.al</w:t>
        </w:r>
      </w:hyperlink>
      <w:r w:rsidRPr="00021BF4">
        <w:rPr>
          <w:color w:val="000000" w:themeColor="text1"/>
          <w:lang w:val="en-GB"/>
        </w:rPr>
        <w:t xml:space="preserve"> (2023) argued</w:t>
      </w:r>
      <w:r w:rsidR="00021BF4" w:rsidRPr="00021BF4">
        <w:rPr>
          <w:color w:val="000000" w:themeColor="text1"/>
          <w:lang w:val="en-GB"/>
        </w:rPr>
        <w:t xml:space="preserve"> that</w:t>
      </w:r>
      <w:r w:rsidRPr="00021BF4">
        <w:rPr>
          <w:color w:val="000000" w:themeColor="text1"/>
          <w:lang w:val="en-GB"/>
        </w:rPr>
        <w:t xml:space="preserve"> </w:t>
      </w:r>
      <w:r w:rsidR="00021BF4" w:rsidRPr="00021BF4">
        <w:rPr>
          <w:color w:val="000000" w:themeColor="text1"/>
          <w:lang w:val="en-GB"/>
        </w:rPr>
        <w:t>besides</w:t>
      </w:r>
      <w:r w:rsidRPr="00021BF4">
        <w:rPr>
          <w:color w:val="000000" w:themeColor="text1"/>
          <w:lang w:val="en-GB"/>
        </w:rPr>
        <w:t xml:space="preserve"> the health advantages SDG 6 leads to social economic growth. Women and children in most regions across the world, particularly in the rural regions, use hours every day to retrieve water in distant locations. Having clean water infrastructure ensures that time is saved and the people can concentrate on education, jobs among other productive activities. Better water systems also facilitate farming, food production and economic balance.</w:t>
      </w:r>
    </w:p>
    <w:p w14:paraId="1F0A2080" w14:textId="77777777" w:rsidR="00B91E91" w:rsidRPr="00021BF4" w:rsidRDefault="00AB049D" w:rsidP="00FB3560">
      <w:pPr>
        <w:rPr>
          <w:color w:val="000000" w:themeColor="text1"/>
          <w:lang w:val="en-GB"/>
        </w:rPr>
      </w:pPr>
      <w:r w:rsidRPr="00021BF4">
        <w:rPr>
          <w:color w:val="000000" w:themeColor="text1"/>
          <w:lang w:val="en-GB"/>
        </w:rPr>
        <w:t>The other important aspect of SDG 6 is environmental sustainability. The water resources including rivers, lakes, and groundwater should be secured in order to sustain the ecosystems and sustain the availability of water in the long term (Shafik, 2025). Best water management practices can be used to avoid overutilization, ecological contamination and water scarcity due to climatic conditions. The SDG 6 is directly and positively related to the promotion of the public health, environmental protection, and community development. Governments and organizations can offer access to clean water and sanitation services to the citizens and thus, a significant improvement has to be made in the quality of life and wellbeing of the citizens across the world.</w:t>
      </w:r>
    </w:p>
    <w:p w14:paraId="628D7F6D" w14:textId="77777777" w:rsidR="00B91E91" w:rsidRPr="00021BF4" w:rsidRDefault="00AB049D" w:rsidP="00FB3560">
      <w:pPr>
        <w:pStyle w:val="Heading1"/>
        <w:spacing w:before="0" w:after="0"/>
        <w:rPr>
          <w:lang w:val="en-GB"/>
        </w:rPr>
      </w:pPr>
      <w:bookmarkStart w:id="9" w:name="_rmaavk4509m2" w:colFirst="0" w:colLast="0"/>
      <w:bookmarkStart w:id="10" w:name="_Toc224577774"/>
      <w:bookmarkEnd w:id="9"/>
      <w:r w:rsidRPr="00021BF4">
        <w:rPr>
          <w:lang w:val="en-GB"/>
        </w:rPr>
        <w:t>Sustainability Policies and Initiatives</w:t>
      </w:r>
      <w:bookmarkEnd w:id="10"/>
    </w:p>
    <w:p w14:paraId="695E69E3" w14:textId="77777777" w:rsidR="00EA41B8" w:rsidRPr="00021BF4" w:rsidRDefault="00EA41B8" w:rsidP="00FB3560">
      <w:pPr>
        <w:pStyle w:val="Heading2"/>
        <w:spacing w:before="0" w:after="0"/>
        <w:rPr>
          <w:lang w:val="en-GB"/>
        </w:rPr>
      </w:pPr>
      <w:bookmarkStart w:id="11" w:name="_Toc224577775"/>
      <w:r w:rsidRPr="00021BF4">
        <w:rPr>
          <w:lang w:val="en-GB"/>
        </w:rPr>
        <w:t>Local and national Initiatives</w:t>
      </w:r>
      <w:bookmarkEnd w:id="11"/>
    </w:p>
    <w:p w14:paraId="66111BE1" w14:textId="77777777" w:rsidR="00EA41B8" w:rsidRPr="00021BF4" w:rsidRDefault="00EA41B8" w:rsidP="00FB3560">
      <w:pPr>
        <w:rPr>
          <w:lang w:val="en-GB"/>
        </w:rPr>
      </w:pPr>
      <w:r w:rsidRPr="00021BF4">
        <w:rPr>
          <w:lang w:val="en-GB"/>
        </w:rPr>
        <w:t>The NHS Long-term plan is a national initiative that measures to prevent strokes, heart attacks and dementia care and provide better access to mental health care services. According to Jones</w:t>
      </w:r>
      <w:r w:rsidR="0023599D">
        <w:rPr>
          <w:lang w:val="en-GB"/>
        </w:rPr>
        <w:t xml:space="preserve"> </w:t>
      </w:r>
      <w:r w:rsidRPr="00021BF4">
        <w:rPr>
          <w:i/>
          <w:iCs/>
          <w:lang w:val="en-GB"/>
        </w:rPr>
        <w:t>et.al</w:t>
      </w:r>
      <w:r w:rsidRPr="00021BF4">
        <w:rPr>
          <w:lang w:val="en-GB"/>
        </w:rPr>
        <w:t xml:space="preserve"> (2025), the NHS Long-term plan aims to offer preventative care to people with support for smoking cessation and obesity management. The plan</w:t>
      </w:r>
      <w:r w:rsidR="00375FC6">
        <w:rPr>
          <w:lang w:val="en-GB"/>
        </w:rPr>
        <w:t xml:space="preserve"> is effective as it</w:t>
      </w:r>
      <w:r w:rsidRPr="00021BF4">
        <w:rPr>
          <w:lang w:val="en-GB"/>
        </w:rPr>
        <w:t xml:space="preserve"> also includes new technologies and innovations to offer better care for all patients. The plan focuses on implementing digital tools, including patient records and AI, to provide 24*7 assistance to </w:t>
      </w:r>
      <w:r w:rsidRPr="00021BF4">
        <w:rPr>
          <w:lang w:val="en-GB"/>
        </w:rPr>
        <w:lastRenderedPageBreak/>
        <w:t>patients. The NHS diabetes prevention program aims to enhance mental support and exhibits cost efficiency. On the other hand, Butler</w:t>
      </w:r>
      <w:r w:rsidR="00021BF4">
        <w:rPr>
          <w:lang w:val="en-GB"/>
        </w:rPr>
        <w:t xml:space="preserve"> </w:t>
      </w:r>
      <w:r w:rsidRPr="00021BF4">
        <w:rPr>
          <w:i/>
          <w:iCs/>
          <w:lang w:val="en-GB"/>
        </w:rPr>
        <w:t>et.al</w:t>
      </w:r>
      <w:r w:rsidRPr="00021BF4">
        <w:rPr>
          <w:lang w:val="en-GB"/>
        </w:rPr>
        <w:t xml:space="preserve"> (2023) argued that the success of the plan depends on the staff skills and workforce capability. </w:t>
      </w:r>
    </w:p>
    <w:p w14:paraId="39676E97" w14:textId="77777777" w:rsidR="00EA41B8" w:rsidRPr="00021BF4" w:rsidRDefault="00EA41B8" w:rsidP="00FB3560">
      <w:pPr>
        <w:rPr>
          <w:lang w:val="en-GB"/>
        </w:rPr>
      </w:pPr>
      <w:r w:rsidRPr="00021BF4">
        <w:rPr>
          <w:lang w:val="en-GB"/>
        </w:rPr>
        <w:t xml:space="preserve">The Health and Care Act 2022 is another national initiative </w:t>
      </w:r>
      <w:r w:rsidR="00CF5151">
        <w:rPr>
          <w:lang w:val="en-GB"/>
        </w:rPr>
        <w:t xml:space="preserve">and the prime purpose of this act is to make the system more and more accountable by reducing the degree of bureaucracy </w:t>
      </w:r>
      <w:r w:rsidRPr="00021BF4">
        <w:rPr>
          <w:lang w:val="en-GB"/>
        </w:rPr>
        <w:t>(Rhodes</w:t>
      </w:r>
      <w:r w:rsidR="00021BF4" w:rsidRPr="00021BF4">
        <w:rPr>
          <w:lang w:val="en-GB"/>
        </w:rPr>
        <w:t xml:space="preserve"> </w:t>
      </w:r>
      <w:r w:rsidRPr="00021BF4">
        <w:rPr>
          <w:i/>
          <w:iCs/>
          <w:lang w:val="en-GB"/>
        </w:rPr>
        <w:t>et.al</w:t>
      </w:r>
      <w:r w:rsidR="00021BF4" w:rsidRPr="00021BF4">
        <w:rPr>
          <w:i/>
          <w:iCs/>
          <w:lang w:val="en-GB"/>
        </w:rPr>
        <w:t xml:space="preserve"> </w:t>
      </w:r>
      <w:r w:rsidRPr="00021BF4">
        <w:rPr>
          <w:lang w:val="en-GB"/>
        </w:rPr>
        <w:t xml:space="preserve">2022). This policy aims to offer better health and wellbeing to patients and sustainable use of NHS resources. This program promotes collaboration to enhance people's health outcomes and wellbeing. This also encourages and fosters cooperative working among NHS services and local authority social care providers to support the discharge. </w:t>
      </w:r>
    </w:p>
    <w:p w14:paraId="500A6741" w14:textId="77777777" w:rsidR="00EA41B8" w:rsidRDefault="00EA41B8" w:rsidP="00FB3560">
      <w:pPr>
        <w:rPr>
          <w:lang w:val="en-GB"/>
        </w:rPr>
      </w:pPr>
      <w:r w:rsidRPr="00021BF4">
        <w:rPr>
          <w:lang w:val="en-GB"/>
        </w:rPr>
        <w:t xml:space="preserve">The Better Care Fund (BCF) is a significant local initiative in England. This aims to integrate </w:t>
      </w:r>
      <w:r w:rsidR="00B37638">
        <w:rPr>
          <w:lang w:val="en-GB"/>
        </w:rPr>
        <w:t>HSC</w:t>
      </w:r>
      <w:r w:rsidRPr="00021BF4">
        <w:rPr>
          <w:lang w:val="en-GB"/>
        </w:rPr>
        <w:t xml:space="preserve"> services to ensure more cooperative, coordinated and person-centred care to all (Smith</w:t>
      </w:r>
      <w:r w:rsidR="00021BF4" w:rsidRPr="00021BF4">
        <w:rPr>
          <w:lang w:val="en-GB"/>
        </w:rPr>
        <w:t xml:space="preserve"> </w:t>
      </w:r>
      <w:r w:rsidRPr="00021BF4">
        <w:rPr>
          <w:i/>
          <w:iCs/>
          <w:lang w:val="en-GB"/>
        </w:rPr>
        <w:t>et.al</w:t>
      </w:r>
      <w:r w:rsidR="0023599D">
        <w:rPr>
          <w:i/>
          <w:iCs/>
          <w:lang w:val="en-GB"/>
        </w:rPr>
        <w:t xml:space="preserve"> </w:t>
      </w:r>
      <w:r w:rsidRPr="00021BF4">
        <w:rPr>
          <w:lang w:val="en-GB"/>
        </w:rPr>
        <w:t>2024). This plan includes all NHS organisations and local authorities to work together in delivering and planning services which enhance outcomes for</w:t>
      </w:r>
      <w:r w:rsidR="003045BE">
        <w:rPr>
          <w:lang w:val="en-GB"/>
        </w:rPr>
        <w:t xml:space="preserve"> their populations. The plan is also effective as it </w:t>
      </w:r>
      <w:r w:rsidRPr="00021BF4">
        <w:rPr>
          <w:lang w:val="en-GB"/>
        </w:rPr>
        <w:t>support</w:t>
      </w:r>
      <w:r w:rsidR="003045BE">
        <w:rPr>
          <w:lang w:val="en-GB"/>
        </w:rPr>
        <w:t>s</w:t>
      </w:r>
      <w:r w:rsidRPr="00021BF4">
        <w:rPr>
          <w:lang w:val="en-GB"/>
        </w:rPr>
        <w:t xml:space="preserve"> the integrated care boards and local authorities in delivering more preventive care for people with more complex health needs. This also helps in preventing avoidable hospital admissions to accomplish more efficient and timely discharge. This plan reduces hospital pressures as well as supports independent living. </w:t>
      </w:r>
    </w:p>
    <w:p w14:paraId="223E7D75" w14:textId="6C96169C" w:rsidR="00F40E41" w:rsidRPr="00021BF4" w:rsidRDefault="00F40E41" w:rsidP="00FB3560">
      <w:pPr>
        <w:rPr>
          <w:lang w:val="en-GB"/>
        </w:rPr>
      </w:pPr>
      <w:r w:rsidRPr="00F40E41">
        <w:rPr>
          <w:lang w:val="en-GB"/>
        </w:rPr>
        <w:drawing>
          <wp:inline distT="0" distB="0" distL="0" distR="0" wp14:anchorId="54EE4612" wp14:editId="4BBDC859">
            <wp:extent cx="5943600" cy="3336925"/>
            <wp:effectExtent l="0" t="0" r="0" b="0"/>
            <wp:docPr id="936674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6674464" name=""/>
                    <pic:cNvPicPr/>
                  </pic:nvPicPr>
                  <pic:blipFill>
                    <a:blip r:embed="rId11"/>
                    <a:stretch>
                      <a:fillRect/>
                    </a:stretch>
                  </pic:blipFill>
                  <pic:spPr>
                    <a:xfrm>
                      <a:off x="0" y="0"/>
                      <a:ext cx="5943600" cy="3336925"/>
                    </a:xfrm>
                    <a:prstGeom prst="rect">
                      <a:avLst/>
                    </a:prstGeom>
                  </pic:spPr>
                </pic:pic>
              </a:graphicData>
            </a:graphic>
          </wp:inline>
        </w:drawing>
      </w:r>
    </w:p>
    <w:p w14:paraId="2389B285" w14:textId="45BE6F6B" w:rsidR="002B6AE9" w:rsidRPr="002B6AE9" w:rsidRDefault="002B6AE9" w:rsidP="002B6AE9">
      <w:pPr>
        <w:jc w:val="center"/>
        <w:rPr>
          <w:b/>
          <w:bCs/>
          <w:color w:val="000000" w:themeColor="text1"/>
          <w:lang w:val="en-GB"/>
        </w:rPr>
      </w:pPr>
      <w:r w:rsidRPr="00021BF4">
        <w:rPr>
          <w:b/>
          <w:bCs/>
          <w:color w:val="000000" w:themeColor="text1"/>
          <w:lang w:val="en-GB"/>
        </w:rPr>
        <w:t xml:space="preserve">Figure </w:t>
      </w:r>
      <w:r w:rsidR="006B28DC">
        <w:rPr>
          <w:b/>
          <w:bCs/>
          <w:color w:val="000000" w:themeColor="text1"/>
          <w:lang w:val="en-GB"/>
        </w:rPr>
        <w:t>3</w:t>
      </w:r>
      <w:r w:rsidRPr="00021BF4">
        <w:rPr>
          <w:b/>
          <w:bCs/>
          <w:color w:val="000000" w:themeColor="text1"/>
          <w:lang w:val="en-GB"/>
        </w:rPr>
        <w:t xml:space="preserve">: </w:t>
      </w:r>
      <w:r w:rsidR="00342EFC">
        <w:rPr>
          <w:b/>
          <w:bCs/>
          <w:color w:val="000000" w:themeColor="text1"/>
          <w:lang w:val="en-GB"/>
        </w:rPr>
        <w:t>Better care fund initiative</w:t>
      </w:r>
    </w:p>
    <w:p w14:paraId="7460B116" w14:textId="371AD85F" w:rsidR="002B6AE9" w:rsidRDefault="002B6AE9" w:rsidP="002B6AE9">
      <w:pPr>
        <w:jc w:val="center"/>
        <w:rPr>
          <w:lang w:val="en-GB"/>
        </w:rPr>
      </w:pPr>
      <w:r>
        <w:rPr>
          <w:lang w:val="en-GB"/>
        </w:rPr>
        <w:t xml:space="preserve">(Source: </w:t>
      </w:r>
      <w:r>
        <w:rPr>
          <w:lang w:val="en-GB"/>
        </w:rPr>
        <w:t>Gov.uk, 2024</w:t>
      </w:r>
      <w:r>
        <w:rPr>
          <w:lang w:val="en-GB"/>
        </w:rPr>
        <w:t>)</w:t>
      </w:r>
    </w:p>
    <w:p w14:paraId="3A27FEA2" w14:textId="41EB2113" w:rsidR="00EA41B8" w:rsidRPr="00021BF4" w:rsidRDefault="00EA41B8" w:rsidP="00FB3560">
      <w:pPr>
        <w:rPr>
          <w:lang w:val="en-GB"/>
        </w:rPr>
      </w:pPr>
      <w:r w:rsidRPr="00021BF4">
        <w:rPr>
          <w:lang w:val="en-GB"/>
        </w:rPr>
        <w:lastRenderedPageBreak/>
        <w:t>Manchester Age-Friendly Neighbourhoods (MAFN) is a key local initiative within Manchester which aims to handle the challenges people face in health and social care</w:t>
      </w:r>
      <w:r w:rsidR="00CC4706">
        <w:rPr>
          <w:lang w:val="en-GB"/>
        </w:rPr>
        <w:t xml:space="preserve"> (HSC)</w:t>
      </w:r>
      <w:r w:rsidRPr="00021BF4">
        <w:rPr>
          <w:lang w:val="en-GB"/>
        </w:rPr>
        <w:t xml:space="preserve"> in their daily lives. This includes age-friendly homes, accessible shops and good transportation services. The redevelopment program provides a significant opportunity to build a healthy, safer and more inclusive neighbourhood which enhances social cohesion (Jones</w:t>
      </w:r>
      <w:r w:rsidR="00021BF4">
        <w:rPr>
          <w:lang w:val="en-GB"/>
        </w:rPr>
        <w:t xml:space="preserve"> </w:t>
      </w:r>
      <w:r w:rsidRPr="00021BF4">
        <w:rPr>
          <w:i/>
          <w:iCs/>
          <w:lang w:val="en-GB"/>
        </w:rPr>
        <w:t>et.al</w:t>
      </w:r>
      <w:r w:rsidR="00021BF4">
        <w:rPr>
          <w:i/>
          <w:iCs/>
          <w:lang w:val="en-GB"/>
        </w:rPr>
        <w:t xml:space="preserve"> </w:t>
      </w:r>
      <w:r w:rsidRPr="00021BF4">
        <w:rPr>
          <w:lang w:val="en-GB"/>
        </w:rPr>
        <w:t xml:space="preserve">2025). The age-friendly movement aims to ensure that older individuals play a significant role in civic life. </w:t>
      </w:r>
    </w:p>
    <w:p w14:paraId="2B605469" w14:textId="77777777" w:rsidR="00B91E91" w:rsidRPr="00021BF4" w:rsidRDefault="00AB049D" w:rsidP="00FB3560">
      <w:pPr>
        <w:pStyle w:val="Heading2"/>
        <w:spacing w:before="0" w:after="0"/>
        <w:rPr>
          <w:lang w:val="en-GB"/>
        </w:rPr>
      </w:pPr>
      <w:bookmarkStart w:id="12" w:name="_iw1e3dqovdto" w:colFirst="0" w:colLast="0"/>
      <w:bookmarkStart w:id="13" w:name="_Toc224577776"/>
      <w:bookmarkEnd w:id="12"/>
      <w:r w:rsidRPr="00021BF4">
        <w:rPr>
          <w:lang w:val="en-GB"/>
        </w:rPr>
        <w:t>Evaluation of the Effectiveness of Initiatives</w:t>
      </w:r>
      <w:bookmarkEnd w:id="13"/>
    </w:p>
    <w:p w14:paraId="29930588" w14:textId="77777777" w:rsidR="00EA41B8" w:rsidRPr="00021BF4" w:rsidRDefault="00EA41B8" w:rsidP="00FB3560">
      <w:pPr>
        <w:rPr>
          <w:color w:val="000000" w:themeColor="text1"/>
          <w:lang w:val="en-GB"/>
        </w:rPr>
      </w:pPr>
      <w:r w:rsidRPr="00021BF4">
        <w:rPr>
          <w:lang w:val="en-GB"/>
        </w:rPr>
        <w:t>The NHS long-term plan aims to relieve the stress on services as well as ensure sustainability. This program aims to prevent cardiovascular disease, cancer, mental health and maternity health. The plan aims to establish the integrated models of community mental healthcare for adults and older adults (Butler</w:t>
      </w:r>
      <w:r w:rsidR="00021BF4">
        <w:rPr>
          <w:lang w:val="en-GB"/>
        </w:rPr>
        <w:t xml:space="preserve"> </w:t>
      </w:r>
      <w:r w:rsidRPr="00021BF4">
        <w:rPr>
          <w:i/>
          <w:iCs/>
          <w:lang w:val="en-GB"/>
        </w:rPr>
        <w:t>et.al</w:t>
      </w:r>
      <w:r w:rsidR="00021BF4">
        <w:rPr>
          <w:i/>
          <w:iCs/>
          <w:lang w:val="en-GB"/>
        </w:rPr>
        <w:t xml:space="preserve"> </w:t>
      </w:r>
      <w:r w:rsidRPr="00021BF4">
        <w:rPr>
          <w:lang w:val="en-GB"/>
        </w:rPr>
        <w:t>2023). This also set the particular action to cut smoking in pregnancy and among people with long-term mental health issues. This also ensures that individuals with the learning disability receive better support and services. This program helps in improving the uptake of screening as well as early cancer diagnosis for individuals within the UK</w:t>
      </w:r>
    </w:p>
    <w:p w14:paraId="0847ED87" w14:textId="77777777" w:rsidR="00B91E91" w:rsidRPr="00021BF4" w:rsidRDefault="00AB049D" w:rsidP="00FB3560">
      <w:pPr>
        <w:rPr>
          <w:color w:val="000000" w:themeColor="text1"/>
          <w:lang w:val="en-GB"/>
        </w:rPr>
      </w:pPr>
      <w:r w:rsidRPr="00021BF4">
        <w:rPr>
          <w:color w:val="000000" w:themeColor="text1"/>
          <w:lang w:val="en-GB"/>
        </w:rPr>
        <w:t xml:space="preserve">The Health and Care Act 2022 has enhanced health care system, collaboration in that healthcare system has been upgraded by the establishment of NHS England Integrated Care Systems. As per Elizondo </w:t>
      </w:r>
      <w:hyperlink r:id="rId12">
        <w:r w:rsidRPr="00021BF4">
          <w:rPr>
            <w:i/>
            <w:iCs/>
            <w:color w:val="000000" w:themeColor="text1"/>
            <w:lang w:val="en-GB"/>
          </w:rPr>
          <w:t>et.al</w:t>
        </w:r>
      </w:hyperlink>
      <w:r w:rsidR="00021BF4">
        <w:rPr>
          <w:lang w:val="en-GB"/>
        </w:rPr>
        <w:t xml:space="preserve"> </w:t>
      </w:r>
      <w:r w:rsidRPr="00021BF4">
        <w:rPr>
          <w:color w:val="000000" w:themeColor="text1"/>
          <w:lang w:val="en-GB"/>
        </w:rPr>
        <w:t>(2024) it promotes collaboration between the health care services and the providers of social care. Recently, there are 42 ICSs operating in England, and they all plan services to an average of 1.4 million populations with the role of coordinating local healthcare and social care services.</w:t>
      </w:r>
    </w:p>
    <w:p w14:paraId="4A701395" w14:textId="77777777" w:rsidR="00B91E91" w:rsidRPr="00021BF4" w:rsidRDefault="00AB049D" w:rsidP="00FB3560">
      <w:pPr>
        <w:jc w:val="center"/>
        <w:rPr>
          <w:color w:val="000000" w:themeColor="text1"/>
          <w:lang w:val="en-GB"/>
        </w:rPr>
      </w:pPr>
      <w:r w:rsidRPr="00021BF4">
        <w:rPr>
          <w:noProof/>
          <w:color w:val="000000" w:themeColor="text1"/>
          <w:lang w:eastAsia="en-US"/>
        </w:rPr>
        <w:drawing>
          <wp:inline distT="114300" distB="114300" distL="114300" distR="114300" wp14:anchorId="03BF11AF" wp14:editId="541614E1">
            <wp:extent cx="4900613" cy="2646645"/>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4900613" cy="2646645"/>
                    </a:xfrm>
                    <a:prstGeom prst="rect">
                      <a:avLst/>
                    </a:prstGeom>
                    <a:ln/>
                  </pic:spPr>
                </pic:pic>
              </a:graphicData>
            </a:graphic>
          </wp:inline>
        </w:drawing>
      </w:r>
    </w:p>
    <w:p w14:paraId="48AC162B" w14:textId="6C7EB832" w:rsidR="00B91E91" w:rsidRPr="00021BF4" w:rsidRDefault="00AB049D" w:rsidP="00FB3560">
      <w:pPr>
        <w:jc w:val="center"/>
        <w:rPr>
          <w:b/>
          <w:bCs/>
          <w:color w:val="000000" w:themeColor="text1"/>
          <w:lang w:val="en-GB"/>
        </w:rPr>
      </w:pPr>
      <w:r w:rsidRPr="00021BF4">
        <w:rPr>
          <w:b/>
          <w:bCs/>
          <w:color w:val="000000" w:themeColor="text1"/>
          <w:lang w:val="en-GB"/>
        </w:rPr>
        <w:t xml:space="preserve">Figure </w:t>
      </w:r>
      <w:r w:rsidR="006B28DC">
        <w:rPr>
          <w:b/>
          <w:bCs/>
          <w:color w:val="000000" w:themeColor="text1"/>
          <w:lang w:val="en-GB"/>
        </w:rPr>
        <w:t>4</w:t>
      </w:r>
      <w:r w:rsidRPr="00021BF4">
        <w:rPr>
          <w:b/>
          <w:bCs/>
          <w:color w:val="000000" w:themeColor="text1"/>
          <w:lang w:val="en-GB"/>
        </w:rPr>
        <w:t>: NHS Workers</w:t>
      </w:r>
    </w:p>
    <w:p w14:paraId="0CDB3DB3" w14:textId="77777777" w:rsidR="00B91E91" w:rsidRPr="00021BF4" w:rsidRDefault="00021BF4" w:rsidP="00FB3560">
      <w:pPr>
        <w:jc w:val="center"/>
        <w:rPr>
          <w:color w:val="000000" w:themeColor="text1"/>
          <w:lang w:val="en-GB"/>
        </w:rPr>
      </w:pPr>
      <w:r>
        <w:rPr>
          <w:color w:val="000000" w:themeColor="text1"/>
          <w:lang w:val="en-GB"/>
        </w:rPr>
        <w:t>(Source: NHS</w:t>
      </w:r>
      <w:r w:rsidR="00AB049D" w:rsidRPr="00021BF4">
        <w:rPr>
          <w:color w:val="000000" w:themeColor="text1"/>
          <w:lang w:val="en-GB"/>
        </w:rPr>
        <w:t>, 2024)</w:t>
      </w:r>
    </w:p>
    <w:p w14:paraId="51DAB9D8" w14:textId="77777777" w:rsidR="00B91E91" w:rsidRPr="00021BF4" w:rsidRDefault="00AB049D" w:rsidP="00FB3560">
      <w:pPr>
        <w:rPr>
          <w:color w:val="000000" w:themeColor="text1"/>
          <w:lang w:val="en-GB"/>
        </w:rPr>
      </w:pPr>
      <w:r w:rsidRPr="00021BF4">
        <w:rPr>
          <w:color w:val="000000" w:themeColor="text1"/>
          <w:lang w:val="en-GB"/>
        </w:rPr>
        <w:lastRenderedPageBreak/>
        <w:t>There are, however, great difficulties. As the above graph reflects approximately 4 million employees work in the NHS, yet there are still severe staffing shortages approximately 121,000 NHS vacancies and approximately 152,000 vacancies in the social care that make the system incapable of implementing integrated care to its fullest extent (Nhs, 2024). This has contributed to streamlining fragmentation in services and the local organisations can better plan care following the needs of the community. Nonetheless, there are still difficulties, such as funding pressures and shortages in the workforce that do not provide the possibility to implement the integrated care to the full extent.</w:t>
      </w:r>
    </w:p>
    <w:p w14:paraId="4F1867B0" w14:textId="77777777" w:rsidR="00B91E91" w:rsidRPr="00021BF4" w:rsidRDefault="00AB049D" w:rsidP="00FB3560">
      <w:pPr>
        <w:rPr>
          <w:color w:val="000000" w:themeColor="text1"/>
          <w:lang w:val="en-GB"/>
        </w:rPr>
      </w:pPr>
      <w:r w:rsidRPr="00021BF4">
        <w:rPr>
          <w:color w:val="000000" w:themeColor="text1"/>
          <w:lang w:val="en-GB"/>
        </w:rPr>
        <w:t>However</w:t>
      </w:r>
      <w:r w:rsidR="00021BF4">
        <w:rPr>
          <w:color w:val="000000" w:themeColor="text1"/>
          <w:lang w:val="en-GB"/>
        </w:rPr>
        <w:t xml:space="preserve">, </w:t>
      </w:r>
      <w:r w:rsidRPr="00021BF4">
        <w:rPr>
          <w:color w:val="000000" w:themeColor="text1"/>
          <w:lang w:val="en-GB"/>
        </w:rPr>
        <w:t>Mbata</w:t>
      </w:r>
      <w:r w:rsidR="00021BF4">
        <w:rPr>
          <w:color w:val="000000" w:themeColor="text1"/>
          <w:lang w:val="en-GB"/>
        </w:rPr>
        <w:t xml:space="preserve"> </w:t>
      </w:r>
      <w:hyperlink r:id="rId14">
        <w:r w:rsidRPr="00021BF4">
          <w:rPr>
            <w:i/>
            <w:iCs/>
            <w:color w:val="000000" w:themeColor="text1"/>
            <w:lang w:val="en-GB"/>
          </w:rPr>
          <w:t>et.al</w:t>
        </w:r>
      </w:hyperlink>
      <w:r w:rsidR="00021BF4">
        <w:rPr>
          <w:lang w:val="en-GB"/>
        </w:rPr>
        <w:t xml:space="preserve"> </w:t>
      </w:r>
      <w:r w:rsidRPr="00021BF4">
        <w:rPr>
          <w:color w:val="000000" w:themeColor="text1"/>
          <w:lang w:val="en-GB"/>
        </w:rPr>
        <w:t xml:space="preserve">(2024) argued that the Better Care Fund has facilitated the merging of </w:t>
      </w:r>
      <w:r w:rsidR="00CC4706">
        <w:rPr>
          <w:color w:val="000000" w:themeColor="text1"/>
          <w:lang w:val="en-GB"/>
        </w:rPr>
        <w:t>HSC</w:t>
      </w:r>
      <w:r w:rsidRPr="00021BF4">
        <w:rPr>
          <w:color w:val="000000" w:themeColor="text1"/>
          <w:lang w:val="en-GB"/>
        </w:rPr>
        <w:t xml:space="preserve"> by enhancing the preventative care and minimizing unnecessary hospitalization. Although it has aided in enhancing the coordination of care processes and discharge, certain areas continue to experience some challenges when it comes to the delivery of consist</w:t>
      </w:r>
      <w:r w:rsidR="00021BF4">
        <w:rPr>
          <w:color w:val="000000" w:themeColor="text1"/>
          <w:lang w:val="en-GB"/>
        </w:rPr>
        <w:t xml:space="preserve">ent services. On the other hand, </w:t>
      </w:r>
      <w:r w:rsidRPr="00021BF4">
        <w:rPr>
          <w:color w:val="000000" w:themeColor="text1"/>
          <w:lang w:val="en-GB"/>
        </w:rPr>
        <w:t xml:space="preserve">Matos </w:t>
      </w:r>
      <w:hyperlink r:id="rId15">
        <w:r w:rsidRPr="00021BF4">
          <w:rPr>
            <w:i/>
            <w:iCs/>
            <w:color w:val="000000" w:themeColor="text1"/>
            <w:lang w:val="en-GB"/>
          </w:rPr>
          <w:t>et.al</w:t>
        </w:r>
      </w:hyperlink>
      <w:r w:rsidRPr="00021BF4">
        <w:rPr>
          <w:color w:val="000000" w:themeColor="text1"/>
          <w:lang w:val="en-GB"/>
        </w:rPr>
        <w:t xml:space="preserve"> (2025) stated the local age-friendly </w:t>
      </w:r>
      <w:r w:rsidR="00021BF4" w:rsidRPr="00021BF4">
        <w:rPr>
          <w:color w:val="000000" w:themeColor="text1"/>
          <w:lang w:val="en-GB"/>
        </w:rPr>
        <w:t>neighbourhood programmes</w:t>
      </w:r>
      <w:r w:rsidRPr="00021BF4">
        <w:rPr>
          <w:color w:val="000000" w:themeColor="text1"/>
          <w:lang w:val="en-GB"/>
        </w:rPr>
        <w:t xml:space="preserve"> (like Manchester Age-Friendly Neighbourhoods) have worked well to enhance the process of accessibility, social inclusion, and wellbeing among older residents. Although good results have been recorded, the long-term achievement is based on the long-term financial and community involvement as well as support of the policy.</w:t>
      </w:r>
    </w:p>
    <w:p w14:paraId="764EAB11" w14:textId="77777777" w:rsidR="00B91E91" w:rsidRPr="00021BF4" w:rsidRDefault="00AB049D" w:rsidP="00FB3560">
      <w:pPr>
        <w:pStyle w:val="Heading1"/>
        <w:spacing w:before="0" w:after="0"/>
        <w:rPr>
          <w:lang w:val="en-GB"/>
        </w:rPr>
      </w:pPr>
      <w:bookmarkStart w:id="14" w:name="_htt75x7pj0ar" w:colFirst="0" w:colLast="0"/>
      <w:bookmarkStart w:id="15" w:name="_Toc224577777"/>
      <w:bookmarkEnd w:id="14"/>
      <w:r w:rsidRPr="00021BF4">
        <w:rPr>
          <w:lang w:val="en-GB"/>
        </w:rPr>
        <w:t>Recommendations for Improvement</w:t>
      </w:r>
      <w:bookmarkEnd w:id="15"/>
    </w:p>
    <w:p w14:paraId="4305AD1A" w14:textId="77777777" w:rsidR="00B91E91" w:rsidRPr="00021BF4" w:rsidRDefault="00AB049D" w:rsidP="00FB3560">
      <w:pPr>
        <w:rPr>
          <w:color w:val="000000" w:themeColor="text1"/>
          <w:lang w:val="en-GB"/>
        </w:rPr>
      </w:pPr>
      <w:r w:rsidRPr="00021BF4">
        <w:rPr>
          <w:color w:val="000000" w:themeColor="text1"/>
          <w:lang w:val="en-GB"/>
        </w:rPr>
        <w:t xml:space="preserve">Among the key recommendations, one can identify the need to provide more funding and workforce support to the healthcare system. However, despite efforts to integrate </w:t>
      </w:r>
      <w:r w:rsidR="00CC4706">
        <w:rPr>
          <w:color w:val="000000" w:themeColor="text1"/>
          <w:lang w:val="en-GB"/>
        </w:rPr>
        <w:t>HSC</w:t>
      </w:r>
      <w:r w:rsidRPr="00021BF4">
        <w:rPr>
          <w:color w:val="000000" w:themeColor="text1"/>
          <w:lang w:val="en-GB"/>
        </w:rPr>
        <w:t xml:space="preserve"> services, or even increase their interaction via initiatives like the Health and Care Act 2022, healthcare professionals may be insufficient, and funds may be limited to make the collaboration more effective (McPake</w:t>
      </w:r>
      <w:r w:rsidR="00021BF4">
        <w:rPr>
          <w:color w:val="000000" w:themeColor="text1"/>
          <w:lang w:val="en-GB"/>
        </w:rPr>
        <w:t xml:space="preserve"> </w:t>
      </w:r>
      <w:hyperlink r:id="rId16">
        <w:r w:rsidRPr="00021BF4">
          <w:rPr>
            <w:i/>
            <w:iCs/>
            <w:color w:val="000000" w:themeColor="text1"/>
            <w:lang w:val="en-GB"/>
          </w:rPr>
          <w:t>et.al</w:t>
        </w:r>
      </w:hyperlink>
      <w:r w:rsidRPr="00021BF4">
        <w:rPr>
          <w:color w:val="000000" w:themeColor="text1"/>
          <w:lang w:val="en-GB"/>
        </w:rPr>
        <w:t xml:space="preserve"> 2023). </w:t>
      </w:r>
      <w:r w:rsidR="006D3C44">
        <w:rPr>
          <w:color w:val="000000" w:themeColor="text1"/>
          <w:lang w:val="en-GB"/>
        </w:rPr>
        <w:t>It is recommended that m</w:t>
      </w:r>
      <w:r w:rsidRPr="00021BF4">
        <w:rPr>
          <w:color w:val="000000" w:themeColor="text1"/>
          <w:lang w:val="en-GB"/>
        </w:rPr>
        <w:t xml:space="preserve">ore investment in training, recruitment and retention of healthcare workers </w:t>
      </w:r>
      <w:r w:rsidR="0023599D">
        <w:rPr>
          <w:color w:val="000000" w:themeColor="text1"/>
          <w:lang w:val="en-GB"/>
        </w:rPr>
        <w:t xml:space="preserve">should be done as </w:t>
      </w:r>
      <w:r w:rsidRPr="00021BF4">
        <w:rPr>
          <w:color w:val="000000" w:themeColor="text1"/>
          <w:lang w:val="en-GB"/>
        </w:rPr>
        <w:t>would make integrated care systems stronger and enhance service delivery. This would provide patients with quality care on time and at the same time lower the demand on the hospitals and the community health services.</w:t>
      </w:r>
    </w:p>
    <w:p w14:paraId="4BCE9716" w14:textId="77777777" w:rsidR="00B91E91" w:rsidRPr="00021BF4" w:rsidRDefault="00AB049D" w:rsidP="00FB3560">
      <w:pPr>
        <w:rPr>
          <w:color w:val="000000" w:themeColor="text1"/>
          <w:lang w:val="en-GB"/>
        </w:rPr>
      </w:pPr>
      <w:r w:rsidRPr="00021BF4">
        <w:rPr>
          <w:color w:val="000000" w:themeColor="text1"/>
          <w:lang w:val="en-GB"/>
        </w:rPr>
        <w:t>The other suggestion is to apply more effort to community-based and preventative health programs. Care coordination and independent living are already facilitated by the Better Care Fund and Manchester Age-Friendly Neighbourhoods, but programs to widen such programs may be further expanded to influence health outcomes (Gray, 2025). The local governments are supposed to put more money in preventive services, education on health, availability of infrastructures and social support frameworks. This would assist in the minimization of hospital admissions, healthier lifestyles, and the vulnerable populations in the community (older adults).</w:t>
      </w:r>
    </w:p>
    <w:p w14:paraId="4F86FC43" w14:textId="77777777" w:rsidR="00B91E91" w:rsidRPr="00021BF4" w:rsidRDefault="00AB049D" w:rsidP="00FB3560">
      <w:pPr>
        <w:pStyle w:val="Heading1"/>
        <w:spacing w:before="0" w:after="0"/>
        <w:rPr>
          <w:lang w:val="en-GB"/>
        </w:rPr>
      </w:pPr>
      <w:bookmarkStart w:id="16" w:name="_kmw63z2vm7p9" w:colFirst="0" w:colLast="0"/>
      <w:bookmarkStart w:id="17" w:name="_Toc224577778"/>
      <w:bookmarkEnd w:id="16"/>
      <w:r w:rsidRPr="00021BF4">
        <w:rPr>
          <w:lang w:val="en-GB"/>
        </w:rPr>
        <w:lastRenderedPageBreak/>
        <w:t>Conclusion</w:t>
      </w:r>
      <w:bookmarkEnd w:id="17"/>
    </w:p>
    <w:p w14:paraId="088864F1" w14:textId="77777777" w:rsidR="00EA41B8" w:rsidRPr="00021BF4" w:rsidRDefault="00AB049D" w:rsidP="00FB3560">
      <w:pPr>
        <w:rPr>
          <w:color w:val="000000" w:themeColor="text1"/>
          <w:lang w:val="en-GB"/>
        </w:rPr>
      </w:pPr>
      <w:r w:rsidRPr="00021BF4">
        <w:rPr>
          <w:color w:val="000000" w:themeColor="text1"/>
          <w:lang w:val="en-GB"/>
        </w:rPr>
        <w:t xml:space="preserve">Hence, the report discusses on sustainability policies and initiatives are crucial in enhancing health and wellbeing of the citizens. </w:t>
      </w:r>
      <w:r w:rsidR="00B37638">
        <w:rPr>
          <w:color w:val="000000" w:themeColor="text1"/>
          <w:lang w:val="en-GB"/>
        </w:rPr>
        <w:t>I</w:t>
      </w:r>
      <w:r w:rsidR="00CC4706">
        <w:rPr>
          <w:color w:val="000000" w:themeColor="text1"/>
          <w:lang w:val="en-GB"/>
        </w:rPr>
        <w:t>t is noted that</w:t>
      </w:r>
      <w:r w:rsidRPr="00021BF4">
        <w:rPr>
          <w:color w:val="000000" w:themeColor="text1"/>
          <w:lang w:val="en-GB"/>
        </w:rPr>
        <w:t xml:space="preserve"> factors have to be accessible to maintain healthier communities through access to healthcare, safe water, and sanitation. At the national level and locally, efforts towards the promotion of integrated care and supportive settings have been achieved. Nevertheless, they need further investment, greater cooperation, and prevention interventions to achieve greater long-term performance and guarantee sustainable health results in citizens.</w:t>
      </w:r>
    </w:p>
    <w:p w14:paraId="739539C7" w14:textId="77777777" w:rsidR="00EA41B8" w:rsidRPr="00021BF4" w:rsidRDefault="00EA41B8" w:rsidP="00FB3560">
      <w:pPr>
        <w:rPr>
          <w:color w:val="000000" w:themeColor="text1"/>
          <w:lang w:val="en-GB"/>
        </w:rPr>
      </w:pPr>
      <w:r w:rsidRPr="00021BF4">
        <w:rPr>
          <w:color w:val="000000" w:themeColor="text1"/>
          <w:lang w:val="en-GB"/>
        </w:rPr>
        <w:br w:type="page"/>
      </w:r>
    </w:p>
    <w:p w14:paraId="3ED68B64" w14:textId="77777777" w:rsidR="00B91E91" w:rsidRPr="00021BF4" w:rsidRDefault="00EA41B8" w:rsidP="00FB3560">
      <w:pPr>
        <w:pStyle w:val="Heading1"/>
        <w:spacing w:before="0" w:after="0"/>
        <w:rPr>
          <w:lang w:val="en-GB"/>
        </w:rPr>
      </w:pPr>
      <w:bookmarkStart w:id="18" w:name="_Toc224577779"/>
      <w:r w:rsidRPr="00021BF4">
        <w:rPr>
          <w:lang w:val="en-GB"/>
        </w:rPr>
        <w:lastRenderedPageBreak/>
        <w:t>References</w:t>
      </w:r>
      <w:bookmarkEnd w:id="18"/>
    </w:p>
    <w:p w14:paraId="47AE5E29" w14:textId="77777777" w:rsidR="00EA41B8" w:rsidRPr="00021BF4" w:rsidRDefault="00EA41B8" w:rsidP="00FB3560">
      <w:pPr>
        <w:rPr>
          <w:color w:val="000000" w:themeColor="text1"/>
          <w:shd w:val="clear" w:color="auto" w:fill="FFFFFF"/>
          <w:lang w:val="en-GB"/>
        </w:rPr>
      </w:pPr>
      <w:r w:rsidRPr="00021BF4">
        <w:rPr>
          <w:color w:val="000000" w:themeColor="text1"/>
          <w:shd w:val="clear" w:color="auto" w:fill="FFFFFF"/>
          <w:lang w:val="en-GB"/>
        </w:rPr>
        <w:t>Aman, H., Doost, Z. H., Hejran, A. W., Mehr, A. D., Szczepanek, R., and Gilja, G. (2024). Survey on the challenges for achieving SDG 6: clean water and sanitation: a global insight. </w:t>
      </w:r>
      <w:r w:rsidRPr="00021BF4">
        <w:rPr>
          <w:i/>
          <w:iCs/>
          <w:color w:val="000000" w:themeColor="text1"/>
          <w:shd w:val="clear" w:color="auto" w:fill="FFFFFF"/>
          <w:lang w:val="en-GB"/>
        </w:rPr>
        <w:t>Knowledge-based Engineering and Sciences</w:t>
      </w:r>
      <w:r w:rsidRPr="00021BF4">
        <w:rPr>
          <w:color w:val="000000" w:themeColor="text1"/>
          <w:shd w:val="clear" w:color="auto" w:fill="FFFFFF"/>
          <w:lang w:val="en-GB"/>
        </w:rPr>
        <w:t>, </w:t>
      </w:r>
      <w:r w:rsidRPr="00021BF4">
        <w:rPr>
          <w:i/>
          <w:iCs/>
          <w:color w:val="000000" w:themeColor="text1"/>
          <w:shd w:val="clear" w:color="auto" w:fill="FFFFFF"/>
          <w:lang w:val="en-GB"/>
        </w:rPr>
        <w:t>5</w:t>
      </w:r>
      <w:r w:rsidRPr="00021BF4">
        <w:rPr>
          <w:color w:val="000000" w:themeColor="text1"/>
          <w:shd w:val="clear" w:color="auto" w:fill="FFFFFF"/>
          <w:lang w:val="en-GB"/>
        </w:rPr>
        <w:t>(3), 21-42.</w:t>
      </w:r>
    </w:p>
    <w:p w14:paraId="075F14C7" w14:textId="77777777" w:rsidR="00EA41B8" w:rsidRPr="00021BF4" w:rsidRDefault="00EA41B8" w:rsidP="00FB3560">
      <w:pPr>
        <w:rPr>
          <w:color w:val="000000" w:themeColor="text1"/>
          <w:shd w:val="clear" w:color="auto" w:fill="FFFFFF"/>
          <w:lang w:val="en-GB"/>
        </w:rPr>
      </w:pPr>
      <w:r w:rsidRPr="00021BF4">
        <w:rPr>
          <w:color w:val="000000" w:themeColor="text1"/>
          <w:shd w:val="clear" w:color="auto" w:fill="FFFFFF"/>
          <w:lang w:val="en-GB"/>
        </w:rPr>
        <w:t>Babu, S. C., and Srivastava, N. (2024). Sustainable Development Goal 3: Good health and well-being. In </w:t>
      </w:r>
      <w:r w:rsidRPr="00021BF4">
        <w:rPr>
          <w:i/>
          <w:iCs/>
          <w:color w:val="000000" w:themeColor="text1"/>
          <w:shd w:val="clear" w:color="auto" w:fill="FFFFFF"/>
          <w:lang w:val="en-GB"/>
        </w:rPr>
        <w:t>Handbook on Public Policy and Food Security</w:t>
      </w:r>
      <w:r w:rsidRPr="00021BF4">
        <w:rPr>
          <w:color w:val="000000" w:themeColor="text1"/>
          <w:shd w:val="clear" w:color="auto" w:fill="FFFFFF"/>
          <w:lang w:val="en-GB"/>
        </w:rPr>
        <w:t> (pp. 101-109). Edward Elgar Publishing.</w:t>
      </w:r>
    </w:p>
    <w:p w14:paraId="65ACCD83" w14:textId="77777777" w:rsidR="00EA41B8" w:rsidRPr="00021BF4" w:rsidRDefault="00EA41B8" w:rsidP="00FB3560">
      <w:pPr>
        <w:rPr>
          <w:lang w:val="en-GB"/>
        </w:rPr>
      </w:pPr>
      <w:r w:rsidRPr="00021BF4">
        <w:rPr>
          <w:lang w:val="en-GB"/>
        </w:rPr>
        <w:t>Butler, C.C., Hobbs, F.R., Gbinigie, O.A., Rahman, N.M., Hayward, G., Richards, D.B., Dorward, J., Lowe, D.M., Standing, J.F., Breuer, J. and Khoo, S., (2023). Molnupiravir plus usual care versus usual care alone as early treatment for adults with COVID-19 at increased risk of adverse outcomes (PANORAMIC): an open-label, platform-adaptive randomised controlled trial. </w:t>
      </w:r>
      <w:r w:rsidRPr="00021BF4">
        <w:rPr>
          <w:i/>
          <w:iCs/>
          <w:lang w:val="en-GB"/>
        </w:rPr>
        <w:t>The Lancet</w:t>
      </w:r>
      <w:r w:rsidRPr="00021BF4">
        <w:rPr>
          <w:lang w:val="en-GB"/>
        </w:rPr>
        <w:t>, </w:t>
      </w:r>
      <w:r w:rsidRPr="00021BF4">
        <w:rPr>
          <w:i/>
          <w:iCs/>
          <w:lang w:val="en-GB"/>
        </w:rPr>
        <w:t>401</w:t>
      </w:r>
      <w:r w:rsidRPr="00021BF4">
        <w:rPr>
          <w:lang w:val="en-GB"/>
        </w:rPr>
        <w:t>(10373), pp.281-293.</w:t>
      </w:r>
    </w:p>
    <w:p w14:paraId="315515C6" w14:textId="77777777" w:rsidR="00EA41B8" w:rsidRPr="00021BF4" w:rsidRDefault="00EA41B8" w:rsidP="00FB3560">
      <w:pPr>
        <w:rPr>
          <w:color w:val="000000" w:themeColor="text1"/>
          <w:shd w:val="clear" w:color="auto" w:fill="FFFFFF"/>
          <w:lang w:val="en-GB"/>
        </w:rPr>
      </w:pPr>
      <w:r w:rsidRPr="00021BF4">
        <w:rPr>
          <w:color w:val="000000" w:themeColor="text1"/>
          <w:shd w:val="clear" w:color="auto" w:fill="FFFFFF"/>
          <w:lang w:val="en-GB"/>
        </w:rPr>
        <w:t>Elizondo, A., Williams, R., Anderson, S., and Cresswell, K. (2024). Implementing integrated care infrastructure: A longitudinal study on the interplay of policies, interorganizational arrangements and interoperability in NHS England. </w:t>
      </w:r>
      <w:r w:rsidRPr="00021BF4">
        <w:rPr>
          <w:i/>
          <w:iCs/>
          <w:color w:val="000000" w:themeColor="text1"/>
          <w:shd w:val="clear" w:color="auto" w:fill="FFFFFF"/>
          <w:lang w:val="en-GB"/>
        </w:rPr>
        <w:t>Health Policy</w:t>
      </w:r>
      <w:r w:rsidRPr="00021BF4">
        <w:rPr>
          <w:color w:val="000000" w:themeColor="text1"/>
          <w:shd w:val="clear" w:color="auto" w:fill="FFFFFF"/>
          <w:lang w:val="en-GB"/>
        </w:rPr>
        <w:t>, 105237.</w:t>
      </w:r>
    </w:p>
    <w:p w14:paraId="28311816" w14:textId="77777777" w:rsidR="00EA41B8" w:rsidRPr="00021BF4" w:rsidRDefault="00EA41B8" w:rsidP="00FB3560">
      <w:pPr>
        <w:rPr>
          <w:color w:val="000000" w:themeColor="text1"/>
          <w:sz w:val="24"/>
          <w:szCs w:val="24"/>
          <w:shd w:val="clear" w:color="auto" w:fill="FFFFFF"/>
          <w:lang w:val="en-GB"/>
        </w:rPr>
      </w:pPr>
      <w:r w:rsidRPr="00021BF4">
        <w:rPr>
          <w:color w:val="222222"/>
          <w:shd w:val="clear" w:color="auto" w:fill="FFFFFF"/>
          <w:lang w:val="en-GB"/>
        </w:rPr>
        <w:t>Evaristo, J., Jameel, Y., Tortajada, C., Wang, R. Y., Horne, J., Neukrug, H., ... and Biswas, A. (2023). Water woes: the institutional challenges in achieving SDG 6. </w:t>
      </w:r>
      <w:r w:rsidRPr="00021BF4">
        <w:rPr>
          <w:i/>
          <w:iCs/>
          <w:color w:val="222222"/>
          <w:shd w:val="clear" w:color="auto" w:fill="FFFFFF"/>
          <w:lang w:val="en-GB"/>
        </w:rPr>
        <w:t>Sustainable Earth Reviews</w:t>
      </w:r>
      <w:r w:rsidRPr="00021BF4">
        <w:rPr>
          <w:color w:val="222222"/>
          <w:shd w:val="clear" w:color="auto" w:fill="FFFFFF"/>
          <w:lang w:val="en-GB"/>
        </w:rPr>
        <w:t>, </w:t>
      </w:r>
      <w:r w:rsidRPr="00021BF4">
        <w:rPr>
          <w:i/>
          <w:iCs/>
          <w:color w:val="222222"/>
          <w:shd w:val="clear" w:color="auto" w:fill="FFFFFF"/>
          <w:lang w:val="en-GB"/>
        </w:rPr>
        <w:t>6</w:t>
      </w:r>
      <w:r w:rsidRPr="00021BF4">
        <w:rPr>
          <w:color w:val="222222"/>
          <w:shd w:val="clear" w:color="auto" w:fill="FFFFFF"/>
          <w:lang w:val="en-GB"/>
        </w:rPr>
        <w:t>(1), 13.</w:t>
      </w:r>
    </w:p>
    <w:p w14:paraId="7E75BE95" w14:textId="77777777" w:rsidR="00EA41B8" w:rsidRPr="00021BF4" w:rsidRDefault="00EA41B8" w:rsidP="00FB3560">
      <w:pPr>
        <w:rPr>
          <w:color w:val="000000" w:themeColor="text1"/>
          <w:lang w:val="en-GB"/>
        </w:rPr>
      </w:pPr>
      <w:r w:rsidRPr="00021BF4">
        <w:rPr>
          <w:color w:val="000000" w:themeColor="text1"/>
          <w:lang w:val="en-GB"/>
        </w:rPr>
        <w:t xml:space="preserve">Globalgoals (2026). </w:t>
      </w:r>
      <w:r w:rsidRPr="00021BF4">
        <w:rPr>
          <w:i/>
          <w:iCs/>
          <w:color w:val="000000" w:themeColor="text1"/>
          <w:lang w:val="en-GB"/>
        </w:rPr>
        <w:t>Goal 6: Clean water and sanitation</w:t>
      </w:r>
      <w:r w:rsidRPr="00021BF4">
        <w:rPr>
          <w:color w:val="000000" w:themeColor="text1"/>
          <w:lang w:val="en-GB"/>
        </w:rPr>
        <w:t xml:space="preserve"> [Online] Available at: &lt;</w:t>
      </w:r>
      <w:hyperlink r:id="rId17" w:history="1">
        <w:r w:rsidRPr="00021BF4">
          <w:rPr>
            <w:rStyle w:val="Hyperlink"/>
            <w:color w:val="000000" w:themeColor="text1"/>
            <w:u w:val="none"/>
            <w:lang w:val="en-GB"/>
          </w:rPr>
          <w:t>https://globalgoals.org/goals/6-clean-water-and-sanitation/</w:t>
        </w:r>
      </w:hyperlink>
      <w:r w:rsidRPr="00021BF4">
        <w:rPr>
          <w:color w:val="000000" w:themeColor="text1"/>
          <w:lang w:val="en-GB"/>
        </w:rPr>
        <w:t>&gt; (Accessed on: 16</w:t>
      </w:r>
      <w:r w:rsidRPr="00021BF4">
        <w:rPr>
          <w:color w:val="000000" w:themeColor="text1"/>
          <w:vertAlign w:val="superscript"/>
          <w:lang w:val="en-GB"/>
        </w:rPr>
        <w:t>th</w:t>
      </w:r>
      <w:r w:rsidRPr="00021BF4">
        <w:rPr>
          <w:color w:val="000000" w:themeColor="text1"/>
          <w:lang w:val="en-GB"/>
        </w:rPr>
        <w:t xml:space="preserve"> March, 2026)</w:t>
      </w:r>
    </w:p>
    <w:p w14:paraId="061D5BFC" w14:textId="77777777" w:rsidR="00EA41B8" w:rsidRPr="00021BF4" w:rsidRDefault="00EA41B8" w:rsidP="00FB3560">
      <w:pPr>
        <w:rPr>
          <w:color w:val="000000" w:themeColor="text1"/>
          <w:shd w:val="clear" w:color="auto" w:fill="FFFFFF"/>
          <w:lang w:val="en-GB"/>
        </w:rPr>
      </w:pPr>
      <w:r w:rsidRPr="00021BF4">
        <w:rPr>
          <w:color w:val="000000" w:themeColor="text1"/>
          <w:shd w:val="clear" w:color="auto" w:fill="FFFFFF"/>
          <w:lang w:val="en-GB"/>
        </w:rPr>
        <w:t>Gray, A. (2025). Reducing the need for care. In </w:t>
      </w:r>
      <w:r w:rsidRPr="00021BF4">
        <w:rPr>
          <w:i/>
          <w:iCs/>
          <w:color w:val="000000" w:themeColor="text1"/>
          <w:shd w:val="clear" w:color="auto" w:fill="FFFFFF"/>
          <w:lang w:val="en-GB"/>
        </w:rPr>
        <w:t>Radical Approaches to the Care Crisis</w:t>
      </w:r>
      <w:r w:rsidRPr="00021BF4">
        <w:rPr>
          <w:color w:val="000000" w:themeColor="text1"/>
          <w:shd w:val="clear" w:color="auto" w:fill="FFFFFF"/>
          <w:lang w:val="en-GB"/>
        </w:rPr>
        <w:t> (pp. 143-158). Policy Press.</w:t>
      </w:r>
    </w:p>
    <w:p w14:paraId="2F5E7DC8" w14:textId="77777777" w:rsidR="00EA41B8" w:rsidRPr="00021BF4" w:rsidRDefault="00EA41B8" w:rsidP="00FB3560">
      <w:pPr>
        <w:rPr>
          <w:color w:val="000000" w:themeColor="text1"/>
          <w:shd w:val="clear" w:color="auto" w:fill="FFFFFF"/>
          <w:lang w:val="en-GB"/>
        </w:rPr>
      </w:pPr>
      <w:r w:rsidRPr="00021BF4">
        <w:rPr>
          <w:color w:val="000000" w:themeColor="text1"/>
          <w:shd w:val="clear" w:color="auto" w:fill="FFFFFF"/>
          <w:lang w:val="en-GB"/>
        </w:rPr>
        <w:t>Hales, R., and Birdthistle, N. (2023). The sustainable development goal–SDG# 3 good health and well-being.</w:t>
      </w:r>
    </w:p>
    <w:p w14:paraId="570C3414" w14:textId="77777777" w:rsidR="00EA41B8" w:rsidRPr="00021BF4" w:rsidRDefault="00EA41B8" w:rsidP="00FB3560">
      <w:pPr>
        <w:rPr>
          <w:lang w:val="en-GB"/>
        </w:rPr>
      </w:pPr>
      <w:r w:rsidRPr="00021BF4">
        <w:rPr>
          <w:lang w:val="en-GB"/>
        </w:rPr>
        <w:t>Jones, K.C., Weatherly, H., Birch, S., Castelli, A., Chalkley, M., Dargan, A., Findlay, D., Gao, M., Hinde, S., Markham, S. and Smith, D., (2025). Unit costs of health and social care 2024 manual.</w:t>
      </w:r>
    </w:p>
    <w:p w14:paraId="0A36B59E" w14:textId="77777777" w:rsidR="00EA41B8" w:rsidRPr="00021BF4" w:rsidRDefault="00EA41B8" w:rsidP="00FB3560">
      <w:pPr>
        <w:rPr>
          <w:color w:val="000000" w:themeColor="text1"/>
          <w:shd w:val="clear" w:color="auto" w:fill="FFFFFF"/>
          <w:lang w:val="en-GB"/>
        </w:rPr>
      </w:pPr>
      <w:r w:rsidRPr="00021BF4">
        <w:rPr>
          <w:color w:val="000000" w:themeColor="text1"/>
          <w:shd w:val="clear" w:color="auto" w:fill="FFFFFF"/>
          <w:lang w:val="en-GB"/>
        </w:rPr>
        <w:t>Martelletti, P., Leonardi, M., Ashina, M., Burstein, R., Cho, S. J., Charway-Felli, A., ... and Raggi, A. (2023). Rethinking headache as a global public health case model for reaching the SDG 3 HEALTH by 2030. </w:t>
      </w:r>
      <w:r w:rsidRPr="00021BF4">
        <w:rPr>
          <w:i/>
          <w:iCs/>
          <w:color w:val="000000" w:themeColor="text1"/>
          <w:shd w:val="clear" w:color="auto" w:fill="FFFFFF"/>
          <w:lang w:val="en-GB"/>
        </w:rPr>
        <w:t>The Journal of Headache and Pain</w:t>
      </w:r>
      <w:r w:rsidRPr="00021BF4">
        <w:rPr>
          <w:color w:val="000000" w:themeColor="text1"/>
          <w:shd w:val="clear" w:color="auto" w:fill="FFFFFF"/>
          <w:lang w:val="en-GB"/>
        </w:rPr>
        <w:t>, </w:t>
      </w:r>
      <w:r w:rsidRPr="00021BF4">
        <w:rPr>
          <w:i/>
          <w:iCs/>
          <w:color w:val="000000" w:themeColor="text1"/>
          <w:shd w:val="clear" w:color="auto" w:fill="FFFFFF"/>
          <w:lang w:val="en-GB"/>
        </w:rPr>
        <w:t>24</w:t>
      </w:r>
      <w:r w:rsidRPr="00021BF4">
        <w:rPr>
          <w:color w:val="000000" w:themeColor="text1"/>
          <w:shd w:val="clear" w:color="auto" w:fill="FFFFFF"/>
          <w:lang w:val="en-GB"/>
        </w:rPr>
        <w:t>(1), 140.</w:t>
      </w:r>
    </w:p>
    <w:p w14:paraId="6FE21369" w14:textId="77777777" w:rsidR="00EA41B8" w:rsidRPr="00021BF4" w:rsidRDefault="00EA41B8" w:rsidP="00FB3560">
      <w:pPr>
        <w:rPr>
          <w:color w:val="000000" w:themeColor="text1"/>
          <w:shd w:val="clear" w:color="auto" w:fill="FFFFFF"/>
          <w:lang w:val="en-GB"/>
        </w:rPr>
      </w:pPr>
      <w:r w:rsidRPr="00021BF4">
        <w:rPr>
          <w:color w:val="000000" w:themeColor="text1"/>
          <w:shd w:val="clear" w:color="auto" w:fill="FFFFFF"/>
          <w:lang w:val="en-GB"/>
        </w:rPr>
        <w:t>Matos, R. C. D., Nascimento, G. D., Fernandes, A. C., and Matos, C. (2025). Health and social care integration.</w:t>
      </w:r>
    </w:p>
    <w:p w14:paraId="4F0F9902" w14:textId="77777777" w:rsidR="00EA41B8" w:rsidRPr="00021BF4" w:rsidRDefault="00EA41B8" w:rsidP="00FB3560">
      <w:pPr>
        <w:rPr>
          <w:color w:val="000000" w:themeColor="text1"/>
          <w:shd w:val="clear" w:color="auto" w:fill="FFFFFF"/>
          <w:lang w:val="en-GB"/>
        </w:rPr>
      </w:pPr>
      <w:r w:rsidRPr="00021BF4">
        <w:rPr>
          <w:color w:val="000000" w:themeColor="text1"/>
          <w:shd w:val="clear" w:color="auto" w:fill="FFFFFF"/>
          <w:lang w:val="en-GB"/>
        </w:rPr>
        <w:t xml:space="preserve">Mbata, A. O., Soyege, O. S., Nwokedi, C. N., Tomoh, B. O., Mustapha, A. Y., Balogun, O. D., ... and Iguma, D. R. (2024). Preventative medicine and chronic disease management: reducing </w:t>
      </w:r>
      <w:r w:rsidRPr="00021BF4">
        <w:rPr>
          <w:color w:val="000000" w:themeColor="text1"/>
          <w:shd w:val="clear" w:color="auto" w:fill="FFFFFF"/>
          <w:lang w:val="en-GB"/>
        </w:rPr>
        <w:lastRenderedPageBreak/>
        <w:t>healthcare costs and improving long-term public health. </w:t>
      </w:r>
      <w:r w:rsidRPr="00021BF4">
        <w:rPr>
          <w:i/>
          <w:iCs/>
          <w:color w:val="000000" w:themeColor="text1"/>
          <w:shd w:val="clear" w:color="auto" w:fill="FFFFFF"/>
          <w:lang w:val="en-GB"/>
        </w:rPr>
        <w:t>International Journal of Multidisciplinary Research and Growth Evaluation</w:t>
      </w:r>
      <w:r w:rsidRPr="00021BF4">
        <w:rPr>
          <w:color w:val="000000" w:themeColor="text1"/>
          <w:shd w:val="clear" w:color="auto" w:fill="FFFFFF"/>
          <w:lang w:val="en-GB"/>
        </w:rPr>
        <w:t>, </w:t>
      </w:r>
      <w:r w:rsidRPr="00021BF4">
        <w:rPr>
          <w:i/>
          <w:iCs/>
          <w:color w:val="000000" w:themeColor="text1"/>
          <w:shd w:val="clear" w:color="auto" w:fill="FFFFFF"/>
          <w:lang w:val="en-GB"/>
        </w:rPr>
        <w:t>5</w:t>
      </w:r>
      <w:r w:rsidRPr="00021BF4">
        <w:rPr>
          <w:color w:val="000000" w:themeColor="text1"/>
          <w:shd w:val="clear" w:color="auto" w:fill="FFFFFF"/>
          <w:lang w:val="en-GB"/>
        </w:rPr>
        <w:t>(06), 1584-1600.</w:t>
      </w:r>
    </w:p>
    <w:p w14:paraId="246DB0EE" w14:textId="77777777" w:rsidR="00EA41B8" w:rsidRPr="00021BF4" w:rsidRDefault="00EA41B8" w:rsidP="00FB3560">
      <w:pPr>
        <w:rPr>
          <w:color w:val="000000" w:themeColor="text1"/>
          <w:shd w:val="clear" w:color="auto" w:fill="FFFFFF"/>
          <w:lang w:val="en-GB"/>
        </w:rPr>
      </w:pPr>
      <w:r w:rsidRPr="00021BF4">
        <w:rPr>
          <w:color w:val="000000" w:themeColor="text1"/>
          <w:shd w:val="clear" w:color="auto" w:fill="FFFFFF"/>
          <w:lang w:val="en-GB"/>
        </w:rPr>
        <w:t>McPake, B., Dayal, P., Zimmermann, J., Williams, G. A., and World Health Organization. (2023). What steps can improve and promote investment in the health and care workforce? Enhancing efficiency of spending and rethinking domestic and international financing.</w:t>
      </w:r>
    </w:p>
    <w:p w14:paraId="1F294DB7" w14:textId="77777777" w:rsidR="00EA41B8" w:rsidRPr="00021BF4" w:rsidRDefault="00EA41B8" w:rsidP="00FB3560">
      <w:pPr>
        <w:rPr>
          <w:color w:val="000000" w:themeColor="text1"/>
          <w:lang w:val="en-GB"/>
        </w:rPr>
      </w:pPr>
      <w:r w:rsidRPr="00021BF4">
        <w:rPr>
          <w:color w:val="000000" w:themeColor="text1"/>
          <w:shd w:val="clear" w:color="auto" w:fill="FFFFFF"/>
          <w:lang w:val="en-GB"/>
        </w:rPr>
        <w:t>Monaco, S. (2024). SDG 3. Ensure healthy lives and promote well-being for all at all ages. In </w:t>
      </w:r>
      <w:r w:rsidRPr="00021BF4">
        <w:rPr>
          <w:i/>
          <w:iCs/>
          <w:color w:val="000000" w:themeColor="text1"/>
          <w:shd w:val="clear" w:color="auto" w:fill="FFFFFF"/>
          <w:lang w:val="en-GB"/>
        </w:rPr>
        <w:t>Identity, territories, and sustainability: challenges and opportunities for achieving the UN sustainable development goals</w:t>
      </w:r>
      <w:r w:rsidRPr="00021BF4">
        <w:rPr>
          <w:color w:val="000000" w:themeColor="text1"/>
          <w:shd w:val="clear" w:color="auto" w:fill="FFFFFF"/>
          <w:lang w:val="en-GB"/>
        </w:rPr>
        <w:t> (pp. 33-41). Emerald Publishing Limited.</w:t>
      </w:r>
    </w:p>
    <w:p w14:paraId="0E972240" w14:textId="77777777" w:rsidR="00EA41B8" w:rsidRPr="00021BF4" w:rsidRDefault="00EA41B8" w:rsidP="00FB3560">
      <w:pPr>
        <w:rPr>
          <w:color w:val="000000" w:themeColor="text1"/>
          <w:lang w:val="en-GB"/>
        </w:rPr>
      </w:pPr>
      <w:r w:rsidRPr="00021BF4">
        <w:rPr>
          <w:color w:val="000000" w:themeColor="text1"/>
          <w:lang w:val="en-GB"/>
        </w:rPr>
        <w:t xml:space="preserve">Nhs (2024). NHS Long Term Workforce Plan. [Online] Available at: </w:t>
      </w:r>
      <w:r w:rsidR="00977493">
        <w:rPr>
          <w:color w:val="000000" w:themeColor="text1"/>
          <w:lang w:val="en-GB"/>
        </w:rPr>
        <w:t>&lt;</w:t>
      </w:r>
      <w:hyperlink r:id="rId18" w:anchor="references" w:history="1">
        <w:r w:rsidR="00977493" w:rsidRPr="003963D7">
          <w:rPr>
            <w:rStyle w:val="Hyperlink"/>
            <w:lang w:val="en-GB"/>
          </w:rPr>
          <w:t>https://www.england.nhs.uk/long-read/nhs-long-term-workforce-plan-2/#references</w:t>
        </w:r>
      </w:hyperlink>
      <w:r w:rsidR="00977493">
        <w:rPr>
          <w:color w:val="000000" w:themeColor="text1"/>
          <w:lang w:val="en-GB"/>
        </w:rPr>
        <w:t>&gt; [</w:t>
      </w:r>
      <w:r w:rsidR="00977493" w:rsidRPr="00021BF4">
        <w:rPr>
          <w:color w:val="000000" w:themeColor="text1"/>
          <w:lang w:val="en-GB"/>
        </w:rPr>
        <w:t>Accessed on: 16</w:t>
      </w:r>
      <w:r w:rsidR="00977493" w:rsidRPr="00021BF4">
        <w:rPr>
          <w:color w:val="000000" w:themeColor="text1"/>
          <w:vertAlign w:val="superscript"/>
          <w:lang w:val="en-GB"/>
        </w:rPr>
        <w:t>th</w:t>
      </w:r>
      <w:r w:rsidR="00977493">
        <w:rPr>
          <w:color w:val="000000" w:themeColor="text1"/>
          <w:lang w:val="en-GB"/>
        </w:rPr>
        <w:t xml:space="preserve"> March, 2026]</w:t>
      </w:r>
    </w:p>
    <w:p w14:paraId="5709B0A3" w14:textId="77777777" w:rsidR="00EA41B8" w:rsidRPr="00021BF4" w:rsidRDefault="00EA41B8" w:rsidP="00FB3560">
      <w:pPr>
        <w:rPr>
          <w:color w:val="000000" w:themeColor="text1"/>
          <w:shd w:val="clear" w:color="auto" w:fill="FFFFFF"/>
          <w:lang w:val="en-GB"/>
        </w:rPr>
      </w:pPr>
      <w:r w:rsidRPr="00021BF4">
        <w:rPr>
          <w:color w:val="000000" w:themeColor="text1"/>
          <w:shd w:val="clear" w:color="auto" w:fill="FFFFFF"/>
          <w:lang w:val="en-GB"/>
        </w:rPr>
        <w:t>Rajapakse, J., Otoo, M., and Danso, G. (2023). Progress in delivering SDG6: Safe water and sanitation. </w:t>
      </w:r>
      <w:r w:rsidRPr="00021BF4">
        <w:rPr>
          <w:i/>
          <w:iCs/>
          <w:color w:val="000000" w:themeColor="text1"/>
          <w:shd w:val="clear" w:color="auto" w:fill="FFFFFF"/>
          <w:lang w:val="en-GB"/>
        </w:rPr>
        <w:t>Cambridge Prisms: Water</w:t>
      </w:r>
      <w:r w:rsidRPr="00021BF4">
        <w:rPr>
          <w:color w:val="000000" w:themeColor="text1"/>
          <w:shd w:val="clear" w:color="auto" w:fill="FFFFFF"/>
          <w:lang w:val="en-GB"/>
        </w:rPr>
        <w:t>, </w:t>
      </w:r>
      <w:r w:rsidRPr="00021BF4">
        <w:rPr>
          <w:i/>
          <w:iCs/>
          <w:color w:val="000000" w:themeColor="text1"/>
          <w:shd w:val="clear" w:color="auto" w:fill="FFFFFF"/>
          <w:lang w:val="en-GB"/>
        </w:rPr>
        <w:t>1</w:t>
      </w:r>
      <w:r w:rsidRPr="00021BF4">
        <w:rPr>
          <w:color w:val="000000" w:themeColor="text1"/>
          <w:shd w:val="clear" w:color="auto" w:fill="FFFFFF"/>
          <w:lang w:val="en-GB"/>
        </w:rPr>
        <w:t>, e6.</w:t>
      </w:r>
    </w:p>
    <w:p w14:paraId="29CA50AE" w14:textId="77777777" w:rsidR="00EA41B8" w:rsidRPr="00021BF4" w:rsidRDefault="00EA41B8" w:rsidP="00FB3560">
      <w:pPr>
        <w:rPr>
          <w:lang w:val="en-GB"/>
        </w:rPr>
      </w:pPr>
      <w:r w:rsidRPr="00021BF4">
        <w:rPr>
          <w:lang w:val="en-GB"/>
        </w:rPr>
        <w:t>Rhodes, S., Wilkinson, J., Pearce, N., Mueller, W., Cherrie, M., Stocking, K., Gittins, M., Katikireddi, S.V. and Tongeren, M.V., (2022). Occupational differences in SARS-CoV-2 infection: analysis of the UK ONS COVID-19 infection survey. </w:t>
      </w:r>
      <w:r w:rsidRPr="00021BF4">
        <w:rPr>
          <w:i/>
          <w:iCs/>
          <w:lang w:val="en-GB"/>
        </w:rPr>
        <w:t>Journal of epidemiology and community health</w:t>
      </w:r>
      <w:r w:rsidRPr="00021BF4">
        <w:rPr>
          <w:lang w:val="en-GB"/>
        </w:rPr>
        <w:t>, </w:t>
      </w:r>
      <w:r w:rsidRPr="00021BF4">
        <w:rPr>
          <w:i/>
          <w:iCs/>
          <w:lang w:val="en-GB"/>
        </w:rPr>
        <w:t>76</w:t>
      </w:r>
      <w:r w:rsidRPr="00021BF4">
        <w:rPr>
          <w:lang w:val="en-GB"/>
        </w:rPr>
        <w:t>(10), pp.841-846.</w:t>
      </w:r>
    </w:p>
    <w:p w14:paraId="5185F987" w14:textId="77777777" w:rsidR="00EA41B8" w:rsidRPr="00021BF4" w:rsidRDefault="00EA41B8" w:rsidP="00FB3560">
      <w:pPr>
        <w:rPr>
          <w:color w:val="000000" w:themeColor="text1"/>
          <w:shd w:val="clear" w:color="auto" w:fill="FFFFFF"/>
          <w:lang w:val="en-GB"/>
        </w:rPr>
      </w:pPr>
      <w:r w:rsidRPr="00021BF4">
        <w:rPr>
          <w:color w:val="000000" w:themeColor="text1"/>
          <w:shd w:val="clear" w:color="auto" w:fill="FFFFFF"/>
          <w:lang w:val="en-GB"/>
        </w:rPr>
        <w:t>Shafik, W. (2025). SDG 6: Clean Water and Sanitation—Smart Water Management. In </w:t>
      </w:r>
      <w:r w:rsidRPr="00021BF4">
        <w:rPr>
          <w:i/>
          <w:iCs/>
          <w:color w:val="000000" w:themeColor="text1"/>
          <w:shd w:val="clear" w:color="auto" w:fill="FFFFFF"/>
          <w:lang w:val="en-GB"/>
        </w:rPr>
        <w:t>Factoring Technology in Global Sustainability: A Focus on the Sustainable Development Goals</w:t>
      </w:r>
      <w:r w:rsidRPr="00021BF4">
        <w:rPr>
          <w:color w:val="000000" w:themeColor="text1"/>
          <w:shd w:val="clear" w:color="auto" w:fill="FFFFFF"/>
          <w:lang w:val="en-GB"/>
        </w:rPr>
        <w:t> (pp. 223-248). Singapore: Springer Nature Singapore.</w:t>
      </w:r>
    </w:p>
    <w:p w14:paraId="1BC2937A" w14:textId="77777777" w:rsidR="00EA41B8" w:rsidRPr="00021BF4" w:rsidRDefault="00EA41B8" w:rsidP="00FB3560">
      <w:pPr>
        <w:rPr>
          <w:lang w:val="en-GB"/>
        </w:rPr>
      </w:pPr>
      <w:r w:rsidRPr="00021BF4">
        <w:rPr>
          <w:lang w:val="en-GB"/>
        </w:rPr>
        <w:t>Smith, M.C., Mukherjee, R.A., Müller-Sedgwick, U., Hank, D., Carpenter, P. and Adamou, M., (2024). UK adult ADHD services in crisis. </w:t>
      </w:r>
      <w:r w:rsidRPr="00021BF4">
        <w:rPr>
          <w:i/>
          <w:iCs/>
          <w:lang w:val="en-GB"/>
        </w:rPr>
        <w:t>BJPsych bulletin</w:t>
      </w:r>
      <w:r w:rsidRPr="00021BF4">
        <w:rPr>
          <w:lang w:val="en-GB"/>
        </w:rPr>
        <w:t>, </w:t>
      </w:r>
      <w:r w:rsidRPr="00021BF4">
        <w:rPr>
          <w:i/>
          <w:iCs/>
          <w:lang w:val="en-GB"/>
        </w:rPr>
        <w:t>48</w:t>
      </w:r>
      <w:r w:rsidRPr="00021BF4">
        <w:rPr>
          <w:lang w:val="en-GB"/>
        </w:rPr>
        <w:t>(1), pp.1-5.</w:t>
      </w:r>
    </w:p>
    <w:p w14:paraId="12A06439" w14:textId="77777777" w:rsidR="00EA41B8" w:rsidRPr="00021BF4" w:rsidRDefault="00EA41B8" w:rsidP="00FB3560">
      <w:pPr>
        <w:rPr>
          <w:color w:val="000000" w:themeColor="text1"/>
          <w:lang w:val="en-GB"/>
        </w:rPr>
      </w:pPr>
      <w:r w:rsidRPr="00021BF4">
        <w:rPr>
          <w:color w:val="000000" w:themeColor="text1"/>
          <w:lang w:val="en-GB"/>
        </w:rPr>
        <w:t xml:space="preserve">Un (2026). </w:t>
      </w:r>
      <w:r w:rsidRPr="00021BF4">
        <w:rPr>
          <w:i/>
          <w:iCs/>
          <w:color w:val="000000" w:themeColor="text1"/>
          <w:lang w:val="en-GB"/>
        </w:rPr>
        <w:t>Health - United Nations Sustainable Development</w:t>
      </w:r>
      <w:r w:rsidRPr="00021BF4">
        <w:rPr>
          <w:color w:val="000000" w:themeColor="text1"/>
          <w:lang w:val="en-GB"/>
        </w:rPr>
        <w:t xml:space="preserve"> [Online] Available at: &lt;</w:t>
      </w:r>
      <w:hyperlink r:id="rId19" w:history="1">
        <w:r w:rsidRPr="00021BF4">
          <w:rPr>
            <w:rStyle w:val="Hyperlink"/>
            <w:color w:val="000000" w:themeColor="text1"/>
            <w:u w:val="none"/>
            <w:lang w:val="en-GB"/>
          </w:rPr>
          <w:t>https://www.un.org/sustainabledevelopment/health/</w:t>
        </w:r>
      </w:hyperlink>
      <w:r w:rsidR="00977493">
        <w:rPr>
          <w:color w:val="000000" w:themeColor="text1"/>
          <w:lang w:val="en-GB"/>
        </w:rPr>
        <w:t>&gt;. [</w:t>
      </w:r>
      <w:r w:rsidRPr="00021BF4">
        <w:rPr>
          <w:color w:val="000000" w:themeColor="text1"/>
          <w:lang w:val="en-GB"/>
        </w:rPr>
        <w:t>Accessed on: 16</w:t>
      </w:r>
      <w:r w:rsidRPr="00021BF4">
        <w:rPr>
          <w:color w:val="000000" w:themeColor="text1"/>
          <w:vertAlign w:val="superscript"/>
          <w:lang w:val="en-GB"/>
        </w:rPr>
        <w:t>th</w:t>
      </w:r>
      <w:r w:rsidR="00977493">
        <w:rPr>
          <w:color w:val="000000" w:themeColor="text1"/>
          <w:lang w:val="en-GB"/>
        </w:rPr>
        <w:t xml:space="preserve"> March, 2026]</w:t>
      </w:r>
    </w:p>
    <w:p w14:paraId="2E319B53" w14:textId="0374A2C0" w:rsidR="00EA41B8" w:rsidRPr="00021BF4" w:rsidRDefault="00501985" w:rsidP="00FB3560">
      <w:pPr>
        <w:rPr>
          <w:lang w:val="en-GB"/>
        </w:rPr>
      </w:pPr>
      <w:r>
        <w:rPr>
          <w:lang w:val="en-GB"/>
        </w:rPr>
        <w:t xml:space="preserve">Gov.uk, (2024). </w:t>
      </w:r>
      <w:r w:rsidR="00552AAA" w:rsidRPr="007A5A27">
        <w:rPr>
          <w:i/>
          <w:iCs/>
        </w:rPr>
        <w:t xml:space="preserve">Better Care Fund 2023 </w:t>
      </w:r>
      <w:r w:rsidR="00552AAA" w:rsidRPr="007A5A27">
        <w:rPr>
          <w:i/>
          <w:iCs/>
        </w:rPr>
        <w:t>–</w:t>
      </w:r>
      <w:r w:rsidR="00552AAA" w:rsidRPr="007A5A27">
        <w:rPr>
          <w:i/>
          <w:iCs/>
        </w:rPr>
        <w:t xml:space="preserve"> 5</w:t>
      </w:r>
      <w:r w:rsidR="00552AAA">
        <w:t xml:space="preserve">. </w:t>
      </w:r>
      <w:r w:rsidR="00334108" w:rsidRPr="00021BF4">
        <w:rPr>
          <w:color w:val="000000" w:themeColor="text1"/>
          <w:lang w:val="en-GB"/>
        </w:rPr>
        <w:t>[Online] Available at: &lt;</w:t>
      </w:r>
      <w:r w:rsidR="00334108" w:rsidRPr="00334108">
        <w:t>https://democracy.bathnes.gov.uk/documents/s78864/HWB%20Slides%20Sept%2023.pdf</w:t>
      </w:r>
      <w:r w:rsidR="00334108">
        <w:rPr>
          <w:color w:val="000000" w:themeColor="text1"/>
          <w:lang w:val="en-GB"/>
        </w:rPr>
        <w:t>&gt;. [</w:t>
      </w:r>
      <w:r w:rsidR="00334108" w:rsidRPr="00021BF4">
        <w:rPr>
          <w:color w:val="000000" w:themeColor="text1"/>
          <w:lang w:val="en-GB"/>
        </w:rPr>
        <w:t>Accessed on: 16</w:t>
      </w:r>
      <w:r w:rsidR="00334108" w:rsidRPr="00021BF4">
        <w:rPr>
          <w:color w:val="000000" w:themeColor="text1"/>
          <w:vertAlign w:val="superscript"/>
          <w:lang w:val="en-GB"/>
        </w:rPr>
        <w:t>th</w:t>
      </w:r>
      <w:r w:rsidR="00334108">
        <w:rPr>
          <w:color w:val="000000" w:themeColor="text1"/>
          <w:lang w:val="en-GB"/>
        </w:rPr>
        <w:t xml:space="preserve"> March, 2026]</w:t>
      </w:r>
    </w:p>
    <w:p w14:paraId="402096F8" w14:textId="77777777" w:rsidR="00EA41B8" w:rsidRPr="00021BF4" w:rsidRDefault="00EA41B8" w:rsidP="00FB3560">
      <w:pPr>
        <w:rPr>
          <w:color w:val="000000" w:themeColor="text1"/>
          <w:lang w:val="en-GB"/>
        </w:rPr>
      </w:pPr>
    </w:p>
    <w:sectPr w:rsidR="00EA41B8" w:rsidRPr="00021BF4" w:rsidSect="004F4F5B">
      <w:headerReference w:type="default" r:id="rId20"/>
      <w:footerReference w:type="default" r:id="rId2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2DCFDF" w14:textId="77777777" w:rsidR="00B86F2F" w:rsidRDefault="00B86F2F" w:rsidP="004F4F5B">
      <w:pPr>
        <w:spacing w:line="240" w:lineRule="auto"/>
      </w:pPr>
      <w:r>
        <w:separator/>
      </w:r>
    </w:p>
  </w:endnote>
  <w:endnote w:type="continuationSeparator" w:id="0">
    <w:p w14:paraId="13AEB39E" w14:textId="77777777" w:rsidR="00B86F2F" w:rsidRDefault="00B86F2F" w:rsidP="004F4F5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BE37EDE5-9F72-497A-A8EE-DEA8AFAB5111}"/>
  </w:font>
  <w:font w:name="Tahoma">
    <w:panose1 w:val="020B0604030504040204"/>
    <w:charset w:val="00"/>
    <w:family w:val="swiss"/>
    <w:pitch w:val="variable"/>
    <w:sig w:usb0="E1002EFF" w:usb1="C000605B" w:usb2="00000029" w:usb3="00000000" w:csb0="000101FF" w:csb1="00000000"/>
    <w:embedRegular r:id="rId2" w:fontKey="{553B9312-75D8-405E-AD44-F6B00ACD4EBD}"/>
  </w:font>
  <w:font w:name="Cambria">
    <w:panose1 w:val="02040503050406030204"/>
    <w:charset w:val="00"/>
    <w:family w:val="roman"/>
    <w:pitch w:val="variable"/>
    <w:sig w:usb0="E00006FF" w:usb1="420024FF" w:usb2="02000000" w:usb3="00000000" w:csb0="0000019F" w:csb1="00000000"/>
    <w:embedRegular r:id="rId3" w:fontKey="{2392A3A6-7E5B-42EC-9194-80CF0CAC249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35368181"/>
      <w:docPartObj>
        <w:docPartGallery w:val="Page Numbers (Bottom of Page)"/>
        <w:docPartUnique/>
      </w:docPartObj>
    </w:sdtPr>
    <w:sdtEndPr>
      <w:rPr>
        <w:noProof/>
        <w:sz w:val="20"/>
        <w:szCs w:val="20"/>
      </w:rPr>
    </w:sdtEndPr>
    <w:sdtContent>
      <w:p w14:paraId="37A918A5" w14:textId="77777777" w:rsidR="004F4F5B" w:rsidRPr="004F4F5B" w:rsidRDefault="00437420" w:rsidP="004F4F5B">
        <w:pPr>
          <w:pStyle w:val="Footer"/>
          <w:spacing w:line="360" w:lineRule="auto"/>
          <w:jc w:val="right"/>
          <w:rPr>
            <w:sz w:val="20"/>
            <w:szCs w:val="20"/>
          </w:rPr>
        </w:pPr>
        <w:r w:rsidRPr="004F4F5B">
          <w:rPr>
            <w:sz w:val="20"/>
            <w:szCs w:val="20"/>
          </w:rPr>
          <w:fldChar w:fldCharType="begin"/>
        </w:r>
        <w:r w:rsidR="004F4F5B" w:rsidRPr="004F4F5B">
          <w:rPr>
            <w:sz w:val="20"/>
            <w:szCs w:val="20"/>
          </w:rPr>
          <w:instrText xml:space="preserve"> PAGE   \* MERGEFORMAT </w:instrText>
        </w:r>
        <w:r w:rsidRPr="004F4F5B">
          <w:rPr>
            <w:sz w:val="20"/>
            <w:szCs w:val="20"/>
          </w:rPr>
          <w:fldChar w:fldCharType="separate"/>
        </w:r>
        <w:r w:rsidR="00977493">
          <w:rPr>
            <w:noProof/>
            <w:sz w:val="20"/>
            <w:szCs w:val="20"/>
          </w:rPr>
          <w:t>8</w:t>
        </w:r>
        <w:r w:rsidRPr="004F4F5B">
          <w:rPr>
            <w:noProof/>
            <w:sz w:val="20"/>
            <w:szCs w:val="20"/>
          </w:rPr>
          <w:fldChar w:fldCharType="end"/>
        </w:r>
      </w:p>
    </w:sdtContent>
  </w:sdt>
  <w:p w14:paraId="6D23531F" w14:textId="77777777" w:rsidR="004F4F5B" w:rsidRDefault="004F4F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F859FF" w14:textId="77777777" w:rsidR="00B86F2F" w:rsidRDefault="00B86F2F" w:rsidP="004F4F5B">
      <w:pPr>
        <w:spacing w:line="240" w:lineRule="auto"/>
      </w:pPr>
      <w:r>
        <w:separator/>
      </w:r>
    </w:p>
  </w:footnote>
  <w:footnote w:type="continuationSeparator" w:id="0">
    <w:p w14:paraId="1E7719BD" w14:textId="77777777" w:rsidR="00B86F2F" w:rsidRDefault="00B86F2F" w:rsidP="004F4F5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B479F7" w14:textId="77777777" w:rsidR="009112B1" w:rsidRDefault="009112B1">
    <w:pPr>
      <w:pStyle w:val="Header"/>
    </w:pPr>
    <w:r>
      <w:rPr>
        <w:noProof/>
        <w:lang w:eastAsia="en-US"/>
      </w:rPr>
      <w:drawing>
        <wp:anchor distT="0" distB="0" distL="114300" distR="114300" simplePos="0" relativeHeight="251658240" behindDoc="0" locked="0" layoutInCell="1" allowOverlap="1" wp14:anchorId="2420AA74" wp14:editId="1437F704">
          <wp:simplePos x="0" y="0"/>
          <wp:positionH relativeFrom="margin">
            <wp:posOffset>-546100</wp:posOffset>
          </wp:positionH>
          <wp:positionV relativeFrom="margin">
            <wp:posOffset>-603250</wp:posOffset>
          </wp:positionV>
          <wp:extent cx="1137285" cy="476250"/>
          <wp:effectExtent l="19050" t="0" r="5715" b="0"/>
          <wp:wrapSquare wrapText="bothSides"/>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srcRect/>
                  <a:stretch>
                    <a:fillRect/>
                  </a:stretch>
                </pic:blipFill>
                <pic:spPr bwMode="auto">
                  <a:xfrm>
                    <a:off x="0" y="0"/>
                    <a:ext cx="1137285" cy="476250"/>
                  </a:xfrm>
                  <a:prstGeom prst="rect">
                    <a:avLst/>
                  </a:prstGeom>
                  <a:noFill/>
                  <a:ln w="9525">
                    <a:noFill/>
                    <a:miter lim="800000"/>
                    <a:headEnd/>
                    <a:tailEnd/>
                  </a:ln>
                </pic:spPr>
              </pic:pic>
            </a:graphicData>
          </a:graphic>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91E91"/>
    <w:rsid w:val="00021BF4"/>
    <w:rsid w:val="000A579D"/>
    <w:rsid w:val="0023599D"/>
    <w:rsid w:val="002B6AE9"/>
    <w:rsid w:val="003045BE"/>
    <w:rsid w:val="00334108"/>
    <w:rsid w:val="00342EFC"/>
    <w:rsid w:val="00375FC6"/>
    <w:rsid w:val="00437420"/>
    <w:rsid w:val="004D3593"/>
    <w:rsid w:val="004F4F5B"/>
    <w:rsid w:val="00501985"/>
    <w:rsid w:val="00512829"/>
    <w:rsid w:val="00552AAA"/>
    <w:rsid w:val="00634908"/>
    <w:rsid w:val="006B28DC"/>
    <w:rsid w:val="006D3C44"/>
    <w:rsid w:val="007A5A27"/>
    <w:rsid w:val="0082145B"/>
    <w:rsid w:val="00872B4F"/>
    <w:rsid w:val="00905BCB"/>
    <w:rsid w:val="009112B1"/>
    <w:rsid w:val="00977493"/>
    <w:rsid w:val="00A27768"/>
    <w:rsid w:val="00A40E6B"/>
    <w:rsid w:val="00AB049D"/>
    <w:rsid w:val="00AE23E5"/>
    <w:rsid w:val="00B37638"/>
    <w:rsid w:val="00B42C5A"/>
    <w:rsid w:val="00B86F2F"/>
    <w:rsid w:val="00B91E91"/>
    <w:rsid w:val="00B974CB"/>
    <w:rsid w:val="00BA59C3"/>
    <w:rsid w:val="00C93E32"/>
    <w:rsid w:val="00CC4706"/>
    <w:rsid w:val="00CF5151"/>
    <w:rsid w:val="00D82B23"/>
    <w:rsid w:val="00E16571"/>
    <w:rsid w:val="00EA41B8"/>
    <w:rsid w:val="00F40E41"/>
    <w:rsid w:val="00FB356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FDCE1D"/>
  <w15:docId w15:val="{E5B1698C-1F84-4002-88B9-F5000477CF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3593"/>
  </w:style>
  <w:style w:type="paragraph" w:styleId="Heading1">
    <w:name w:val="heading 1"/>
    <w:basedOn w:val="Normal"/>
    <w:next w:val="Normal"/>
    <w:uiPriority w:val="9"/>
    <w:qFormat/>
    <w:rsid w:val="00EA41B8"/>
    <w:pPr>
      <w:keepNext/>
      <w:keepLines/>
      <w:spacing w:before="400" w:after="120"/>
      <w:outlineLvl w:val="0"/>
    </w:pPr>
    <w:rPr>
      <w:b/>
      <w:color w:val="000000" w:themeColor="text1"/>
      <w:sz w:val="28"/>
      <w:szCs w:val="40"/>
    </w:rPr>
  </w:style>
  <w:style w:type="paragraph" w:styleId="Heading2">
    <w:name w:val="heading 2"/>
    <w:basedOn w:val="Normal"/>
    <w:next w:val="Normal"/>
    <w:uiPriority w:val="9"/>
    <w:unhideWhenUsed/>
    <w:qFormat/>
    <w:rsid w:val="00EA41B8"/>
    <w:pPr>
      <w:keepNext/>
      <w:keepLines/>
      <w:spacing w:before="360" w:after="120"/>
      <w:outlineLvl w:val="1"/>
    </w:pPr>
    <w:rPr>
      <w:b/>
      <w:color w:val="000000" w:themeColor="text1"/>
      <w:sz w:val="26"/>
      <w:szCs w:val="32"/>
      <w:u w:val="single"/>
    </w:rPr>
  </w:style>
  <w:style w:type="paragraph" w:styleId="Heading3">
    <w:name w:val="heading 3"/>
    <w:basedOn w:val="Normal"/>
    <w:next w:val="Normal"/>
    <w:uiPriority w:val="9"/>
    <w:semiHidden/>
    <w:unhideWhenUsed/>
    <w:qFormat/>
    <w:rsid w:val="004D3593"/>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4D3593"/>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4D3593"/>
    <w:pPr>
      <w:keepNext/>
      <w:keepLines/>
      <w:spacing w:before="240" w:after="80"/>
      <w:outlineLvl w:val="4"/>
    </w:pPr>
    <w:rPr>
      <w:color w:val="666666"/>
    </w:rPr>
  </w:style>
  <w:style w:type="paragraph" w:styleId="Heading6">
    <w:name w:val="heading 6"/>
    <w:basedOn w:val="Normal"/>
    <w:next w:val="Normal"/>
    <w:uiPriority w:val="9"/>
    <w:semiHidden/>
    <w:unhideWhenUsed/>
    <w:qFormat/>
    <w:rsid w:val="004D3593"/>
    <w:pPr>
      <w:keepNext/>
      <w:keepLines/>
      <w:spacing w:before="240" w:after="80"/>
      <w:outlineLvl w:val="5"/>
    </w:pPr>
    <w:rPr>
      <w:i/>
      <w:iCs/>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4D3593"/>
    <w:tblPr>
      <w:tblCellMar>
        <w:top w:w="100" w:type="dxa"/>
        <w:left w:w="100" w:type="dxa"/>
        <w:bottom w:w="100" w:type="dxa"/>
        <w:right w:w="100" w:type="dxa"/>
      </w:tblCellMar>
    </w:tblPr>
  </w:style>
  <w:style w:type="paragraph" w:styleId="Title">
    <w:name w:val="Title"/>
    <w:basedOn w:val="Normal"/>
    <w:next w:val="Normal"/>
    <w:uiPriority w:val="10"/>
    <w:qFormat/>
    <w:rsid w:val="004D3593"/>
    <w:pPr>
      <w:keepNext/>
      <w:keepLines/>
      <w:spacing w:after="60"/>
    </w:pPr>
    <w:rPr>
      <w:sz w:val="52"/>
      <w:szCs w:val="52"/>
    </w:rPr>
  </w:style>
  <w:style w:type="paragraph" w:styleId="Subtitle">
    <w:name w:val="Subtitle"/>
    <w:basedOn w:val="Normal"/>
    <w:next w:val="Normal"/>
    <w:uiPriority w:val="11"/>
    <w:qFormat/>
    <w:rsid w:val="004D3593"/>
    <w:pPr>
      <w:keepNext/>
      <w:keepLines/>
      <w:spacing w:after="320"/>
    </w:pPr>
    <w:rPr>
      <w:color w:val="666666"/>
      <w:sz w:val="30"/>
      <w:szCs w:val="30"/>
    </w:rPr>
  </w:style>
  <w:style w:type="character" w:styleId="Hyperlink">
    <w:name w:val="Hyperlink"/>
    <w:basedOn w:val="DefaultParagraphFont"/>
    <w:uiPriority w:val="99"/>
    <w:unhideWhenUsed/>
    <w:rsid w:val="00EA41B8"/>
    <w:rPr>
      <w:color w:val="0000FF" w:themeColor="hyperlink"/>
      <w:u w:val="single"/>
    </w:rPr>
  </w:style>
  <w:style w:type="paragraph" w:styleId="ListParagraph">
    <w:name w:val="List Paragraph"/>
    <w:basedOn w:val="Normal"/>
    <w:uiPriority w:val="34"/>
    <w:qFormat/>
    <w:rsid w:val="00EA41B8"/>
    <w:pPr>
      <w:ind w:left="720"/>
      <w:contextualSpacing/>
    </w:pPr>
  </w:style>
  <w:style w:type="paragraph" w:styleId="Header">
    <w:name w:val="header"/>
    <w:basedOn w:val="Normal"/>
    <w:link w:val="HeaderChar"/>
    <w:uiPriority w:val="99"/>
    <w:unhideWhenUsed/>
    <w:rsid w:val="004F4F5B"/>
    <w:pPr>
      <w:tabs>
        <w:tab w:val="center" w:pos="4513"/>
        <w:tab w:val="right" w:pos="9026"/>
      </w:tabs>
      <w:spacing w:line="240" w:lineRule="auto"/>
    </w:pPr>
  </w:style>
  <w:style w:type="character" w:customStyle="1" w:styleId="HeaderChar">
    <w:name w:val="Header Char"/>
    <w:basedOn w:val="DefaultParagraphFont"/>
    <w:link w:val="Header"/>
    <w:uiPriority w:val="99"/>
    <w:rsid w:val="004F4F5B"/>
  </w:style>
  <w:style w:type="paragraph" w:styleId="Footer">
    <w:name w:val="footer"/>
    <w:basedOn w:val="Normal"/>
    <w:link w:val="FooterChar"/>
    <w:uiPriority w:val="99"/>
    <w:unhideWhenUsed/>
    <w:rsid w:val="004F4F5B"/>
    <w:pPr>
      <w:tabs>
        <w:tab w:val="center" w:pos="4513"/>
        <w:tab w:val="right" w:pos="9026"/>
      </w:tabs>
      <w:spacing w:line="240" w:lineRule="auto"/>
    </w:pPr>
  </w:style>
  <w:style w:type="character" w:customStyle="1" w:styleId="FooterChar">
    <w:name w:val="Footer Char"/>
    <w:basedOn w:val="DefaultParagraphFont"/>
    <w:link w:val="Footer"/>
    <w:uiPriority w:val="99"/>
    <w:rsid w:val="004F4F5B"/>
  </w:style>
  <w:style w:type="paragraph" w:styleId="TOCHeading">
    <w:name w:val="TOC Heading"/>
    <w:basedOn w:val="Heading1"/>
    <w:next w:val="Normal"/>
    <w:uiPriority w:val="39"/>
    <w:unhideWhenUsed/>
    <w:qFormat/>
    <w:rsid w:val="004F4F5B"/>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eastAsia="en-US"/>
    </w:rPr>
  </w:style>
  <w:style w:type="paragraph" w:styleId="TOC1">
    <w:name w:val="toc 1"/>
    <w:basedOn w:val="Normal"/>
    <w:next w:val="Normal"/>
    <w:autoRedefine/>
    <w:uiPriority w:val="39"/>
    <w:unhideWhenUsed/>
    <w:rsid w:val="004F4F5B"/>
    <w:pPr>
      <w:spacing w:after="100"/>
    </w:pPr>
  </w:style>
  <w:style w:type="paragraph" w:styleId="TOC2">
    <w:name w:val="toc 2"/>
    <w:basedOn w:val="Normal"/>
    <w:next w:val="Normal"/>
    <w:autoRedefine/>
    <w:uiPriority w:val="39"/>
    <w:unhideWhenUsed/>
    <w:rsid w:val="004F4F5B"/>
    <w:pPr>
      <w:spacing w:after="100"/>
      <w:ind w:left="220"/>
    </w:pPr>
  </w:style>
  <w:style w:type="paragraph" w:styleId="BalloonText">
    <w:name w:val="Balloon Text"/>
    <w:basedOn w:val="Normal"/>
    <w:link w:val="BalloonTextChar"/>
    <w:uiPriority w:val="99"/>
    <w:semiHidden/>
    <w:unhideWhenUsed/>
    <w:rsid w:val="009112B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112B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et.al" TargetMode="External"/><Relationship Id="rId13" Type="http://schemas.openxmlformats.org/officeDocument/2006/relationships/image" Target="media/image4.png"/><Relationship Id="rId18" Type="http://schemas.openxmlformats.org/officeDocument/2006/relationships/hyperlink" Target="https://www.england.nhs.uk/long-read/nhs-long-term-workforce-plan-2/"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et.al" TargetMode="External"/><Relationship Id="rId17" Type="http://schemas.openxmlformats.org/officeDocument/2006/relationships/hyperlink" Target="https://globalgoals.org/goals/6-clean-water-and-sanitation/" TargetMode="External"/><Relationship Id="rId2" Type="http://schemas.openxmlformats.org/officeDocument/2006/relationships/styles" Target="styles.xml"/><Relationship Id="rId16" Type="http://schemas.openxmlformats.org/officeDocument/2006/relationships/hyperlink" Target="http://et.al"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hyperlink" Target="http://et.al" TargetMode="External"/><Relationship Id="rId23" Type="http://schemas.openxmlformats.org/officeDocument/2006/relationships/theme" Target="theme/theme1.xml"/><Relationship Id="rId10" Type="http://schemas.openxmlformats.org/officeDocument/2006/relationships/hyperlink" Target="http://et.al" TargetMode="External"/><Relationship Id="rId19" Type="http://schemas.openxmlformats.org/officeDocument/2006/relationships/hyperlink" Target="https://www.un.org/sustainabledevelopment/health/"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et.al" TargetMode="External"/><Relationship Id="rId22"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_rels/header1.xml.rels><?xml version="1.0" encoding="UTF-8" standalone="yes"?>
<Relationships xmlns="http://schemas.openxmlformats.org/package/2006/relationships"><Relationship Id="rId1"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A640B92-8A1E-446B-948E-1A7A01EA8F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11</Pages>
  <Words>2899</Words>
  <Characters>16525</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25</cp:revision>
  <dcterms:created xsi:type="dcterms:W3CDTF">2026-03-16T12:44:00Z</dcterms:created>
  <dcterms:modified xsi:type="dcterms:W3CDTF">2026-03-18T12:01:00Z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ff1b1693-3a04-4744-9f21-52b06709aefb</vt:lpwstr>
  </property>
</Properties>
</file>