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345AC" w14:textId="77777777" w:rsidR="00BA2166" w:rsidRPr="008717CC" w:rsidRDefault="00BA2166" w:rsidP="008717CC">
      <w:pPr>
        <w:spacing w:line="360" w:lineRule="auto"/>
        <w:jc w:val="center"/>
        <w:rPr>
          <w:rFonts w:ascii="Arial" w:hAnsi="Arial" w:cs="Arial"/>
          <w:sz w:val="24"/>
          <w:szCs w:val="24"/>
        </w:rPr>
      </w:pPr>
      <w:r w:rsidRPr="008717CC">
        <w:rPr>
          <w:rFonts w:ascii="Arial" w:hAnsi="Arial" w:cs="Arial"/>
          <w:noProof/>
          <w:sz w:val="24"/>
          <w:szCs w:val="24"/>
        </w:rPr>
        <w:drawing>
          <wp:inline distT="0" distB="0" distL="0" distR="0" wp14:anchorId="68836138" wp14:editId="13358EBE">
            <wp:extent cx="2461260" cy="1905000"/>
            <wp:effectExtent l="0" t="0" r="0" b="0"/>
            <wp:docPr id="1151481291" name="Picture 3"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Employability Workshop with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1260" cy="1905000"/>
                    </a:xfrm>
                    <a:prstGeom prst="rect">
                      <a:avLst/>
                    </a:prstGeom>
                    <a:noFill/>
                    <a:ln>
                      <a:noFill/>
                    </a:ln>
                  </pic:spPr>
                </pic:pic>
              </a:graphicData>
            </a:graphic>
          </wp:inline>
        </w:drawing>
      </w:r>
    </w:p>
    <w:p w14:paraId="49A4C135" w14:textId="77777777" w:rsidR="00BA2166" w:rsidRPr="008717CC" w:rsidRDefault="00BA2166" w:rsidP="008717CC">
      <w:pPr>
        <w:spacing w:line="360" w:lineRule="auto"/>
        <w:rPr>
          <w:rFonts w:ascii="Arial" w:hAnsi="Arial" w:cs="Arial"/>
          <w:sz w:val="24"/>
          <w:szCs w:val="24"/>
        </w:rPr>
      </w:pPr>
    </w:p>
    <w:p w14:paraId="5094F368" w14:textId="5C728491" w:rsidR="00BA2166" w:rsidRPr="008717CC" w:rsidRDefault="00A10C98" w:rsidP="008717CC">
      <w:pPr>
        <w:spacing w:line="360" w:lineRule="auto"/>
        <w:rPr>
          <w:rFonts w:ascii="Arial" w:hAnsi="Arial" w:cs="Arial"/>
          <w:sz w:val="24"/>
          <w:szCs w:val="24"/>
        </w:rPr>
      </w:pPr>
      <w:r w:rsidRPr="008717CC">
        <w:rPr>
          <w:rFonts w:ascii="Arial" w:hAnsi="Arial" w:cs="Arial"/>
          <w:sz w:val="24"/>
          <w:szCs w:val="24"/>
        </w:rPr>
        <w:t xml:space="preserve">CRITICAL MARKETING ENVIRONMENTAL ANALYSIS OF </w:t>
      </w:r>
      <w:r>
        <w:rPr>
          <w:rFonts w:ascii="Arial" w:hAnsi="Arial" w:cs="Arial"/>
          <w:sz w:val="24"/>
          <w:szCs w:val="24"/>
        </w:rPr>
        <w:t>T</w:t>
      </w:r>
      <w:r w:rsidRPr="008717CC">
        <w:rPr>
          <w:rFonts w:ascii="Arial" w:hAnsi="Arial" w:cs="Arial"/>
          <w:sz w:val="24"/>
          <w:szCs w:val="24"/>
        </w:rPr>
        <w:t xml:space="preserve">ESLA (EV HIGH-TECH PIONEER) AND </w:t>
      </w:r>
      <w:r>
        <w:rPr>
          <w:rFonts w:ascii="Arial" w:hAnsi="Arial" w:cs="Arial"/>
          <w:sz w:val="24"/>
          <w:szCs w:val="24"/>
        </w:rPr>
        <w:t>FORD MOTOR</w:t>
      </w:r>
      <w:r w:rsidRPr="008717CC">
        <w:rPr>
          <w:rFonts w:ascii="Arial" w:hAnsi="Arial" w:cs="Arial"/>
          <w:sz w:val="24"/>
          <w:szCs w:val="24"/>
        </w:rPr>
        <w:t xml:space="preserve"> COMPANY (EV HIGHT-TECH FOLLOWER).</w:t>
      </w:r>
    </w:p>
    <w:p w14:paraId="3788F535" w14:textId="77777777" w:rsidR="00BA2166" w:rsidRPr="008717CC" w:rsidRDefault="00BA2166" w:rsidP="008717C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BA2166" w:rsidRPr="008717CC" w14:paraId="5E49EA18" w14:textId="77777777" w:rsidTr="00CE01AF">
        <w:tc>
          <w:tcPr>
            <w:tcW w:w="4621" w:type="dxa"/>
          </w:tcPr>
          <w:p w14:paraId="1C33D2B0" w14:textId="77777777" w:rsidR="00BA2166" w:rsidRPr="008717CC" w:rsidRDefault="00BA2166" w:rsidP="008717CC">
            <w:pPr>
              <w:spacing w:line="360" w:lineRule="auto"/>
              <w:jc w:val="both"/>
              <w:rPr>
                <w:rFonts w:ascii="Arial" w:hAnsi="Arial" w:cs="Arial"/>
                <w:sz w:val="24"/>
                <w:szCs w:val="24"/>
              </w:rPr>
            </w:pPr>
            <w:r w:rsidRPr="008717CC">
              <w:rPr>
                <w:rFonts w:ascii="Arial" w:hAnsi="Arial" w:cs="Arial"/>
                <w:sz w:val="24"/>
                <w:szCs w:val="24"/>
              </w:rPr>
              <w:t>Student Name</w:t>
            </w:r>
          </w:p>
        </w:tc>
        <w:tc>
          <w:tcPr>
            <w:tcW w:w="4621" w:type="dxa"/>
          </w:tcPr>
          <w:p w14:paraId="0B267B03" w14:textId="77777777" w:rsidR="00BA2166" w:rsidRPr="008717CC" w:rsidRDefault="00BA2166" w:rsidP="008717CC">
            <w:pPr>
              <w:spacing w:line="360" w:lineRule="auto"/>
              <w:jc w:val="both"/>
              <w:rPr>
                <w:rFonts w:ascii="Arial" w:hAnsi="Arial" w:cs="Arial"/>
                <w:sz w:val="24"/>
                <w:szCs w:val="24"/>
              </w:rPr>
            </w:pPr>
            <w:r w:rsidRPr="008717CC">
              <w:rPr>
                <w:rFonts w:ascii="Arial" w:hAnsi="Arial" w:cs="Arial"/>
                <w:sz w:val="24"/>
                <w:szCs w:val="24"/>
              </w:rPr>
              <w:t>Kumakamba Punga</w:t>
            </w:r>
          </w:p>
        </w:tc>
      </w:tr>
      <w:tr w:rsidR="00BA2166" w:rsidRPr="008717CC" w14:paraId="36A886FE" w14:textId="77777777" w:rsidTr="00CE01AF">
        <w:tc>
          <w:tcPr>
            <w:tcW w:w="4621" w:type="dxa"/>
          </w:tcPr>
          <w:p w14:paraId="54A689E9" w14:textId="77777777" w:rsidR="00BA2166" w:rsidRPr="008717CC" w:rsidRDefault="00BA2166" w:rsidP="008717CC">
            <w:pPr>
              <w:spacing w:line="360" w:lineRule="auto"/>
              <w:jc w:val="both"/>
              <w:rPr>
                <w:rFonts w:ascii="Arial" w:hAnsi="Arial" w:cs="Arial"/>
                <w:sz w:val="24"/>
                <w:szCs w:val="24"/>
              </w:rPr>
            </w:pPr>
            <w:r w:rsidRPr="008717CC">
              <w:rPr>
                <w:rFonts w:ascii="Arial" w:hAnsi="Arial" w:cs="Arial"/>
                <w:sz w:val="24"/>
                <w:szCs w:val="24"/>
              </w:rPr>
              <w:t>Student Number</w:t>
            </w:r>
          </w:p>
        </w:tc>
        <w:tc>
          <w:tcPr>
            <w:tcW w:w="4621" w:type="dxa"/>
          </w:tcPr>
          <w:p w14:paraId="14059EC4" w14:textId="77777777" w:rsidR="00BA2166" w:rsidRPr="008717CC" w:rsidRDefault="00BA2166" w:rsidP="008717CC">
            <w:pPr>
              <w:spacing w:line="360" w:lineRule="auto"/>
              <w:jc w:val="both"/>
              <w:rPr>
                <w:rFonts w:ascii="Arial" w:hAnsi="Arial" w:cs="Arial"/>
                <w:sz w:val="24"/>
                <w:szCs w:val="24"/>
              </w:rPr>
            </w:pPr>
            <w:r w:rsidRPr="008717CC">
              <w:rPr>
                <w:rFonts w:ascii="Arial" w:hAnsi="Arial" w:cs="Arial"/>
                <w:sz w:val="24"/>
                <w:szCs w:val="24"/>
              </w:rPr>
              <w:t>2226848</w:t>
            </w:r>
          </w:p>
        </w:tc>
      </w:tr>
      <w:tr w:rsidR="00BA2166" w:rsidRPr="008717CC" w14:paraId="1B195DBB" w14:textId="77777777" w:rsidTr="00CE01AF">
        <w:tc>
          <w:tcPr>
            <w:tcW w:w="4621" w:type="dxa"/>
          </w:tcPr>
          <w:p w14:paraId="7A4F842E" w14:textId="09B71881" w:rsidR="00BA2166" w:rsidRPr="008717CC" w:rsidRDefault="00BA2166" w:rsidP="008717CC">
            <w:pPr>
              <w:spacing w:line="360" w:lineRule="auto"/>
              <w:jc w:val="both"/>
              <w:rPr>
                <w:rFonts w:ascii="Arial" w:hAnsi="Arial" w:cs="Arial"/>
                <w:sz w:val="24"/>
                <w:szCs w:val="24"/>
              </w:rPr>
            </w:pPr>
            <w:r w:rsidRPr="008717CC">
              <w:rPr>
                <w:rFonts w:ascii="Arial" w:hAnsi="Arial" w:cs="Arial"/>
                <w:sz w:val="24"/>
                <w:szCs w:val="24"/>
              </w:rPr>
              <w:t>Lecturer</w:t>
            </w:r>
          </w:p>
        </w:tc>
        <w:tc>
          <w:tcPr>
            <w:tcW w:w="4621" w:type="dxa"/>
          </w:tcPr>
          <w:p w14:paraId="578EC49B" w14:textId="2D860755" w:rsidR="00BA2166" w:rsidRPr="008717CC" w:rsidRDefault="00BA2166" w:rsidP="008717CC">
            <w:pPr>
              <w:spacing w:line="360" w:lineRule="auto"/>
              <w:jc w:val="both"/>
              <w:rPr>
                <w:rFonts w:ascii="Arial" w:hAnsi="Arial" w:cs="Arial"/>
                <w:sz w:val="24"/>
                <w:szCs w:val="24"/>
              </w:rPr>
            </w:pPr>
            <w:r w:rsidRPr="008717CC">
              <w:rPr>
                <w:rFonts w:ascii="Arial" w:hAnsi="Arial" w:cs="Arial"/>
                <w:sz w:val="24"/>
                <w:szCs w:val="24"/>
              </w:rPr>
              <w:t>Dr</w:t>
            </w:r>
            <w:r w:rsidR="00750E02" w:rsidRPr="008717CC">
              <w:rPr>
                <w:rFonts w:ascii="Arial" w:hAnsi="Arial" w:cs="Arial"/>
                <w:sz w:val="24"/>
                <w:szCs w:val="24"/>
              </w:rPr>
              <w:t>. Patrick Yeboah</w:t>
            </w:r>
          </w:p>
        </w:tc>
      </w:tr>
    </w:tbl>
    <w:p w14:paraId="372D863B" w14:textId="77777777" w:rsidR="00BA2166" w:rsidRPr="008717CC" w:rsidRDefault="00BA2166" w:rsidP="008717CC">
      <w:pPr>
        <w:spacing w:line="360" w:lineRule="auto"/>
        <w:jc w:val="both"/>
        <w:rPr>
          <w:rFonts w:ascii="Arial" w:hAnsi="Arial" w:cs="Arial"/>
          <w:sz w:val="24"/>
          <w:szCs w:val="24"/>
        </w:rPr>
      </w:pPr>
    </w:p>
    <w:p w14:paraId="2D4A5568" w14:textId="5BC41ED0" w:rsidR="00FD6C5F" w:rsidRPr="008717CC" w:rsidRDefault="00FD6C5F" w:rsidP="008717CC">
      <w:pPr>
        <w:spacing w:line="360" w:lineRule="auto"/>
        <w:rPr>
          <w:rFonts w:ascii="Arial" w:hAnsi="Arial" w:cs="Arial"/>
          <w:sz w:val="24"/>
          <w:szCs w:val="24"/>
        </w:rPr>
      </w:pPr>
    </w:p>
    <w:p w14:paraId="5C641C3B" w14:textId="3CDBFD86" w:rsidR="00750E02" w:rsidRPr="008717CC" w:rsidRDefault="004B6A66" w:rsidP="008717CC">
      <w:pPr>
        <w:spacing w:line="360" w:lineRule="auto"/>
        <w:rPr>
          <w:rFonts w:ascii="Arial" w:hAnsi="Arial" w:cs="Arial"/>
          <w:sz w:val="24"/>
          <w:szCs w:val="24"/>
        </w:rPr>
      </w:pPr>
      <w:r w:rsidRPr="008717CC">
        <w:rPr>
          <w:rFonts w:ascii="Arial" w:hAnsi="Arial" w:cs="Arial"/>
          <w:sz w:val="24"/>
          <w:szCs w:val="24"/>
        </w:rPr>
      </w:r>
      <w:r w:rsidRPr="008717CC">
        <w:rPr>
          <w:rFonts w:ascii="Arial" w:hAnsi="Arial" w:cs="Arial"/>
          <w:sz w:val="24"/>
          <w:szCs w:val="24"/>
        </w:rPr>
        <w:pict w14:anchorId="3BD50713">
          <v:group id="Group 3" o:spid="_x0000_s1026" style="width:451.3pt;height:279.2pt;mso-position-horizontal-relative:char;mso-position-vertical-relative:line" coordsize="57315,354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20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">
              <v:imagedata r:id="rId10" o:title=""/>
            </v:shape>
            <v:shapetype id="_x0000_t202" coordsize="21600,21600" o:spt="202" path="m,l,21600r21600,l21600,xe">
              <v:stroke joinstyle="miter"/>
              <v:path gradientshapeok="t" o:connecttype="rect"/>
            </v:shapetype>
            <v:shape id="Text Box 2" o:spid="_x0000_s1028" type="#_x0000_t202" style="position:absolute;top:3202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" stroked="f">
              <v:textbox style="mso-fit-shape-to-text:t">
                <w:txbxContent>
                  <w:p w14:paraId="1BB63E55" w14:textId="5E03F087" w:rsidR="00750E02" w:rsidRPr="00750E02" w:rsidRDefault="00750E02" w:rsidP="00750E02">
                    <w:pPr>
                      <w:rPr>
                        <w:sz w:val="18"/>
                        <w:szCs w:val="18"/>
                      </w:rPr>
                    </w:pPr>
                    <w:hyperlink r:id="rId11" w:history="1">
                      <w:r w:rsidRPr="00750E02">
                        <w:rPr>
                          <w:rStyle w:val="Hyperlink"/>
                          <w:sz w:val="18"/>
                          <w:szCs w:val="18"/>
                        </w:rPr>
                        <w:t>This Photo</w:t>
                      </w:r>
                    </w:hyperlink>
                    <w:r w:rsidRPr="00750E02">
                      <w:rPr>
                        <w:sz w:val="18"/>
                        <w:szCs w:val="18"/>
                      </w:rPr>
                      <w:t xml:space="preserve"> by Unknown Author is licensed under </w:t>
                    </w:r>
                    <w:hyperlink r:id="rId12" w:history="1">
                      <w:r w:rsidRPr="00750E02">
                        <w:rPr>
                          <w:rStyle w:val="Hyperlink"/>
                          <w:sz w:val="18"/>
                          <w:szCs w:val="18"/>
                        </w:rPr>
                        <w:t>CC BY-NC</w:t>
                      </w:r>
                    </w:hyperlink>
                  </w:p>
                </w:txbxContent>
              </v:textbox>
            </v:shape>
            <w10:wrap type="none"/>
            <w10:anchorlock/>
          </v:group>
        </w:pict>
      </w:r>
    </w:p>
    <w:p w14:paraId="1E83832B" w14:textId="6F7AB18C" w:rsidR="00750E02" w:rsidRPr="008717CC" w:rsidRDefault="00750E02" w:rsidP="008717CC">
      <w:pPr>
        <w:spacing w:line="360" w:lineRule="auto"/>
        <w:rPr>
          <w:rFonts w:ascii="Arial" w:hAnsi="Arial" w:cs="Arial"/>
          <w:sz w:val="24"/>
          <w:szCs w:val="24"/>
        </w:rPr>
      </w:pPr>
      <w:r w:rsidRPr="008717CC">
        <w:rPr>
          <w:rFonts w:ascii="Arial" w:hAnsi="Arial" w:cs="Arial"/>
          <w:sz w:val="24"/>
          <w:szCs w:val="24"/>
        </w:rPr>
        <w:lastRenderedPageBreak/>
        <w:t xml:space="preserve">TABLE OF CONTENTS                                                                                              </w:t>
      </w:r>
      <w:r w:rsidR="00F95A9A" w:rsidRPr="008717CC">
        <w:rPr>
          <w:rFonts w:ascii="Arial" w:hAnsi="Arial" w:cs="Arial"/>
          <w:sz w:val="24"/>
          <w:szCs w:val="24"/>
        </w:rPr>
        <w:t>2</w:t>
      </w:r>
    </w:p>
    <w:p w14:paraId="364BD01B" w14:textId="77777777" w:rsidR="00750E02" w:rsidRPr="008717CC" w:rsidRDefault="00750E02" w:rsidP="008717CC">
      <w:pPr>
        <w:spacing w:line="360" w:lineRule="auto"/>
        <w:jc w:val="both"/>
        <w:rPr>
          <w:rFonts w:ascii="Arial" w:hAnsi="Arial" w:cs="Arial"/>
          <w:sz w:val="24"/>
          <w:szCs w:val="24"/>
        </w:rPr>
      </w:pPr>
      <w:r w:rsidRPr="008717CC">
        <w:rPr>
          <w:rFonts w:ascii="Arial" w:hAnsi="Arial" w:cs="Arial"/>
          <w:sz w:val="24"/>
          <w:szCs w:val="24"/>
        </w:rPr>
        <w:t>CHAPTER 1: INTRODUCTION                                                                                  3</w:t>
      </w:r>
    </w:p>
    <w:p w14:paraId="4CE98308" w14:textId="57F9D301" w:rsidR="00A116EC" w:rsidRPr="008717CC" w:rsidRDefault="00D637DF" w:rsidP="008717CC">
      <w:pPr>
        <w:spacing w:line="360" w:lineRule="auto"/>
        <w:rPr>
          <w:rFonts w:ascii="Arial" w:hAnsi="Arial" w:cs="Arial"/>
          <w:sz w:val="24"/>
          <w:szCs w:val="24"/>
        </w:rPr>
      </w:pPr>
      <w:r w:rsidRPr="008717CC">
        <w:rPr>
          <w:rFonts w:ascii="Arial" w:hAnsi="Arial" w:cs="Arial"/>
          <w:sz w:val="24"/>
          <w:szCs w:val="24"/>
        </w:rPr>
        <w:t>CHAPTER 2</w:t>
      </w:r>
      <w:r w:rsidR="00A116EC" w:rsidRPr="008717CC">
        <w:rPr>
          <w:rFonts w:ascii="Arial" w:hAnsi="Arial" w:cs="Arial"/>
          <w:sz w:val="24"/>
          <w:szCs w:val="24"/>
        </w:rPr>
        <w:t xml:space="preserve">: </w:t>
      </w:r>
      <w:r w:rsidR="00A116EC" w:rsidRPr="008717CC">
        <w:rPr>
          <w:rFonts w:ascii="Arial" w:hAnsi="Arial" w:cs="Arial"/>
          <w:sz w:val="24"/>
          <w:szCs w:val="24"/>
        </w:rPr>
        <w:t xml:space="preserve">CHAPTER 2: TESLA (PIONEER) AND </w:t>
      </w:r>
      <w:r w:rsidR="003817D2">
        <w:rPr>
          <w:rFonts w:ascii="Arial" w:hAnsi="Arial" w:cs="Arial"/>
          <w:sz w:val="24"/>
          <w:szCs w:val="24"/>
        </w:rPr>
        <w:t>FORD MOTOR</w:t>
      </w:r>
      <w:r w:rsidR="00A116EC" w:rsidRPr="008717CC">
        <w:rPr>
          <w:rFonts w:ascii="Arial" w:hAnsi="Arial" w:cs="Arial"/>
          <w:sz w:val="24"/>
          <w:szCs w:val="24"/>
        </w:rPr>
        <w:t xml:space="preserve"> (FOLLOWER) EXTERNAL MACRO-MARKETING ANALYSIS</w:t>
      </w:r>
      <w:r w:rsidR="00F95A9A" w:rsidRPr="008717CC">
        <w:rPr>
          <w:rFonts w:ascii="Arial" w:hAnsi="Arial" w:cs="Arial"/>
          <w:sz w:val="24"/>
          <w:szCs w:val="24"/>
        </w:rPr>
        <w:t xml:space="preserve">                                                          </w:t>
      </w:r>
      <w:r w:rsidR="00E556E2">
        <w:rPr>
          <w:rFonts w:ascii="Arial" w:hAnsi="Arial" w:cs="Arial"/>
          <w:sz w:val="24"/>
          <w:szCs w:val="24"/>
        </w:rPr>
        <w:t>5</w:t>
      </w:r>
    </w:p>
    <w:p w14:paraId="2C80BDB8" w14:textId="0DCC2748" w:rsidR="00555BD9" w:rsidRPr="008717CC" w:rsidRDefault="000F2C69" w:rsidP="008717CC">
      <w:pPr>
        <w:spacing w:line="360" w:lineRule="auto"/>
        <w:jc w:val="both"/>
        <w:rPr>
          <w:rFonts w:ascii="Arial" w:hAnsi="Arial" w:cs="Arial"/>
          <w:sz w:val="24"/>
          <w:szCs w:val="24"/>
        </w:rPr>
      </w:pPr>
      <w:r w:rsidRPr="008717CC">
        <w:rPr>
          <w:rFonts w:ascii="Arial" w:hAnsi="Arial" w:cs="Arial"/>
          <w:sz w:val="24"/>
          <w:szCs w:val="24"/>
        </w:rPr>
        <w:t>CHAPTER</w:t>
      </w:r>
      <w:r w:rsidR="00A56A35" w:rsidRPr="008717CC">
        <w:rPr>
          <w:rFonts w:ascii="Arial" w:hAnsi="Arial" w:cs="Arial"/>
          <w:sz w:val="24"/>
          <w:szCs w:val="24"/>
        </w:rPr>
        <w:t xml:space="preserve"> </w:t>
      </w:r>
      <w:r w:rsidRPr="008717CC">
        <w:rPr>
          <w:rFonts w:ascii="Arial" w:hAnsi="Arial" w:cs="Arial"/>
          <w:sz w:val="24"/>
          <w:szCs w:val="24"/>
        </w:rPr>
        <w:t>3: STRATEGIC RESPONSES AND COMPETITIVE SUSTAINABILITY</w:t>
      </w:r>
      <w:r w:rsidR="002C3E0A" w:rsidRPr="008717CC">
        <w:rPr>
          <w:rFonts w:ascii="Arial" w:hAnsi="Arial" w:cs="Arial"/>
          <w:sz w:val="24"/>
          <w:szCs w:val="24"/>
        </w:rPr>
        <w:t xml:space="preserve"> ANALYSIS</w:t>
      </w:r>
      <w:r w:rsidR="00A26957" w:rsidRPr="008717CC">
        <w:rPr>
          <w:rFonts w:ascii="Arial" w:hAnsi="Arial" w:cs="Arial"/>
          <w:sz w:val="24"/>
          <w:szCs w:val="24"/>
        </w:rPr>
        <w:t xml:space="preserve">                                                                                                                   </w:t>
      </w:r>
      <w:r w:rsidR="003B55CB">
        <w:rPr>
          <w:rFonts w:ascii="Arial" w:hAnsi="Arial" w:cs="Arial"/>
          <w:sz w:val="24"/>
          <w:szCs w:val="24"/>
        </w:rPr>
        <w:t>6</w:t>
      </w:r>
    </w:p>
    <w:p w14:paraId="5D2467BC" w14:textId="532BAD08" w:rsidR="00555BD9" w:rsidRPr="008717CC" w:rsidRDefault="00555BD9" w:rsidP="008717CC">
      <w:pPr>
        <w:spacing w:line="360" w:lineRule="auto"/>
        <w:jc w:val="both"/>
        <w:rPr>
          <w:rFonts w:ascii="Arial" w:hAnsi="Arial" w:cs="Arial"/>
          <w:sz w:val="24"/>
          <w:szCs w:val="24"/>
        </w:rPr>
      </w:pPr>
      <w:r w:rsidRPr="008717CC">
        <w:rPr>
          <w:rFonts w:ascii="Arial" w:hAnsi="Arial" w:cs="Arial"/>
          <w:sz w:val="24"/>
          <w:szCs w:val="24"/>
        </w:rPr>
        <w:t xml:space="preserve">CONCUSION                                                                                                             </w:t>
      </w:r>
      <w:r w:rsidR="00143A30">
        <w:rPr>
          <w:rFonts w:ascii="Arial" w:hAnsi="Arial" w:cs="Arial"/>
          <w:sz w:val="24"/>
          <w:szCs w:val="24"/>
        </w:rPr>
        <w:t>10</w:t>
      </w:r>
    </w:p>
    <w:p w14:paraId="27BA471B" w14:textId="514DD785" w:rsidR="0013046C" w:rsidRPr="008717CC" w:rsidRDefault="0013046C" w:rsidP="008717CC">
      <w:pPr>
        <w:spacing w:line="360" w:lineRule="auto"/>
        <w:jc w:val="both"/>
        <w:rPr>
          <w:rFonts w:ascii="Arial" w:hAnsi="Arial" w:cs="Arial"/>
          <w:sz w:val="24"/>
          <w:szCs w:val="24"/>
        </w:rPr>
      </w:pPr>
      <w:r w:rsidRPr="008717CC">
        <w:rPr>
          <w:rFonts w:ascii="Arial" w:hAnsi="Arial" w:cs="Arial"/>
          <w:sz w:val="24"/>
          <w:szCs w:val="24"/>
        </w:rPr>
        <w:t>RECOMMANDATION</w:t>
      </w:r>
      <w:r w:rsidR="00110FEA" w:rsidRPr="008717CC">
        <w:rPr>
          <w:rFonts w:ascii="Arial" w:hAnsi="Arial" w:cs="Arial"/>
          <w:sz w:val="24"/>
          <w:szCs w:val="24"/>
        </w:rPr>
        <w:t xml:space="preserve">                                                                                                </w:t>
      </w:r>
      <w:r w:rsidR="00143A30">
        <w:rPr>
          <w:rFonts w:ascii="Arial" w:hAnsi="Arial" w:cs="Arial"/>
          <w:sz w:val="24"/>
          <w:szCs w:val="24"/>
        </w:rPr>
        <w:t>1</w:t>
      </w:r>
      <w:r w:rsidR="00811011">
        <w:rPr>
          <w:rFonts w:ascii="Arial" w:hAnsi="Arial" w:cs="Arial"/>
          <w:sz w:val="24"/>
          <w:szCs w:val="24"/>
        </w:rPr>
        <w:t>0</w:t>
      </w:r>
    </w:p>
    <w:p w14:paraId="647BCA1A" w14:textId="276206F9" w:rsidR="000F2C69" w:rsidRPr="008717CC" w:rsidRDefault="00555BD9" w:rsidP="008717CC">
      <w:pPr>
        <w:spacing w:line="360" w:lineRule="auto"/>
        <w:jc w:val="both"/>
        <w:rPr>
          <w:rFonts w:ascii="Arial" w:hAnsi="Arial" w:cs="Arial"/>
          <w:sz w:val="24"/>
          <w:szCs w:val="24"/>
        </w:rPr>
      </w:pPr>
      <w:r w:rsidRPr="008717CC">
        <w:rPr>
          <w:rFonts w:ascii="Arial" w:hAnsi="Arial" w:cs="Arial"/>
          <w:sz w:val="24"/>
          <w:szCs w:val="24"/>
        </w:rPr>
        <w:t xml:space="preserve">REFERENCES                                                                                                        </w:t>
      </w:r>
      <w:r w:rsidR="00143A30">
        <w:rPr>
          <w:rFonts w:ascii="Arial" w:hAnsi="Arial" w:cs="Arial"/>
          <w:sz w:val="24"/>
          <w:szCs w:val="24"/>
        </w:rPr>
        <w:t xml:space="preserve"> </w:t>
      </w:r>
      <w:r w:rsidR="000126D1">
        <w:rPr>
          <w:rFonts w:ascii="Arial" w:hAnsi="Arial" w:cs="Arial"/>
          <w:sz w:val="24"/>
          <w:szCs w:val="24"/>
        </w:rPr>
        <w:t xml:space="preserve"> </w:t>
      </w:r>
      <w:r w:rsidR="00143A30">
        <w:rPr>
          <w:rFonts w:ascii="Arial" w:hAnsi="Arial" w:cs="Arial"/>
          <w:sz w:val="24"/>
          <w:szCs w:val="24"/>
        </w:rPr>
        <w:t>12</w:t>
      </w:r>
      <w:r w:rsidR="00A26957" w:rsidRPr="008717CC">
        <w:rPr>
          <w:rFonts w:ascii="Arial" w:hAnsi="Arial" w:cs="Arial"/>
          <w:sz w:val="24"/>
          <w:szCs w:val="24"/>
        </w:rPr>
        <w:t xml:space="preserve">     </w:t>
      </w:r>
    </w:p>
    <w:p w14:paraId="5DA996A5" w14:textId="77777777" w:rsidR="0048735F" w:rsidRPr="008717CC" w:rsidRDefault="0048735F" w:rsidP="008717CC">
      <w:pPr>
        <w:spacing w:line="360" w:lineRule="auto"/>
        <w:jc w:val="both"/>
        <w:rPr>
          <w:rFonts w:ascii="Arial" w:hAnsi="Arial" w:cs="Arial"/>
          <w:sz w:val="24"/>
          <w:szCs w:val="24"/>
        </w:rPr>
      </w:pPr>
    </w:p>
    <w:p w14:paraId="4CA167B4" w14:textId="77777777" w:rsidR="00555BD9" w:rsidRPr="008717CC" w:rsidRDefault="00555BD9" w:rsidP="008717CC">
      <w:pPr>
        <w:spacing w:line="360" w:lineRule="auto"/>
        <w:jc w:val="both"/>
        <w:rPr>
          <w:rFonts w:ascii="Arial" w:hAnsi="Arial" w:cs="Arial"/>
          <w:sz w:val="24"/>
          <w:szCs w:val="24"/>
        </w:rPr>
      </w:pPr>
    </w:p>
    <w:p w14:paraId="0FCC41CA" w14:textId="77777777" w:rsidR="00555BD9" w:rsidRPr="008717CC" w:rsidRDefault="00555BD9" w:rsidP="008717CC">
      <w:pPr>
        <w:spacing w:line="360" w:lineRule="auto"/>
        <w:jc w:val="both"/>
        <w:rPr>
          <w:rFonts w:ascii="Arial" w:hAnsi="Arial" w:cs="Arial"/>
          <w:sz w:val="24"/>
          <w:szCs w:val="24"/>
        </w:rPr>
      </w:pPr>
    </w:p>
    <w:p w14:paraId="0C85CFA4" w14:textId="77777777" w:rsidR="00555BD9" w:rsidRPr="008717CC" w:rsidRDefault="00555BD9" w:rsidP="008717CC">
      <w:pPr>
        <w:spacing w:line="360" w:lineRule="auto"/>
        <w:jc w:val="both"/>
        <w:rPr>
          <w:rFonts w:ascii="Arial" w:hAnsi="Arial" w:cs="Arial"/>
          <w:sz w:val="24"/>
          <w:szCs w:val="24"/>
        </w:rPr>
      </w:pPr>
    </w:p>
    <w:p w14:paraId="110BD0FE" w14:textId="77777777" w:rsidR="00555BD9" w:rsidRPr="008717CC" w:rsidRDefault="00555BD9" w:rsidP="008717CC">
      <w:pPr>
        <w:spacing w:line="360" w:lineRule="auto"/>
        <w:jc w:val="both"/>
        <w:rPr>
          <w:rFonts w:ascii="Arial" w:hAnsi="Arial" w:cs="Arial"/>
          <w:sz w:val="24"/>
          <w:szCs w:val="24"/>
        </w:rPr>
      </w:pPr>
    </w:p>
    <w:p w14:paraId="519C1053" w14:textId="77777777" w:rsidR="00555BD9" w:rsidRPr="008717CC" w:rsidRDefault="00555BD9" w:rsidP="008717CC">
      <w:pPr>
        <w:spacing w:line="360" w:lineRule="auto"/>
        <w:jc w:val="both"/>
        <w:rPr>
          <w:rFonts w:ascii="Arial" w:hAnsi="Arial" w:cs="Arial"/>
          <w:sz w:val="24"/>
          <w:szCs w:val="24"/>
        </w:rPr>
      </w:pPr>
    </w:p>
    <w:p w14:paraId="712C0473" w14:textId="77777777" w:rsidR="00555BD9" w:rsidRPr="008717CC" w:rsidRDefault="00555BD9" w:rsidP="008717CC">
      <w:pPr>
        <w:spacing w:line="360" w:lineRule="auto"/>
        <w:jc w:val="both"/>
        <w:rPr>
          <w:rFonts w:ascii="Arial" w:hAnsi="Arial" w:cs="Arial"/>
          <w:sz w:val="24"/>
          <w:szCs w:val="24"/>
        </w:rPr>
      </w:pPr>
    </w:p>
    <w:p w14:paraId="4650DA81" w14:textId="77777777" w:rsidR="00555BD9" w:rsidRPr="008717CC" w:rsidRDefault="00555BD9" w:rsidP="008717CC">
      <w:pPr>
        <w:spacing w:line="360" w:lineRule="auto"/>
        <w:jc w:val="both"/>
        <w:rPr>
          <w:rFonts w:ascii="Arial" w:hAnsi="Arial" w:cs="Arial"/>
          <w:sz w:val="24"/>
          <w:szCs w:val="24"/>
        </w:rPr>
      </w:pPr>
    </w:p>
    <w:p w14:paraId="46AFA6DE" w14:textId="77777777" w:rsidR="00555BD9" w:rsidRPr="008717CC" w:rsidRDefault="00555BD9" w:rsidP="008717CC">
      <w:pPr>
        <w:spacing w:line="360" w:lineRule="auto"/>
        <w:jc w:val="both"/>
        <w:rPr>
          <w:rFonts w:ascii="Arial" w:hAnsi="Arial" w:cs="Arial"/>
          <w:sz w:val="24"/>
          <w:szCs w:val="24"/>
        </w:rPr>
      </w:pPr>
    </w:p>
    <w:p w14:paraId="5B476385" w14:textId="77777777" w:rsidR="00555BD9" w:rsidRPr="008717CC" w:rsidRDefault="00555BD9" w:rsidP="008717CC">
      <w:pPr>
        <w:spacing w:line="360" w:lineRule="auto"/>
        <w:jc w:val="both"/>
        <w:rPr>
          <w:rFonts w:ascii="Arial" w:hAnsi="Arial" w:cs="Arial"/>
          <w:sz w:val="24"/>
          <w:szCs w:val="24"/>
        </w:rPr>
      </w:pPr>
    </w:p>
    <w:p w14:paraId="11EE7AC3" w14:textId="77777777" w:rsidR="00555BD9" w:rsidRPr="008717CC" w:rsidRDefault="00555BD9" w:rsidP="008717CC">
      <w:pPr>
        <w:spacing w:line="360" w:lineRule="auto"/>
        <w:jc w:val="both"/>
        <w:rPr>
          <w:rFonts w:ascii="Arial" w:hAnsi="Arial" w:cs="Arial"/>
          <w:sz w:val="24"/>
          <w:szCs w:val="24"/>
        </w:rPr>
      </w:pPr>
    </w:p>
    <w:p w14:paraId="609C6DB4" w14:textId="77777777" w:rsidR="00555BD9" w:rsidRPr="008717CC" w:rsidRDefault="00555BD9" w:rsidP="008717CC">
      <w:pPr>
        <w:spacing w:line="360" w:lineRule="auto"/>
        <w:jc w:val="both"/>
        <w:rPr>
          <w:rFonts w:ascii="Arial" w:hAnsi="Arial" w:cs="Arial"/>
          <w:sz w:val="24"/>
          <w:szCs w:val="24"/>
        </w:rPr>
      </w:pPr>
    </w:p>
    <w:p w14:paraId="0DCAB25B" w14:textId="77777777" w:rsidR="00555BD9" w:rsidRPr="008717CC" w:rsidRDefault="00555BD9" w:rsidP="008717CC">
      <w:pPr>
        <w:spacing w:line="360" w:lineRule="auto"/>
        <w:jc w:val="both"/>
        <w:rPr>
          <w:rFonts w:ascii="Arial" w:hAnsi="Arial" w:cs="Arial"/>
          <w:sz w:val="24"/>
          <w:szCs w:val="24"/>
        </w:rPr>
      </w:pPr>
    </w:p>
    <w:p w14:paraId="2667BE07" w14:textId="77777777" w:rsidR="00555BD9" w:rsidRPr="008717CC" w:rsidRDefault="00555BD9" w:rsidP="008717CC">
      <w:pPr>
        <w:spacing w:line="360" w:lineRule="auto"/>
        <w:jc w:val="both"/>
        <w:rPr>
          <w:rFonts w:ascii="Arial" w:hAnsi="Arial" w:cs="Arial"/>
          <w:sz w:val="24"/>
          <w:szCs w:val="24"/>
        </w:rPr>
      </w:pPr>
    </w:p>
    <w:p w14:paraId="7B82B142" w14:textId="77777777" w:rsidR="00555BD9" w:rsidRPr="008717CC" w:rsidRDefault="00555BD9" w:rsidP="008717CC">
      <w:pPr>
        <w:spacing w:line="360" w:lineRule="auto"/>
        <w:jc w:val="both"/>
        <w:rPr>
          <w:rFonts w:ascii="Arial" w:hAnsi="Arial" w:cs="Arial"/>
          <w:sz w:val="24"/>
          <w:szCs w:val="24"/>
        </w:rPr>
      </w:pPr>
    </w:p>
    <w:p w14:paraId="2057BD10" w14:textId="77777777" w:rsidR="00474561" w:rsidRDefault="00474561" w:rsidP="008717CC">
      <w:pPr>
        <w:spacing w:line="360" w:lineRule="auto"/>
        <w:jc w:val="both"/>
        <w:rPr>
          <w:rFonts w:ascii="Arial" w:hAnsi="Arial" w:cs="Arial"/>
          <w:sz w:val="24"/>
          <w:szCs w:val="24"/>
        </w:rPr>
      </w:pPr>
    </w:p>
    <w:p w14:paraId="38591FD9" w14:textId="792F22D2" w:rsidR="0048735F" w:rsidRPr="008717CC" w:rsidRDefault="0048735F" w:rsidP="008717CC">
      <w:pPr>
        <w:spacing w:line="360" w:lineRule="auto"/>
        <w:jc w:val="both"/>
        <w:rPr>
          <w:rFonts w:ascii="Arial" w:hAnsi="Arial" w:cs="Arial"/>
          <w:sz w:val="24"/>
          <w:szCs w:val="24"/>
        </w:rPr>
      </w:pPr>
      <w:r w:rsidRPr="008717CC">
        <w:rPr>
          <w:rFonts w:ascii="Arial" w:hAnsi="Arial" w:cs="Arial"/>
          <w:sz w:val="24"/>
          <w:szCs w:val="24"/>
        </w:rPr>
        <w:lastRenderedPageBreak/>
        <w:t>CHAPTER 1: INTRODUCTION</w:t>
      </w:r>
    </w:p>
    <w:p w14:paraId="2C8E9075" w14:textId="76402EE2" w:rsidR="00281254" w:rsidRPr="008717CC" w:rsidRDefault="00281254" w:rsidP="008717CC">
      <w:pPr>
        <w:spacing w:line="360" w:lineRule="auto"/>
        <w:jc w:val="both"/>
        <w:rPr>
          <w:rFonts w:ascii="Arial" w:hAnsi="Arial" w:cs="Arial"/>
          <w:sz w:val="24"/>
          <w:szCs w:val="24"/>
        </w:rPr>
      </w:pPr>
    </w:p>
    <w:p w14:paraId="6C1AA584" w14:textId="77777777" w:rsidR="006F7254" w:rsidRPr="008717CC" w:rsidRDefault="00577E1C" w:rsidP="008717CC">
      <w:pPr>
        <w:spacing w:line="360" w:lineRule="auto"/>
        <w:rPr>
          <w:rFonts w:ascii="Arial" w:hAnsi="Arial" w:cs="Arial"/>
          <w:sz w:val="24"/>
          <w:szCs w:val="24"/>
        </w:rPr>
      </w:pPr>
      <w:r w:rsidRPr="008717CC">
        <w:rPr>
          <w:rFonts w:ascii="Arial" w:hAnsi="Arial" w:cs="Arial"/>
          <w:sz w:val="24"/>
          <w:szCs w:val="24"/>
        </w:rPr>
        <w:t>Technological advancement is fundamentally reshaping everyday life, while Strategic Marketing Management assumes critical importance in enabling organisations to systematically evaluate and respond to macro-environmental forces that influence and redefine competitive dynamics.</w:t>
      </w:r>
    </w:p>
    <w:p w14:paraId="7628D78C" w14:textId="3E313F1A" w:rsidR="001B7D41" w:rsidRPr="008717CC" w:rsidRDefault="00F1645C" w:rsidP="008717CC">
      <w:pPr>
        <w:spacing w:line="360" w:lineRule="auto"/>
        <w:rPr>
          <w:rFonts w:ascii="Arial" w:hAnsi="Arial" w:cs="Arial"/>
          <w:sz w:val="24"/>
          <w:szCs w:val="24"/>
        </w:rPr>
      </w:pPr>
      <w:r w:rsidRPr="008717CC">
        <w:rPr>
          <w:rFonts w:ascii="Arial" w:hAnsi="Arial" w:cs="Arial"/>
          <w:sz w:val="24"/>
          <w:szCs w:val="24"/>
        </w:rPr>
        <w:t>Considering</w:t>
      </w:r>
      <w:r w:rsidR="0030687E" w:rsidRPr="008717CC">
        <w:rPr>
          <w:rFonts w:ascii="Arial" w:hAnsi="Arial" w:cs="Arial"/>
          <w:sz w:val="24"/>
          <w:szCs w:val="24"/>
        </w:rPr>
        <w:t xml:space="preserve"> Porter’s Generic Strategies and Ansoff’s Growth Matrix </w:t>
      </w:r>
      <w:r w:rsidR="00EF425C" w:rsidRPr="008717CC">
        <w:rPr>
          <w:rFonts w:ascii="Arial" w:hAnsi="Arial" w:cs="Arial"/>
          <w:sz w:val="24"/>
          <w:szCs w:val="24"/>
        </w:rPr>
        <w:t>while</w:t>
      </w:r>
      <w:r w:rsidR="0030687E" w:rsidRPr="008717CC">
        <w:rPr>
          <w:rFonts w:ascii="Arial" w:hAnsi="Arial" w:cs="Arial"/>
          <w:sz w:val="24"/>
          <w:szCs w:val="24"/>
        </w:rPr>
        <w:t xml:space="preserve"> assess</w:t>
      </w:r>
      <w:r w:rsidR="00A7179F" w:rsidRPr="008717CC">
        <w:rPr>
          <w:rFonts w:ascii="Arial" w:hAnsi="Arial" w:cs="Arial"/>
          <w:sz w:val="24"/>
          <w:szCs w:val="24"/>
        </w:rPr>
        <w:t>ing</w:t>
      </w:r>
      <w:r w:rsidR="00F336A9" w:rsidRPr="008717CC">
        <w:rPr>
          <w:rFonts w:ascii="Arial" w:hAnsi="Arial" w:cs="Arial"/>
          <w:sz w:val="24"/>
          <w:szCs w:val="24"/>
        </w:rPr>
        <w:t xml:space="preserve"> sustainable or when </w:t>
      </w:r>
      <w:r w:rsidR="00A41B09" w:rsidRPr="008717CC">
        <w:rPr>
          <w:rFonts w:ascii="Arial" w:hAnsi="Arial" w:cs="Arial"/>
          <w:sz w:val="24"/>
          <w:szCs w:val="24"/>
        </w:rPr>
        <w:t>reconfiguring</w:t>
      </w:r>
      <w:r w:rsidR="00F336A9" w:rsidRPr="008717CC">
        <w:rPr>
          <w:rFonts w:ascii="Arial" w:hAnsi="Arial" w:cs="Arial"/>
          <w:sz w:val="24"/>
          <w:szCs w:val="24"/>
        </w:rPr>
        <w:t xml:space="preserve"> </w:t>
      </w:r>
      <w:r w:rsidR="0030687E" w:rsidRPr="008717CC">
        <w:rPr>
          <w:rFonts w:ascii="Arial" w:hAnsi="Arial" w:cs="Arial"/>
          <w:sz w:val="24"/>
          <w:szCs w:val="24"/>
        </w:rPr>
        <w:t>competitive</w:t>
      </w:r>
      <w:r w:rsidR="007E3141" w:rsidRPr="008717CC">
        <w:rPr>
          <w:rFonts w:ascii="Arial" w:hAnsi="Arial" w:cs="Arial"/>
          <w:sz w:val="24"/>
          <w:szCs w:val="24"/>
        </w:rPr>
        <w:t xml:space="preserve"> dynamic</w:t>
      </w:r>
      <w:r w:rsidR="0030687E" w:rsidRPr="008717CC">
        <w:rPr>
          <w:rFonts w:ascii="Arial" w:hAnsi="Arial" w:cs="Arial"/>
          <w:sz w:val="24"/>
          <w:szCs w:val="24"/>
        </w:rPr>
        <w:t xml:space="preserve"> </w:t>
      </w:r>
      <w:r w:rsidRPr="008717CC">
        <w:rPr>
          <w:rFonts w:ascii="Arial" w:hAnsi="Arial" w:cs="Arial"/>
          <w:sz w:val="24"/>
          <w:szCs w:val="24"/>
        </w:rPr>
        <w:t>i</w:t>
      </w:r>
      <w:r w:rsidR="00954EF5" w:rsidRPr="008717CC">
        <w:rPr>
          <w:rFonts w:ascii="Arial" w:hAnsi="Arial" w:cs="Arial"/>
          <w:sz w:val="24"/>
          <w:szCs w:val="24"/>
        </w:rPr>
        <w:t>n the high-technology sector, the electric vehicle (EV) industry</w:t>
      </w:r>
      <w:r w:rsidR="00B63CD0" w:rsidRPr="008717CC">
        <w:rPr>
          <w:rFonts w:ascii="Arial" w:hAnsi="Arial" w:cs="Arial"/>
          <w:sz w:val="24"/>
          <w:szCs w:val="24"/>
        </w:rPr>
        <w:t xml:space="preserve"> that</w:t>
      </w:r>
      <w:r w:rsidR="00954EF5" w:rsidRPr="008717CC">
        <w:rPr>
          <w:rFonts w:ascii="Arial" w:hAnsi="Arial" w:cs="Arial"/>
          <w:sz w:val="24"/>
          <w:szCs w:val="24"/>
        </w:rPr>
        <w:t xml:space="preserve"> is characterised by </w:t>
      </w:r>
      <w:r w:rsidR="00B63CD0" w:rsidRPr="008717CC">
        <w:rPr>
          <w:rFonts w:ascii="Arial" w:hAnsi="Arial" w:cs="Arial"/>
          <w:sz w:val="24"/>
          <w:szCs w:val="24"/>
        </w:rPr>
        <w:t xml:space="preserve">a </w:t>
      </w:r>
      <w:r w:rsidR="00954EF5" w:rsidRPr="008717CC">
        <w:rPr>
          <w:rFonts w:ascii="Arial" w:hAnsi="Arial" w:cs="Arial"/>
          <w:sz w:val="24"/>
          <w:szCs w:val="24"/>
        </w:rPr>
        <w:t xml:space="preserve">rapid regulatory change, technological disruption, and evolving consumer expectations, </w:t>
      </w:r>
      <w:r w:rsidR="00D06FCB" w:rsidRPr="008717CC">
        <w:rPr>
          <w:rFonts w:ascii="Arial" w:hAnsi="Arial" w:cs="Arial"/>
          <w:sz w:val="24"/>
          <w:szCs w:val="24"/>
        </w:rPr>
        <w:t>is</w:t>
      </w:r>
      <w:r w:rsidR="00954EF5" w:rsidRPr="008717CC">
        <w:rPr>
          <w:rFonts w:ascii="Arial" w:hAnsi="Arial" w:cs="Arial"/>
          <w:sz w:val="24"/>
          <w:szCs w:val="24"/>
        </w:rPr>
        <w:t xml:space="preserve"> fundamentally reshaping industry structures and competitive dynamics </w:t>
      </w:r>
      <w:r w:rsidR="0044124A" w:rsidRPr="008717CC">
        <w:rPr>
          <w:rFonts w:ascii="Arial" w:hAnsi="Arial" w:cs="Arial"/>
          <w:sz w:val="24"/>
          <w:szCs w:val="24"/>
        </w:rPr>
        <w:t xml:space="preserve">as indicated </w:t>
      </w:r>
      <w:r w:rsidR="00954EF5" w:rsidRPr="008717CC">
        <w:rPr>
          <w:rFonts w:ascii="Arial" w:hAnsi="Arial" w:cs="Arial"/>
          <w:sz w:val="24"/>
          <w:szCs w:val="24"/>
        </w:rPr>
        <w:t xml:space="preserve">Porter </w:t>
      </w:r>
      <w:r w:rsidR="0044124A" w:rsidRPr="008717CC">
        <w:rPr>
          <w:rFonts w:ascii="Arial" w:hAnsi="Arial" w:cs="Arial"/>
          <w:sz w:val="24"/>
          <w:szCs w:val="24"/>
        </w:rPr>
        <w:t>(</w:t>
      </w:r>
      <w:r w:rsidR="00954EF5" w:rsidRPr="008717CC">
        <w:rPr>
          <w:rFonts w:ascii="Arial" w:hAnsi="Arial" w:cs="Arial"/>
          <w:sz w:val="24"/>
          <w:szCs w:val="24"/>
        </w:rPr>
        <w:t>1980).</w:t>
      </w:r>
      <w:r w:rsidR="0049150A" w:rsidRPr="008717CC">
        <w:rPr>
          <w:rFonts w:ascii="Arial" w:hAnsi="Arial" w:cs="Arial"/>
          <w:sz w:val="24"/>
          <w:szCs w:val="24"/>
        </w:rPr>
        <w:t xml:space="preserve"> </w:t>
      </w:r>
      <w:r w:rsidR="001B7D41" w:rsidRPr="008717CC">
        <w:rPr>
          <w:rFonts w:ascii="Arial" w:hAnsi="Arial" w:cs="Arial"/>
          <w:sz w:val="24"/>
          <w:szCs w:val="24"/>
        </w:rPr>
        <w:t>Shahzad, Bajwa and Zia (2013) review</w:t>
      </w:r>
      <w:r w:rsidR="0049150A" w:rsidRPr="008717CC">
        <w:rPr>
          <w:rFonts w:ascii="Arial" w:hAnsi="Arial" w:cs="Arial"/>
          <w:sz w:val="24"/>
          <w:szCs w:val="24"/>
        </w:rPr>
        <w:t>ing</w:t>
      </w:r>
      <w:r w:rsidR="001B7D41" w:rsidRPr="008717CC">
        <w:rPr>
          <w:rFonts w:ascii="Arial" w:hAnsi="Arial" w:cs="Arial"/>
          <w:sz w:val="24"/>
          <w:szCs w:val="24"/>
        </w:rPr>
        <w:t xml:space="preserve"> Porter’s competitive strategy framework, highlight</w:t>
      </w:r>
      <w:r w:rsidR="009D5DC7" w:rsidRPr="008717CC">
        <w:rPr>
          <w:rFonts w:ascii="Arial" w:hAnsi="Arial" w:cs="Arial"/>
          <w:sz w:val="24"/>
          <w:szCs w:val="24"/>
        </w:rPr>
        <w:t>ed</w:t>
      </w:r>
      <w:r w:rsidR="001B7D41" w:rsidRPr="008717CC">
        <w:rPr>
          <w:rFonts w:ascii="Arial" w:hAnsi="Arial" w:cs="Arial"/>
          <w:sz w:val="24"/>
          <w:szCs w:val="24"/>
        </w:rPr>
        <w:t xml:space="preserve"> industry analysis, competitive positioning, and strategic forces </w:t>
      </w:r>
      <w:r w:rsidR="009D5DC7" w:rsidRPr="008717CC">
        <w:rPr>
          <w:rFonts w:ascii="Arial" w:hAnsi="Arial" w:cs="Arial"/>
          <w:sz w:val="24"/>
          <w:szCs w:val="24"/>
        </w:rPr>
        <w:t xml:space="preserve">that </w:t>
      </w:r>
      <w:r w:rsidR="001B7D41" w:rsidRPr="008717CC">
        <w:rPr>
          <w:rFonts w:ascii="Arial" w:hAnsi="Arial" w:cs="Arial"/>
          <w:sz w:val="24"/>
          <w:szCs w:val="24"/>
        </w:rPr>
        <w:t>shap</w:t>
      </w:r>
      <w:r w:rsidR="009D5DC7" w:rsidRPr="008717CC">
        <w:rPr>
          <w:rFonts w:ascii="Arial" w:hAnsi="Arial" w:cs="Arial"/>
          <w:sz w:val="24"/>
          <w:szCs w:val="24"/>
        </w:rPr>
        <w:t>e</w:t>
      </w:r>
      <w:r w:rsidR="001B7D41" w:rsidRPr="008717CC">
        <w:rPr>
          <w:rFonts w:ascii="Arial" w:hAnsi="Arial" w:cs="Arial"/>
          <w:sz w:val="24"/>
          <w:szCs w:val="24"/>
        </w:rPr>
        <w:t xml:space="preserve"> profitability, emphasising its relevance for managers navigating dynamic and competitive market environments.</w:t>
      </w:r>
      <w:r w:rsidR="00161CC7">
        <w:rPr>
          <w:rFonts w:ascii="Arial" w:hAnsi="Arial" w:cs="Arial"/>
          <w:sz w:val="24"/>
          <w:szCs w:val="24"/>
        </w:rPr>
        <w:t xml:space="preserve"> </w:t>
      </w:r>
      <w:r w:rsidR="00161CC7" w:rsidRPr="00161CC7">
        <w:rPr>
          <w:rFonts w:ascii="Arial" w:hAnsi="Arial" w:cs="Arial"/>
          <w:sz w:val="24"/>
          <w:szCs w:val="24"/>
        </w:rPr>
        <w:t>The progression from early adopters to mainstream consumers aligns with diffusion of innovation theory, which explains how technological adoption expands across social systems over time (Rogers, 2003).</w:t>
      </w:r>
    </w:p>
    <w:p w14:paraId="1C17D9F4" w14:textId="4DFD6496" w:rsidR="007E160E" w:rsidRPr="008717CC" w:rsidRDefault="00D10FC8" w:rsidP="008717CC">
      <w:pPr>
        <w:spacing w:line="360" w:lineRule="auto"/>
        <w:rPr>
          <w:rFonts w:ascii="Arial" w:hAnsi="Arial" w:cs="Arial"/>
          <w:sz w:val="24"/>
          <w:szCs w:val="24"/>
        </w:rPr>
      </w:pPr>
      <w:r w:rsidRPr="008717CC">
        <w:rPr>
          <w:rFonts w:ascii="Arial" w:hAnsi="Arial" w:cs="Arial"/>
          <w:sz w:val="24"/>
          <w:szCs w:val="24"/>
        </w:rPr>
        <w:t xml:space="preserve">in order to assess the development and sustainability </w:t>
      </w:r>
      <w:r w:rsidR="006A448D" w:rsidRPr="008717CC">
        <w:rPr>
          <w:rFonts w:ascii="Arial" w:hAnsi="Arial" w:cs="Arial"/>
          <w:sz w:val="24"/>
          <w:szCs w:val="24"/>
        </w:rPr>
        <w:t>of competitors,</w:t>
      </w:r>
      <w:r w:rsidRPr="008717CC">
        <w:rPr>
          <w:rFonts w:ascii="Arial" w:hAnsi="Arial" w:cs="Arial"/>
          <w:sz w:val="24"/>
          <w:szCs w:val="24"/>
        </w:rPr>
        <w:t xml:space="preserve"> </w:t>
      </w:r>
      <w:r w:rsidR="00317573" w:rsidRPr="008717CC">
        <w:rPr>
          <w:rFonts w:ascii="Arial" w:hAnsi="Arial" w:cs="Arial"/>
          <w:sz w:val="24"/>
          <w:szCs w:val="24"/>
        </w:rPr>
        <w:t>t</w:t>
      </w:r>
      <w:r w:rsidR="00F73F1D" w:rsidRPr="008717CC">
        <w:rPr>
          <w:rFonts w:ascii="Arial" w:hAnsi="Arial" w:cs="Arial"/>
          <w:sz w:val="24"/>
          <w:szCs w:val="24"/>
        </w:rPr>
        <w:t>his report is offering a</w:t>
      </w:r>
      <w:r w:rsidR="004670A9" w:rsidRPr="008717CC">
        <w:rPr>
          <w:rFonts w:ascii="Arial" w:hAnsi="Arial" w:cs="Arial"/>
          <w:sz w:val="24"/>
          <w:szCs w:val="24"/>
        </w:rPr>
        <w:t xml:space="preserve"> critical analysis</w:t>
      </w:r>
      <w:r w:rsidR="005A5C10" w:rsidRPr="008717CC">
        <w:rPr>
          <w:rFonts w:ascii="Arial" w:hAnsi="Arial" w:cs="Arial"/>
          <w:sz w:val="24"/>
          <w:szCs w:val="24"/>
        </w:rPr>
        <w:t xml:space="preserve"> of</w:t>
      </w:r>
      <w:r w:rsidR="004670A9" w:rsidRPr="008717CC">
        <w:rPr>
          <w:rFonts w:ascii="Arial" w:hAnsi="Arial" w:cs="Arial"/>
          <w:sz w:val="24"/>
          <w:szCs w:val="24"/>
        </w:rPr>
        <w:t xml:space="preserve"> </w:t>
      </w:r>
      <w:r w:rsidR="00385145" w:rsidRPr="008717CC">
        <w:rPr>
          <w:rFonts w:ascii="Arial" w:hAnsi="Arial" w:cs="Arial"/>
          <w:sz w:val="24"/>
          <w:szCs w:val="24"/>
        </w:rPr>
        <w:t>t</w:t>
      </w:r>
      <w:r w:rsidR="004670A9" w:rsidRPr="008717CC">
        <w:rPr>
          <w:rFonts w:ascii="Arial" w:hAnsi="Arial" w:cs="Arial"/>
          <w:sz w:val="24"/>
          <w:szCs w:val="24"/>
        </w:rPr>
        <w:t>wo macro-environmental actors</w:t>
      </w:r>
      <w:r w:rsidR="00994CA7" w:rsidRPr="008717CC">
        <w:rPr>
          <w:rFonts w:ascii="Arial" w:hAnsi="Arial" w:cs="Arial"/>
          <w:sz w:val="24"/>
          <w:szCs w:val="24"/>
        </w:rPr>
        <w:t xml:space="preserve">, Tesla as an industry pioneer and </w:t>
      </w:r>
      <w:r w:rsidR="003817D2">
        <w:rPr>
          <w:rFonts w:ascii="Arial" w:hAnsi="Arial" w:cs="Arial"/>
          <w:sz w:val="24"/>
          <w:szCs w:val="24"/>
        </w:rPr>
        <w:t>Ford Motor</w:t>
      </w:r>
      <w:r w:rsidR="00994CA7" w:rsidRPr="008717CC">
        <w:rPr>
          <w:rFonts w:ascii="Arial" w:hAnsi="Arial" w:cs="Arial"/>
          <w:sz w:val="24"/>
          <w:szCs w:val="24"/>
        </w:rPr>
        <w:t xml:space="preserve"> as a strategic follower,</w:t>
      </w:r>
      <w:r w:rsidR="0096240E" w:rsidRPr="008717CC">
        <w:rPr>
          <w:rFonts w:ascii="Arial" w:hAnsi="Arial" w:cs="Arial"/>
          <w:sz w:val="24"/>
          <w:szCs w:val="24"/>
        </w:rPr>
        <w:t xml:space="preserve"> </w:t>
      </w:r>
      <w:r w:rsidR="005B44B8" w:rsidRPr="008717CC">
        <w:rPr>
          <w:rFonts w:ascii="Arial" w:hAnsi="Arial" w:cs="Arial"/>
          <w:sz w:val="24"/>
          <w:szCs w:val="24"/>
        </w:rPr>
        <w:t xml:space="preserve">to </w:t>
      </w:r>
      <w:r w:rsidR="00182D05" w:rsidRPr="008717CC">
        <w:rPr>
          <w:rFonts w:ascii="Arial" w:hAnsi="Arial" w:cs="Arial"/>
          <w:sz w:val="24"/>
          <w:szCs w:val="24"/>
        </w:rPr>
        <w:t>examine</w:t>
      </w:r>
      <w:r w:rsidR="005B44B8" w:rsidRPr="008717CC">
        <w:rPr>
          <w:rFonts w:ascii="Arial" w:hAnsi="Arial" w:cs="Arial"/>
          <w:sz w:val="24"/>
          <w:szCs w:val="24"/>
        </w:rPr>
        <w:t xml:space="preserve"> their</w:t>
      </w:r>
      <w:r w:rsidR="00D5773D" w:rsidRPr="008717CC">
        <w:rPr>
          <w:rFonts w:ascii="Arial" w:hAnsi="Arial" w:cs="Arial"/>
          <w:sz w:val="24"/>
          <w:szCs w:val="24"/>
        </w:rPr>
        <w:t xml:space="preserve"> </w:t>
      </w:r>
      <w:r w:rsidR="009604BC" w:rsidRPr="008717CC">
        <w:rPr>
          <w:rFonts w:ascii="Arial" w:hAnsi="Arial" w:cs="Arial"/>
          <w:sz w:val="24"/>
          <w:szCs w:val="24"/>
        </w:rPr>
        <w:t>macro-marketing environment influenc</w:t>
      </w:r>
      <w:r w:rsidR="00D5773D" w:rsidRPr="008717CC">
        <w:rPr>
          <w:rFonts w:ascii="Arial" w:hAnsi="Arial" w:cs="Arial"/>
          <w:sz w:val="24"/>
          <w:szCs w:val="24"/>
        </w:rPr>
        <w:t>es</w:t>
      </w:r>
      <w:r w:rsidR="00202F5E" w:rsidRPr="008717CC">
        <w:rPr>
          <w:rFonts w:ascii="Arial" w:hAnsi="Arial" w:cs="Arial"/>
          <w:sz w:val="24"/>
          <w:szCs w:val="24"/>
        </w:rPr>
        <w:t xml:space="preserve"> by b</w:t>
      </w:r>
      <w:r w:rsidR="007E160E" w:rsidRPr="008717CC">
        <w:rPr>
          <w:rFonts w:ascii="Arial" w:hAnsi="Arial" w:cs="Arial"/>
          <w:sz w:val="24"/>
          <w:szCs w:val="24"/>
        </w:rPr>
        <w:t xml:space="preserve">uilding upon this environmental </w:t>
      </w:r>
      <w:r w:rsidR="00317573" w:rsidRPr="008717CC">
        <w:rPr>
          <w:rFonts w:ascii="Arial" w:hAnsi="Arial" w:cs="Arial"/>
          <w:sz w:val="24"/>
          <w:szCs w:val="24"/>
        </w:rPr>
        <w:t>analysis and</w:t>
      </w:r>
      <w:r w:rsidR="007E160E" w:rsidRPr="008717CC">
        <w:rPr>
          <w:rFonts w:ascii="Arial" w:hAnsi="Arial" w:cs="Arial"/>
          <w:sz w:val="24"/>
          <w:szCs w:val="24"/>
        </w:rPr>
        <w:t xml:space="preserve"> compar</w:t>
      </w:r>
      <w:r w:rsidR="002D2DA2" w:rsidRPr="008717CC">
        <w:rPr>
          <w:rFonts w:ascii="Arial" w:hAnsi="Arial" w:cs="Arial"/>
          <w:sz w:val="24"/>
          <w:szCs w:val="24"/>
        </w:rPr>
        <w:t>ing</w:t>
      </w:r>
      <w:r w:rsidR="007E160E" w:rsidRPr="008717CC">
        <w:rPr>
          <w:rFonts w:ascii="Arial" w:hAnsi="Arial" w:cs="Arial"/>
          <w:sz w:val="24"/>
          <w:szCs w:val="24"/>
        </w:rPr>
        <w:t xml:space="preserve"> and evaluates each firm’s strategic marketing responses </w:t>
      </w:r>
      <w:r w:rsidR="002D2DA2" w:rsidRPr="008717CC">
        <w:rPr>
          <w:rFonts w:ascii="Arial" w:hAnsi="Arial" w:cs="Arial"/>
          <w:sz w:val="24"/>
          <w:szCs w:val="24"/>
        </w:rPr>
        <w:t>based on</w:t>
      </w:r>
      <w:r w:rsidR="007E160E" w:rsidRPr="008717CC">
        <w:rPr>
          <w:rFonts w:ascii="Arial" w:hAnsi="Arial" w:cs="Arial"/>
          <w:sz w:val="24"/>
          <w:szCs w:val="24"/>
        </w:rPr>
        <w:t xml:space="preserve"> Porter’s Generic Strategies and Ansoff’s Growth Matrix to assess how competitive advantage</w:t>
      </w:r>
      <w:r w:rsidR="00926D40" w:rsidRPr="008717CC">
        <w:rPr>
          <w:rFonts w:ascii="Arial" w:hAnsi="Arial" w:cs="Arial"/>
          <w:sz w:val="24"/>
          <w:szCs w:val="24"/>
        </w:rPr>
        <w:t>.</w:t>
      </w:r>
      <w:r w:rsidR="00412726">
        <w:rPr>
          <w:rFonts w:ascii="Arial" w:hAnsi="Arial" w:cs="Arial"/>
          <w:sz w:val="24"/>
          <w:szCs w:val="24"/>
        </w:rPr>
        <w:t xml:space="preserve"> </w:t>
      </w:r>
      <w:r w:rsidR="00412726" w:rsidRPr="00412726">
        <w:rPr>
          <w:rFonts w:ascii="Arial" w:hAnsi="Arial" w:cs="Arial"/>
          <w:sz w:val="24"/>
          <w:szCs w:val="24"/>
        </w:rPr>
        <w:t>This transition reflects characteristics of disruptive innovation, whereby new technological paradigms displace established industry models and compel incumbents to restructure (Christensen, 1997).</w:t>
      </w:r>
    </w:p>
    <w:p w14:paraId="132104FB" w14:textId="77777777" w:rsidR="003F35E0" w:rsidRPr="008717CC" w:rsidRDefault="003F35E0" w:rsidP="008717CC">
      <w:pPr>
        <w:spacing w:line="360" w:lineRule="auto"/>
        <w:rPr>
          <w:rFonts w:ascii="Arial" w:hAnsi="Arial" w:cs="Arial"/>
          <w:sz w:val="24"/>
          <w:szCs w:val="24"/>
        </w:rPr>
      </w:pPr>
    </w:p>
    <w:p w14:paraId="19A673A5" w14:textId="77777777" w:rsidR="008E027E" w:rsidRDefault="008E027E" w:rsidP="008717CC">
      <w:pPr>
        <w:spacing w:line="360" w:lineRule="auto"/>
        <w:rPr>
          <w:rFonts w:ascii="Arial" w:hAnsi="Arial" w:cs="Arial"/>
          <w:sz w:val="24"/>
          <w:szCs w:val="24"/>
        </w:rPr>
      </w:pPr>
    </w:p>
    <w:p w14:paraId="631AE9DF" w14:textId="77777777" w:rsidR="008E027E" w:rsidRDefault="008E027E" w:rsidP="008717CC">
      <w:pPr>
        <w:spacing w:line="360" w:lineRule="auto"/>
        <w:rPr>
          <w:rFonts w:ascii="Arial" w:hAnsi="Arial" w:cs="Arial"/>
          <w:sz w:val="24"/>
          <w:szCs w:val="24"/>
        </w:rPr>
      </w:pPr>
    </w:p>
    <w:p w14:paraId="3B6E9AB3" w14:textId="23285448" w:rsidR="0088102C" w:rsidRPr="008717CC" w:rsidRDefault="00C23DA6" w:rsidP="008717CC">
      <w:pPr>
        <w:spacing w:line="360" w:lineRule="auto"/>
        <w:rPr>
          <w:rFonts w:ascii="Arial" w:hAnsi="Arial" w:cs="Arial"/>
          <w:sz w:val="24"/>
          <w:szCs w:val="24"/>
        </w:rPr>
      </w:pPr>
      <w:r w:rsidRPr="008717CC">
        <w:rPr>
          <w:rFonts w:ascii="Arial" w:hAnsi="Arial" w:cs="Arial"/>
          <w:sz w:val="24"/>
          <w:szCs w:val="24"/>
        </w:rPr>
        <w:lastRenderedPageBreak/>
        <w:t>CHAPTER 2:</w:t>
      </w:r>
      <w:r w:rsidR="003F35E0" w:rsidRPr="008717CC">
        <w:rPr>
          <w:rFonts w:ascii="Arial" w:hAnsi="Arial" w:cs="Arial"/>
          <w:sz w:val="24"/>
          <w:szCs w:val="24"/>
        </w:rPr>
        <w:t xml:space="preserve"> </w:t>
      </w:r>
      <w:r w:rsidR="00DC4E43" w:rsidRPr="008717CC">
        <w:rPr>
          <w:rFonts w:ascii="Arial" w:hAnsi="Arial" w:cs="Arial"/>
          <w:sz w:val="24"/>
          <w:szCs w:val="24"/>
        </w:rPr>
        <w:t xml:space="preserve">TESLA (PIONEER) AND </w:t>
      </w:r>
      <w:r w:rsidR="003817D2">
        <w:rPr>
          <w:rFonts w:ascii="Arial" w:hAnsi="Arial" w:cs="Arial"/>
          <w:sz w:val="24"/>
          <w:szCs w:val="24"/>
        </w:rPr>
        <w:t>FORD MOTOR</w:t>
      </w:r>
      <w:r w:rsidR="00DC4E43" w:rsidRPr="008717CC">
        <w:rPr>
          <w:rFonts w:ascii="Arial" w:hAnsi="Arial" w:cs="Arial"/>
          <w:sz w:val="24"/>
          <w:szCs w:val="24"/>
        </w:rPr>
        <w:t xml:space="preserve"> (FOLLOWER) EXTERNAL MACRO-MARKETING ANALYSIS</w:t>
      </w:r>
    </w:p>
    <w:p w14:paraId="6743D9F0" w14:textId="77777777" w:rsidR="00275CFA" w:rsidRPr="008717CC" w:rsidRDefault="00275CFA" w:rsidP="008717CC">
      <w:pPr>
        <w:spacing w:line="360" w:lineRule="auto"/>
        <w:rPr>
          <w:rFonts w:ascii="Arial" w:hAnsi="Arial" w:cs="Arial"/>
          <w:sz w:val="24"/>
          <w:szCs w:val="24"/>
        </w:rPr>
      </w:pPr>
    </w:p>
    <w:p w14:paraId="1F65B571" w14:textId="7EE8F2FD" w:rsidR="00074BDD" w:rsidRPr="00074BDD" w:rsidRDefault="00074BDD" w:rsidP="008717CC">
      <w:pPr>
        <w:spacing w:line="360" w:lineRule="auto"/>
        <w:rPr>
          <w:rFonts w:ascii="Arial" w:hAnsi="Arial" w:cs="Arial"/>
          <w:sz w:val="24"/>
          <w:szCs w:val="24"/>
        </w:rPr>
      </w:pPr>
      <w:r w:rsidRPr="00074BDD">
        <w:rPr>
          <w:rFonts w:ascii="Arial" w:hAnsi="Arial" w:cs="Arial"/>
          <w:sz w:val="24"/>
          <w:szCs w:val="24"/>
        </w:rPr>
        <w:t xml:space="preserve">SWOT analysis conventionally integrates an assessment of internal strengths and weaknesses with external opportunities and threats </w:t>
      </w:r>
      <w:r w:rsidRPr="008717CC">
        <w:rPr>
          <w:rFonts w:ascii="Arial" w:hAnsi="Arial" w:cs="Arial"/>
          <w:sz w:val="24"/>
          <w:szCs w:val="24"/>
        </w:rPr>
        <w:t>to</w:t>
      </w:r>
      <w:r w:rsidRPr="00074BDD">
        <w:rPr>
          <w:rFonts w:ascii="Arial" w:hAnsi="Arial" w:cs="Arial"/>
          <w:sz w:val="24"/>
          <w:szCs w:val="24"/>
        </w:rPr>
        <w:t xml:space="preserve"> evaluate both micro- and macro-environmental forces influencing organisational performance (Porter, 1980). However, this report adopts a narrower analytical lens by focusing exclusively on the external (macro) environment. It undertakes a comparative examination of Tesla as an industry pioneer and </w:t>
      </w:r>
      <w:r w:rsidR="003817D2">
        <w:rPr>
          <w:rFonts w:ascii="Arial" w:hAnsi="Arial" w:cs="Arial"/>
          <w:sz w:val="24"/>
          <w:szCs w:val="24"/>
        </w:rPr>
        <w:t>Ford Motor</w:t>
      </w:r>
      <w:r w:rsidRPr="00074BDD">
        <w:rPr>
          <w:rFonts w:ascii="Arial" w:hAnsi="Arial" w:cs="Arial"/>
          <w:sz w:val="24"/>
          <w:szCs w:val="24"/>
        </w:rPr>
        <w:t xml:space="preserve"> as a strategic follower within the same sector.</w:t>
      </w:r>
    </w:p>
    <w:p w14:paraId="2AD10DEC" w14:textId="607A6034" w:rsidR="00C47C95" w:rsidRPr="008717CC" w:rsidRDefault="00074BDD" w:rsidP="008717CC">
      <w:pPr>
        <w:spacing w:line="360" w:lineRule="auto"/>
        <w:rPr>
          <w:rFonts w:ascii="Arial" w:hAnsi="Arial" w:cs="Arial"/>
          <w:sz w:val="24"/>
          <w:szCs w:val="24"/>
        </w:rPr>
      </w:pPr>
      <w:r w:rsidRPr="00074BDD">
        <w:rPr>
          <w:rFonts w:ascii="Arial" w:hAnsi="Arial" w:cs="Arial"/>
          <w:sz w:val="24"/>
          <w:szCs w:val="24"/>
        </w:rPr>
        <w:t xml:space="preserve">Drawing upon Porter’s Generic Strategies (Porter, 1980, 1985) and Ansoff’s Growth Matrix (Ansoff, 1957), the analysis evaluates how each organisation interprets environmental opportunities and threats to strengthen competitive positioning. </w:t>
      </w:r>
      <w:r w:rsidRPr="008717CC">
        <w:rPr>
          <w:rFonts w:ascii="Arial" w:hAnsi="Arial" w:cs="Arial"/>
          <w:sz w:val="24"/>
          <w:szCs w:val="24"/>
        </w:rPr>
        <w:t>Attention</w:t>
      </w:r>
      <w:r w:rsidRPr="00074BDD">
        <w:rPr>
          <w:rFonts w:ascii="Arial" w:hAnsi="Arial" w:cs="Arial"/>
          <w:sz w:val="24"/>
          <w:szCs w:val="24"/>
        </w:rPr>
        <w:t xml:space="preserve"> is given to strategic responses such as technological innovation, market development, and portfolio rationalisation, assessing how these decisions contribute to sustaining or enhancing competitive advantage in a dynamic industry context.</w:t>
      </w:r>
    </w:p>
    <w:p w14:paraId="47125BEF" w14:textId="640FE066" w:rsidR="00802727" w:rsidRPr="00802727" w:rsidRDefault="00A9273C" w:rsidP="008717CC">
      <w:pPr>
        <w:spacing w:line="360" w:lineRule="auto"/>
        <w:rPr>
          <w:rFonts w:ascii="Arial" w:hAnsi="Arial" w:cs="Arial"/>
          <w:sz w:val="24"/>
          <w:szCs w:val="24"/>
        </w:rPr>
      </w:pPr>
      <w:r w:rsidRPr="008717CC">
        <w:rPr>
          <w:rFonts w:ascii="Arial" w:hAnsi="Arial" w:cs="Arial"/>
          <w:sz w:val="24"/>
          <w:szCs w:val="24"/>
        </w:rPr>
        <w:t>Again, w</w:t>
      </w:r>
      <w:r w:rsidR="00802727" w:rsidRPr="00802727">
        <w:rPr>
          <w:rFonts w:ascii="Arial" w:hAnsi="Arial" w:cs="Arial"/>
          <w:sz w:val="24"/>
          <w:szCs w:val="24"/>
        </w:rPr>
        <w:t xml:space="preserve">ithin the context of this macro-environmental analysis, threats </w:t>
      </w:r>
      <w:r w:rsidRPr="008717CC">
        <w:rPr>
          <w:rFonts w:ascii="Arial" w:hAnsi="Arial" w:cs="Arial"/>
          <w:sz w:val="24"/>
          <w:szCs w:val="24"/>
        </w:rPr>
        <w:t>referring</w:t>
      </w:r>
      <w:r w:rsidR="00802727" w:rsidRPr="00802727">
        <w:rPr>
          <w:rFonts w:ascii="Arial" w:hAnsi="Arial" w:cs="Arial"/>
          <w:sz w:val="24"/>
          <w:szCs w:val="24"/>
        </w:rPr>
        <w:t xml:space="preserve"> to external forces and structural pressures that may undermine an organisation’s competitive position, constrain strategic choice, or erode long-term profitability</w:t>
      </w:r>
      <w:r w:rsidRPr="008717CC">
        <w:rPr>
          <w:rFonts w:ascii="Arial" w:hAnsi="Arial" w:cs="Arial"/>
          <w:sz w:val="24"/>
          <w:szCs w:val="24"/>
        </w:rPr>
        <w:t>, and</w:t>
      </w:r>
      <w:r w:rsidR="003F18C2" w:rsidRPr="008717CC">
        <w:rPr>
          <w:rFonts w:ascii="Arial" w:hAnsi="Arial" w:cs="Arial"/>
          <w:sz w:val="24"/>
          <w:szCs w:val="24"/>
        </w:rPr>
        <w:t xml:space="preserve"> d</w:t>
      </w:r>
      <w:r w:rsidR="00802727" w:rsidRPr="00802727">
        <w:rPr>
          <w:rFonts w:ascii="Arial" w:hAnsi="Arial" w:cs="Arial"/>
          <w:sz w:val="24"/>
          <w:szCs w:val="24"/>
        </w:rPr>
        <w:t xml:space="preserve">rawing on Porter’s (1980) industry framework, threats </w:t>
      </w:r>
      <w:r w:rsidR="002678D4" w:rsidRPr="008717CC">
        <w:rPr>
          <w:rFonts w:ascii="Arial" w:hAnsi="Arial" w:cs="Arial"/>
          <w:sz w:val="24"/>
          <w:szCs w:val="24"/>
        </w:rPr>
        <w:t xml:space="preserve">that </w:t>
      </w:r>
      <w:r w:rsidR="00802727" w:rsidRPr="00802727">
        <w:rPr>
          <w:rFonts w:ascii="Arial" w:hAnsi="Arial" w:cs="Arial"/>
          <w:sz w:val="24"/>
          <w:szCs w:val="24"/>
        </w:rPr>
        <w:t>emerge</w:t>
      </w:r>
      <w:r w:rsidR="00F66350" w:rsidRPr="008717CC">
        <w:rPr>
          <w:rFonts w:ascii="Arial" w:hAnsi="Arial" w:cs="Arial"/>
          <w:sz w:val="24"/>
          <w:szCs w:val="24"/>
        </w:rPr>
        <w:t>d</w:t>
      </w:r>
      <w:r w:rsidR="00802727" w:rsidRPr="00802727">
        <w:rPr>
          <w:rFonts w:ascii="Arial" w:hAnsi="Arial" w:cs="Arial"/>
          <w:sz w:val="24"/>
          <w:szCs w:val="24"/>
        </w:rPr>
        <w:t xml:space="preserve"> from intensified competitive rivalry,</w:t>
      </w:r>
      <w:r w:rsidR="00F66350" w:rsidRPr="008717CC">
        <w:rPr>
          <w:rFonts w:ascii="Arial" w:hAnsi="Arial" w:cs="Arial"/>
          <w:sz w:val="24"/>
          <w:szCs w:val="24"/>
        </w:rPr>
        <w:t xml:space="preserve"> result</w:t>
      </w:r>
      <w:r w:rsidR="0030729D" w:rsidRPr="008717CC">
        <w:rPr>
          <w:rFonts w:ascii="Arial" w:hAnsi="Arial" w:cs="Arial"/>
          <w:sz w:val="24"/>
          <w:szCs w:val="24"/>
        </w:rPr>
        <w:t xml:space="preserve"> on</w:t>
      </w:r>
      <w:r w:rsidR="00802727" w:rsidRPr="00802727">
        <w:rPr>
          <w:rFonts w:ascii="Arial" w:hAnsi="Arial" w:cs="Arial"/>
          <w:sz w:val="24"/>
          <w:szCs w:val="24"/>
        </w:rPr>
        <w:t xml:space="preserve"> the threat of new entrants, substitute technologies, shifting regulatory regimes, </w:t>
      </w:r>
      <w:r w:rsidR="001B3336" w:rsidRPr="008717CC">
        <w:rPr>
          <w:rFonts w:ascii="Arial" w:hAnsi="Arial" w:cs="Arial"/>
          <w:sz w:val="24"/>
          <w:szCs w:val="24"/>
        </w:rPr>
        <w:t>or</w:t>
      </w:r>
      <w:r w:rsidR="00802727" w:rsidRPr="00802727">
        <w:rPr>
          <w:rFonts w:ascii="Arial" w:hAnsi="Arial" w:cs="Arial"/>
          <w:sz w:val="24"/>
          <w:szCs w:val="24"/>
        </w:rPr>
        <w:t xml:space="preserve"> changing buyer power</w:t>
      </w:r>
      <w:r w:rsidR="001B3336" w:rsidRPr="008717CC">
        <w:rPr>
          <w:rFonts w:ascii="Arial" w:hAnsi="Arial" w:cs="Arial"/>
          <w:sz w:val="24"/>
          <w:szCs w:val="24"/>
        </w:rPr>
        <w:t>, etc.</w:t>
      </w:r>
    </w:p>
    <w:p w14:paraId="265DB1F3" w14:textId="3A9F79E7" w:rsidR="00802727" w:rsidRPr="00802727" w:rsidRDefault="00802727" w:rsidP="008717CC">
      <w:pPr>
        <w:spacing w:line="360" w:lineRule="auto"/>
        <w:rPr>
          <w:rFonts w:ascii="Arial" w:hAnsi="Arial" w:cs="Arial"/>
          <w:sz w:val="24"/>
          <w:szCs w:val="24"/>
        </w:rPr>
      </w:pPr>
      <w:r w:rsidRPr="00802727">
        <w:rPr>
          <w:rFonts w:ascii="Arial" w:hAnsi="Arial" w:cs="Arial"/>
          <w:sz w:val="24"/>
          <w:szCs w:val="24"/>
        </w:rPr>
        <w:t xml:space="preserve">In the case of Tesla and </w:t>
      </w:r>
      <w:r w:rsidR="003817D2">
        <w:rPr>
          <w:rFonts w:ascii="Arial" w:hAnsi="Arial" w:cs="Arial"/>
          <w:sz w:val="24"/>
          <w:szCs w:val="24"/>
        </w:rPr>
        <w:t>Ford Motor</w:t>
      </w:r>
      <w:r w:rsidRPr="00802727">
        <w:rPr>
          <w:rFonts w:ascii="Arial" w:hAnsi="Arial" w:cs="Arial"/>
          <w:sz w:val="24"/>
          <w:szCs w:val="24"/>
        </w:rPr>
        <w:t>, threats within the macro-environment may include tightening environmental regulations, volatility in global supply chains, rapid technological obsolescence, and escalating competition within the electric vehicle market. Such forces can diminish margins, increase operational costs, and challenge established market positions.</w:t>
      </w:r>
    </w:p>
    <w:p w14:paraId="16107BD0" w14:textId="77777777" w:rsidR="00CF25A4" w:rsidRDefault="00802727" w:rsidP="00CB3E18">
      <w:pPr>
        <w:spacing w:line="360" w:lineRule="auto"/>
        <w:rPr>
          <w:rFonts w:ascii="Arial" w:hAnsi="Arial" w:cs="Arial"/>
          <w:sz w:val="24"/>
          <w:szCs w:val="24"/>
        </w:rPr>
      </w:pPr>
      <w:r w:rsidRPr="00802727">
        <w:rPr>
          <w:rFonts w:ascii="Arial" w:hAnsi="Arial" w:cs="Arial"/>
          <w:sz w:val="24"/>
          <w:szCs w:val="24"/>
        </w:rPr>
        <w:t>Accordingly, analysing threats is critical to understanding how each firm formulates strategic responses</w:t>
      </w:r>
      <w:r w:rsidR="00AE71C8" w:rsidRPr="008717CC">
        <w:rPr>
          <w:rFonts w:ascii="Arial" w:hAnsi="Arial" w:cs="Arial"/>
          <w:sz w:val="24"/>
          <w:szCs w:val="24"/>
        </w:rPr>
        <w:t xml:space="preserve">, </w:t>
      </w:r>
      <w:r w:rsidRPr="00802727">
        <w:rPr>
          <w:rFonts w:ascii="Arial" w:hAnsi="Arial" w:cs="Arial"/>
          <w:sz w:val="24"/>
          <w:szCs w:val="24"/>
        </w:rPr>
        <w:t>whether through differentiation, cost leadership, diversification, or innovation</w:t>
      </w:r>
      <w:r w:rsidR="006653A1" w:rsidRPr="008717CC">
        <w:rPr>
          <w:rFonts w:ascii="Arial" w:hAnsi="Arial" w:cs="Arial"/>
          <w:sz w:val="24"/>
          <w:szCs w:val="24"/>
        </w:rPr>
        <w:t xml:space="preserve">, </w:t>
      </w:r>
      <w:r w:rsidR="00E70F64" w:rsidRPr="008717CC">
        <w:rPr>
          <w:rFonts w:ascii="Arial" w:hAnsi="Arial" w:cs="Arial"/>
          <w:sz w:val="24"/>
          <w:szCs w:val="24"/>
        </w:rPr>
        <w:t>to</w:t>
      </w:r>
      <w:r w:rsidRPr="00802727">
        <w:rPr>
          <w:rFonts w:ascii="Arial" w:hAnsi="Arial" w:cs="Arial"/>
          <w:sz w:val="24"/>
          <w:szCs w:val="24"/>
        </w:rPr>
        <w:t xml:space="preserve"> mitigate external risk and sustain competitive advantage </w:t>
      </w:r>
      <w:r w:rsidR="006653A1" w:rsidRPr="008717CC">
        <w:rPr>
          <w:rFonts w:ascii="Arial" w:hAnsi="Arial" w:cs="Arial"/>
          <w:sz w:val="24"/>
          <w:szCs w:val="24"/>
        </w:rPr>
        <w:t>that</w:t>
      </w:r>
      <w:r w:rsidR="002A4254" w:rsidRPr="008717CC">
        <w:rPr>
          <w:rFonts w:ascii="Arial" w:hAnsi="Arial" w:cs="Arial"/>
          <w:sz w:val="24"/>
          <w:szCs w:val="24"/>
        </w:rPr>
        <w:t xml:space="preserve"> </w:t>
      </w:r>
      <w:r w:rsidRPr="00802727">
        <w:rPr>
          <w:rFonts w:ascii="Arial" w:hAnsi="Arial" w:cs="Arial"/>
          <w:sz w:val="24"/>
          <w:szCs w:val="24"/>
        </w:rPr>
        <w:t xml:space="preserve">Porter </w:t>
      </w:r>
      <w:r w:rsidR="002A4254" w:rsidRPr="008717CC">
        <w:rPr>
          <w:rFonts w:ascii="Arial" w:hAnsi="Arial" w:cs="Arial"/>
          <w:sz w:val="24"/>
          <w:szCs w:val="24"/>
        </w:rPr>
        <w:t>(</w:t>
      </w:r>
      <w:r w:rsidRPr="00802727">
        <w:rPr>
          <w:rFonts w:ascii="Arial" w:hAnsi="Arial" w:cs="Arial"/>
          <w:sz w:val="24"/>
          <w:szCs w:val="24"/>
        </w:rPr>
        <w:t>1980</w:t>
      </w:r>
      <w:r w:rsidR="002A4254" w:rsidRPr="008717CC">
        <w:rPr>
          <w:rFonts w:ascii="Arial" w:hAnsi="Arial" w:cs="Arial"/>
          <w:sz w:val="24"/>
          <w:szCs w:val="24"/>
        </w:rPr>
        <w:t>) and</w:t>
      </w:r>
      <w:r w:rsidRPr="00802727">
        <w:rPr>
          <w:rFonts w:ascii="Arial" w:hAnsi="Arial" w:cs="Arial"/>
          <w:sz w:val="24"/>
          <w:szCs w:val="24"/>
        </w:rPr>
        <w:t xml:space="preserve"> Ansoff </w:t>
      </w:r>
      <w:r w:rsidR="00322E0F" w:rsidRPr="008717CC">
        <w:rPr>
          <w:rFonts w:ascii="Arial" w:hAnsi="Arial" w:cs="Arial"/>
          <w:sz w:val="24"/>
          <w:szCs w:val="24"/>
        </w:rPr>
        <w:t>(</w:t>
      </w:r>
      <w:r w:rsidRPr="00802727">
        <w:rPr>
          <w:rFonts w:ascii="Arial" w:hAnsi="Arial" w:cs="Arial"/>
          <w:sz w:val="24"/>
          <w:szCs w:val="24"/>
        </w:rPr>
        <w:t>1957)</w:t>
      </w:r>
      <w:r w:rsidR="00322E0F" w:rsidRPr="008717CC">
        <w:rPr>
          <w:rFonts w:ascii="Arial" w:hAnsi="Arial" w:cs="Arial"/>
          <w:sz w:val="24"/>
          <w:szCs w:val="24"/>
        </w:rPr>
        <w:t xml:space="preserve"> are arguing </w:t>
      </w:r>
      <w:r w:rsidR="00885983" w:rsidRPr="008717CC">
        <w:rPr>
          <w:rFonts w:ascii="Arial" w:hAnsi="Arial" w:cs="Arial"/>
          <w:sz w:val="24"/>
          <w:szCs w:val="24"/>
        </w:rPr>
        <w:t>about.</w:t>
      </w:r>
    </w:p>
    <w:p w14:paraId="762F12F1" w14:textId="12523801" w:rsidR="00CB3E18" w:rsidRPr="00CB3E18" w:rsidRDefault="00AA73B9" w:rsidP="00CB3E18">
      <w:pPr>
        <w:spacing w:line="360" w:lineRule="auto"/>
        <w:rPr>
          <w:rFonts w:ascii="Arial" w:hAnsi="Arial" w:cs="Arial"/>
          <w:sz w:val="24"/>
          <w:szCs w:val="24"/>
        </w:rPr>
      </w:pPr>
      <w:r w:rsidRPr="006C29BB">
        <w:rPr>
          <w:rFonts w:ascii="Arial" w:hAnsi="Arial" w:cs="Arial"/>
          <w:sz w:val="24"/>
          <w:szCs w:val="24"/>
        </w:rPr>
        <w:lastRenderedPageBreak/>
        <w:t xml:space="preserve">External macro-environmental forces play a decisive role in shaping how Tesla and </w:t>
      </w:r>
      <w:r w:rsidR="003817D2">
        <w:rPr>
          <w:rFonts w:ascii="Arial" w:hAnsi="Arial" w:cs="Arial"/>
          <w:sz w:val="24"/>
          <w:szCs w:val="24"/>
        </w:rPr>
        <w:t>Ford Motor</w:t>
      </w:r>
      <w:r w:rsidRPr="006C29BB">
        <w:rPr>
          <w:rFonts w:ascii="Arial" w:hAnsi="Arial" w:cs="Arial"/>
          <w:sz w:val="24"/>
          <w:szCs w:val="24"/>
        </w:rPr>
        <w:t xml:space="preserve"> establish, defend, and reposition their competitive advantage within the electric vehicle (EV) market. Consistent with industry structure theory (Porter, 1980) and market-led strategy perspectives (Hooley </w:t>
      </w:r>
      <w:r w:rsidRPr="006C29BB">
        <w:rPr>
          <w:rFonts w:ascii="Arial" w:hAnsi="Arial" w:cs="Arial"/>
          <w:i/>
          <w:iCs/>
          <w:sz w:val="24"/>
          <w:szCs w:val="24"/>
        </w:rPr>
        <w:t>et al.</w:t>
      </w:r>
      <w:r w:rsidRPr="006C29BB">
        <w:rPr>
          <w:rFonts w:ascii="Arial" w:hAnsi="Arial" w:cs="Arial"/>
          <w:sz w:val="24"/>
          <w:szCs w:val="24"/>
        </w:rPr>
        <w:t>, 2024), these forces influence both strategic positioning and long-term profitability.</w:t>
      </w:r>
    </w:p>
    <w:p w14:paraId="2B18784E" w14:textId="062C7396" w:rsidR="00AA73B9" w:rsidRPr="006C29BB" w:rsidRDefault="00CB3E18" w:rsidP="008717CC">
      <w:pPr>
        <w:spacing w:line="360" w:lineRule="auto"/>
        <w:rPr>
          <w:rFonts w:ascii="Arial" w:hAnsi="Arial" w:cs="Arial"/>
          <w:sz w:val="24"/>
          <w:szCs w:val="24"/>
        </w:rPr>
      </w:pPr>
      <w:r w:rsidRPr="00CB3E18">
        <w:rPr>
          <w:rFonts w:ascii="Arial" w:hAnsi="Arial" w:cs="Arial"/>
          <w:sz w:val="24"/>
          <w:szCs w:val="24"/>
        </w:rPr>
        <w:t>Global EV adoption continues to accelerate, with record sales and expanding government electrification targets worldwide (IEA, 2023), reinforcing the structural transformation of the automotive sector.</w:t>
      </w:r>
      <w:r w:rsidR="00AA73B9" w:rsidRPr="006C29BB">
        <w:rPr>
          <w:rFonts w:ascii="Arial" w:hAnsi="Arial" w:cs="Arial"/>
          <w:sz w:val="24"/>
          <w:szCs w:val="24"/>
        </w:rPr>
        <w:br/>
      </w:r>
      <w:r w:rsidR="00AA73B9" w:rsidRPr="008717CC">
        <w:rPr>
          <w:rFonts w:ascii="Arial" w:hAnsi="Arial" w:cs="Arial"/>
          <w:sz w:val="24"/>
          <w:szCs w:val="24"/>
        </w:rPr>
        <w:t xml:space="preserve">In general, counties where are implemented Tesla and </w:t>
      </w:r>
      <w:r w:rsidR="003817D2">
        <w:rPr>
          <w:rFonts w:ascii="Arial" w:hAnsi="Arial" w:cs="Arial"/>
          <w:sz w:val="24"/>
          <w:szCs w:val="24"/>
        </w:rPr>
        <w:t>Ford Motor</w:t>
      </w:r>
      <w:r w:rsidR="00AA73B9" w:rsidRPr="008717CC">
        <w:rPr>
          <w:rFonts w:ascii="Arial" w:hAnsi="Arial" w:cs="Arial"/>
          <w:sz w:val="24"/>
          <w:szCs w:val="24"/>
        </w:rPr>
        <w:t>, s</w:t>
      </w:r>
      <w:r w:rsidR="00AA73B9" w:rsidRPr="006C29BB">
        <w:rPr>
          <w:rFonts w:ascii="Arial" w:hAnsi="Arial" w:cs="Arial"/>
          <w:sz w:val="24"/>
          <w:szCs w:val="24"/>
        </w:rPr>
        <w:t>tricter emissions regulations and government incentives for EV adoption reshape market attractiveness and competitive intensity</w:t>
      </w:r>
      <w:r w:rsidR="00AA73B9" w:rsidRPr="008717CC">
        <w:rPr>
          <w:rFonts w:ascii="Arial" w:hAnsi="Arial" w:cs="Arial"/>
          <w:sz w:val="24"/>
          <w:szCs w:val="24"/>
        </w:rPr>
        <w:t>, are in sustainable applicability. When</w:t>
      </w:r>
      <w:r w:rsidR="00AA73B9" w:rsidRPr="006C29BB">
        <w:rPr>
          <w:rFonts w:ascii="Arial" w:hAnsi="Arial" w:cs="Arial"/>
          <w:sz w:val="24"/>
          <w:szCs w:val="24"/>
        </w:rPr>
        <w:t xml:space="preserve"> Tesla’s early strategic alignment with sustainability policy strengthens its differentiation-based positioning</w:t>
      </w:r>
      <w:r w:rsidR="00AA73B9" w:rsidRPr="008717CC">
        <w:rPr>
          <w:rFonts w:ascii="Arial" w:hAnsi="Arial" w:cs="Arial"/>
          <w:sz w:val="24"/>
          <w:szCs w:val="24"/>
        </w:rPr>
        <w:t>,</w:t>
      </w:r>
      <w:r w:rsidR="00AA73B9" w:rsidRPr="006C29BB">
        <w:rPr>
          <w:rFonts w:ascii="Arial" w:hAnsi="Arial" w:cs="Arial"/>
          <w:sz w:val="24"/>
          <w:szCs w:val="24"/>
        </w:rPr>
        <w:t xml:space="preserve"> </w:t>
      </w:r>
      <w:r w:rsidR="003817D2">
        <w:rPr>
          <w:rFonts w:ascii="Arial" w:hAnsi="Arial" w:cs="Arial"/>
          <w:sz w:val="24"/>
          <w:szCs w:val="24"/>
        </w:rPr>
        <w:t>Ford Motor</w:t>
      </w:r>
      <w:r w:rsidR="00AA73B9" w:rsidRPr="006C29BB">
        <w:rPr>
          <w:rFonts w:ascii="Arial" w:hAnsi="Arial" w:cs="Arial"/>
          <w:sz w:val="24"/>
          <w:szCs w:val="24"/>
        </w:rPr>
        <w:t xml:space="preserve">, by contrast, </w:t>
      </w:r>
      <w:r w:rsidR="00AA73B9" w:rsidRPr="008717CC">
        <w:rPr>
          <w:rFonts w:ascii="Arial" w:hAnsi="Arial" w:cs="Arial"/>
          <w:sz w:val="24"/>
          <w:szCs w:val="24"/>
        </w:rPr>
        <w:t>are</w:t>
      </w:r>
      <w:r w:rsidR="00AA73B9" w:rsidRPr="006C29BB">
        <w:rPr>
          <w:rFonts w:ascii="Arial" w:hAnsi="Arial" w:cs="Arial"/>
          <w:sz w:val="24"/>
          <w:szCs w:val="24"/>
        </w:rPr>
        <w:t xml:space="preserve"> </w:t>
      </w:r>
      <w:r w:rsidR="00AA73B9" w:rsidRPr="008717CC">
        <w:rPr>
          <w:rFonts w:ascii="Arial" w:hAnsi="Arial" w:cs="Arial"/>
          <w:sz w:val="24"/>
          <w:szCs w:val="24"/>
        </w:rPr>
        <w:t xml:space="preserve">in </w:t>
      </w:r>
      <w:r w:rsidR="00AA73B9" w:rsidRPr="006C29BB">
        <w:rPr>
          <w:rFonts w:ascii="Arial" w:hAnsi="Arial" w:cs="Arial"/>
          <w:sz w:val="24"/>
          <w:szCs w:val="24"/>
        </w:rPr>
        <w:t>accelerat</w:t>
      </w:r>
      <w:r w:rsidR="00AA73B9" w:rsidRPr="008717CC">
        <w:rPr>
          <w:rFonts w:ascii="Arial" w:hAnsi="Arial" w:cs="Arial"/>
          <w:sz w:val="24"/>
          <w:szCs w:val="24"/>
        </w:rPr>
        <w:t>ing</w:t>
      </w:r>
      <w:r w:rsidR="00AA73B9" w:rsidRPr="006C29BB">
        <w:rPr>
          <w:rFonts w:ascii="Arial" w:hAnsi="Arial" w:cs="Arial"/>
          <w:sz w:val="24"/>
          <w:szCs w:val="24"/>
        </w:rPr>
        <w:t xml:space="preserve"> portfolio transformation to remain compliant and competitive, reallocating capital toward EV production. As Hooley </w:t>
      </w:r>
      <w:r w:rsidR="00AA73B9" w:rsidRPr="006C29BB">
        <w:rPr>
          <w:rFonts w:ascii="Arial" w:hAnsi="Arial" w:cs="Arial"/>
          <w:i/>
          <w:iCs/>
          <w:sz w:val="24"/>
          <w:szCs w:val="24"/>
        </w:rPr>
        <w:t>et al.</w:t>
      </w:r>
      <w:r w:rsidR="00AA73B9" w:rsidRPr="006C29BB">
        <w:rPr>
          <w:rFonts w:ascii="Arial" w:hAnsi="Arial" w:cs="Arial"/>
          <w:sz w:val="24"/>
          <w:szCs w:val="24"/>
        </w:rPr>
        <w:t xml:space="preserve"> (2024) argue, effective positioning depends on aligning organisational capabilities with evolving market conditions.</w:t>
      </w:r>
    </w:p>
    <w:p w14:paraId="64CC1BF4" w14:textId="2754D5AE" w:rsidR="00AA73B9" w:rsidRPr="006C29BB" w:rsidRDefault="00AA73B9" w:rsidP="008717CC">
      <w:pPr>
        <w:spacing w:line="360" w:lineRule="auto"/>
        <w:rPr>
          <w:rFonts w:ascii="Arial" w:hAnsi="Arial" w:cs="Arial"/>
          <w:sz w:val="24"/>
          <w:szCs w:val="24"/>
        </w:rPr>
      </w:pPr>
      <w:r w:rsidRPr="008717CC">
        <w:rPr>
          <w:rFonts w:ascii="Arial" w:hAnsi="Arial" w:cs="Arial"/>
          <w:sz w:val="24"/>
          <w:szCs w:val="24"/>
        </w:rPr>
        <w:t>In the context of t</w:t>
      </w:r>
      <w:r w:rsidRPr="006C29BB">
        <w:rPr>
          <w:rFonts w:ascii="Arial" w:hAnsi="Arial" w:cs="Arial"/>
          <w:sz w:val="24"/>
          <w:szCs w:val="24"/>
        </w:rPr>
        <w:t>echnological Disruption</w:t>
      </w:r>
      <w:r w:rsidRPr="008717CC">
        <w:rPr>
          <w:rFonts w:ascii="Arial" w:hAnsi="Arial" w:cs="Arial"/>
          <w:sz w:val="24"/>
          <w:szCs w:val="24"/>
        </w:rPr>
        <w:t>, r</w:t>
      </w:r>
      <w:r w:rsidRPr="006C29BB">
        <w:rPr>
          <w:rFonts w:ascii="Arial" w:hAnsi="Arial" w:cs="Arial"/>
          <w:sz w:val="24"/>
          <w:szCs w:val="24"/>
        </w:rPr>
        <w:t xml:space="preserve">apid advances in battery systems, software integration, and autonomous technologies intensify innovation-based </w:t>
      </w:r>
      <w:r w:rsidRPr="008717CC">
        <w:rPr>
          <w:rFonts w:ascii="Arial" w:hAnsi="Arial" w:cs="Arial"/>
          <w:sz w:val="24"/>
          <w:szCs w:val="24"/>
        </w:rPr>
        <w:t xml:space="preserve">are in </w:t>
      </w:r>
      <w:r w:rsidRPr="006C29BB">
        <w:rPr>
          <w:rFonts w:ascii="Arial" w:hAnsi="Arial" w:cs="Arial"/>
          <w:sz w:val="24"/>
          <w:szCs w:val="24"/>
        </w:rPr>
        <w:t>competition. Tesla</w:t>
      </w:r>
      <w:r w:rsidRPr="008717CC">
        <w:rPr>
          <w:rFonts w:ascii="Arial" w:hAnsi="Arial" w:cs="Arial"/>
          <w:sz w:val="24"/>
          <w:szCs w:val="24"/>
        </w:rPr>
        <w:t xml:space="preserve"> in</w:t>
      </w:r>
      <w:r w:rsidRPr="006C29BB">
        <w:rPr>
          <w:rFonts w:ascii="Arial" w:hAnsi="Arial" w:cs="Arial"/>
          <w:sz w:val="24"/>
          <w:szCs w:val="24"/>
        </w:rPr>
        <w:t xml:space="preserve"> leverag</w:t>
      </w:r>
      <w:r w:rsidRPr="008717CC">
        <w:rPr>
          <w:rFonts w:ascii="Arial" w:hAnsi="Arial" w:cs="Arial"/>
          <w:sz w:val="24"/>
          <w:szCs w:val="24"/>
        </w:rPr>
        <w:t>ing</w:t>
      </w:r>
      <w:r w:rsidRPr="006C29BB">
        <w:rPr>
          <w:rFonts w:ascii="Arial" w:hAnsi="Arial" w:cs="Arial"/>
          <w:sz w:val="24"/>
          <w:szCs w:val="24"/>
        </w:rPr>
        <w:t xml:space="preserve"> technological leadership to reinforce perceived superior value, consistent with differentiation strategy (Porter, 1980)</w:t>
      </w:r>
      <w:r w:rsidRPr="008717CC">
        <w:rPr>
          <w:rFonts w:ascii="Arial" w:hAnsi="Arial" w:cs="Arial"/>
          <w:sz w:val="24"/>
          <w:szCs w:val="24"/>
        </w:rPr>
        <w:t>;</w:t>
      </w:r>
      <w:r w:rsidRPr="006C29BB">
        <w:rPr>
          <w:rFonts w:ascii="Arial" w:hAnsi="Arial" w:cs="Arial"/>
          <w:sz w:val="24"/>
          <w:szCs w:val="24"/>
        </w:rPr>
        <w:t xml:space="preserve"> </w:t>
      </w:r>
      <w:r w:rsidR="003817D2">
        <w:rPr>
          <w:rFonts w:ascii="Arial" w:hAnsi="Arial" w:cs="Arial"/>
          <w:sz w:val="24"/>
          <w:szCs w:val="24"/>
        </w:rPr>
        <w:t>Ford Motor</w:t>
      </w:r>
      <w:r w:rsidRPr="006C29BB">
        <w:rPr>
          <w:rFonts w:ascii="Arial" w:hAnsi="Arial" w:cs="Arial"/>
          <w:sz w:val="24"/>
          <w:szCs w:val="24"/>
        </w:rPr>
        <w:t xml:space="preserve">’s competitive </w:t>
      </w:r>
      <w:r w:rsidRPr="008717CC">
        <w:rPr>
          <w:rFonts w:ascii="Arial" w:hAnsi="Arial" w:cs="Arial"/>
          <w:sz w:val="24"/>
          <w:szCs w:val="24"/>
        </w:rPr>
        <w:t>position, moreover,</w:t>
      </w:r>
      <w:r w:rsidRPr="006C29BB">
        <w:rPr>
          <w:rFonts w:ascii="Arial" w:hAnsi="Arial" w:cs="Arial"/>
          <w:sz w:val="24"/>
          <w:szCs w:val="24"/>
        </w:rPr>
        <w:t xml:space="preserve"> depends on closing innovation gaps through strategic alliances and capability development, reflecting adaptive market orientation (Hooley </w:t>
      </w:r>
      <w:r w:rsidRPr="006C29BB">
        <w:rPr>
          <w:rFonts w:ascii="Arial" w:hAnsi="Arial" w:cs="Arial"/>
          <w:i/>
          <w:iCs/>
          <w:sz w:val="24"/>
          <w:szCs w:val="24"/>
        </w:rPr>
        <w:t>et al.</w:t>
      </w:r>
      <w:r w:rsidRPr="006C29BB">
        <w:rPr>
          <w:rFonts w:ascii="Arial" w:hAnsi="Arial" w:cs="Arial"/>
          <w:sz w:val="24"/>
          <w:szCs w:val="24"/>
        </w:rPr>
        <w:t>, 2024).</w:t>
      </w:r>
    </w:p>
    <w:p w14:paraId="40094917" w14:textId="2AFE3443" w:rsidR="007779C4" w:rsidRPr="008717CC" w:rsidRDefault="00AA73B9" w:rsidP="008717CC">
      <w:pPr>
        <w:spacing w:line="360" w:lineRule="auto"/>
        <w:rPr>
          <w:rFonts w:ascii="Arial" w:hAnsi="Arial" w:cs="Arial"/>
          <w:sz w:val="24"/>
          <w:szCs w:val="24"/>
        </w:rPr>
      </w:pPr>
      <w:r w:rsidRPr="006C29BB">
        <w:rPr>
          <w:rFonts w:ascii="Arial" w:hAnsi="Arial" w:cs="Arial"/>
          <w:sz w:val="24"/>
          <w:szCs w:val="24"/>
        </w:rPr>
        <w:t xml:space="preserve">Overall, macro-environmental forces redefine competitive space and compel strategic repositioning. While Tesla consolidates advantage through innovation-led differentiation, </w:t>
      </w:r>
      <w:r w:rsidR="003817D2">
        <w:rPr>
          <w:rFonts w:ascii="Arial" w:hAnsi="Arial" w:cs="Arial"/>
          <w:sz w:val="24"/>
          <w:szCs w:val="24"/>
        </w:rPr>
        <w:t>Ford Motor</w:t>
      </w:r>
      <w:r w:rsidRPr="006C29BB">
        <w:rPr>
          <w:rFonts w:ascii="Arial" w:hAnsi="Arial" w:cs="Arial"/>
          <w:sz w:val="24"/>
          <w:szCs w:val="24"/>
        </w:rPr>
        <w:t xml:space="preserve">’s competitive sustainability depends on strategic renewal and market-focused capability alignment (Porter, 1980; Hooley </w:t>
      </w:r>
      <w:r w:rsidRPr="006C29BB">
        <w:rPr>
          <w:rFonts w:ascii="Arial" w:hAnsi="Arial" w:cs="Arial"/>
          <w:i/>
          <w:iCs/>
          <w:sz w:val="24"/>
          <w:szCs w:val="24"/>
        </w:rPr>
        <w:t>et al.</w:t>
      </w:r>
      <w:r w:rsidRPr="006C29BB">
        <w:rPr>
          <w:rFonts w:ascii="Arial" w:hAnsi="Arial" w:cs="Arial"/>
          <w:sz w:val="24"/>
          <w:szCs w:val="24"/>
        </w:rPr>
        <w:t>, 2024)</w:t>
      </w:r>
    </w:p>
    <w:p w14:paraId="6E0EAC1C" w14:textId="0F35010C" w:rsidR="003B55CB" w:rsidRDefault="00EA0122" w:rsidP="008717CC">
      <w:pPr>
        <w:spacing w:line="360" w:lineRule="auto"/>
        <w:rPr>
          <w:rFonts w:ascii="Arial" w:hAnsi="Arial" w:cs="Arial"/>
          <w:sz w:val="24"/>
          <w:szCs w:val="24"/>
        </w:rPr>
      </w:pPr>
      <w:r w:rsidRPr="006C29BB">
        <w:rPr>
          <w:rFonts w:ascii="Arial" w:hAnsi="Arial" w:cs="Arial"/>
          <w:sz w:val="24"/>
          <w:szCs w:val="24"/>
        </w:rPr>
        <w:t>External macro-environmental forces</w:t>
      </w:r>
      <w:r w:rsidR="003E195C" w:rsidRPr="008717CC">
        <w:rPr>
          <w:rFonts w:ascii="Arial" w:hAnsi="Arial" w:cs="Arial"/>
          <w:sz w:val="24"/>
          <w:szCs w:val="24"/>
        </w:rPr>
        <w:t xml:space="preserve"> </w:t>
      </w:r>
      <w:r w:rsidR="00846CA2" w:rsidRPr="008717CC">
        <w:rPr>
          <w:rFonts w:ascii="Arial" w:hAnsi="Arial" w:cs="Arial"/>
          <w:sz w:val="24"/>
          <w:szCs w:val="24"/>
        </w:rPr>
        <w:t>also</w:t>
      </w:r>
      <w:r w:rsidRPr="006C29BB">
        <w:rPr>
          <w:rFonts w:ascii="Arial" w:hAnsi="Arial" w:cs="Arial"/>
          <w:sz w:val="24"/>
          <w:szCs w:val="24"/>
        </w:rPr>
        <w:t xml:space="preserve"> play a decisive role in shaping how Tesla and </w:t>
      </w:r>
      <w:r w:rsidR="003817D2">
        <w:rPr>
          <w:rFonts w:ascii="Arial" w:hAnsi="Arial" w:cs="Arial"/>
          <w:sz w:val="24"/>
          <w:szCs w:val="24"/>
        </w:rPr>
        <w:t>Ford Motor</w:t>
      </w:r>
      <w:r w:rsidRPr="006C29BB">
        <w:rPr>
          <w:rFonts w:ascii="Arial" w:hAnsi="Arial" w:cs="Arial"/>
          <w:sz w:val="24"/>
          <w:szCs w:val="24"/>
        </w:rPr>
        <w:t xml:space="preserve"> establish, defend, and reposition their competitive advantage within the electric vehicle market</w:t>
      </w:r>
      <w:r w:rsidR="00F5299D" w:rsidRPr="008717CC">
        <w:rPr>
          <w:rFonts w:ascii="Arial" w:hAnsi="Arial" w:cs="Arial"/>
          <w:sz w:val="24"/>
          <w:szCs w:val="24"/>
        </w:rPr>
        <w:t>, c</w:t>
      </w:r>
      <w:r w:rsidRPr="006C29BB">
        <w:rPr>
          <w:rFonts w:ascii="Arial" w:hAnsi="Arial" w:cs="Arial"/>
          <w:sz w:val="24"/>
          <w:szCs w:val="24"/>
        </w:rPr>
        <w:t>onsistent</w:t>
      </w:r>
      <w:r w:rsidR="00641769" w:rsidRPr="008717CC">
        <w:rPr>
          <w:rFonts w:ascii="Arial" w:hAnsi="Arial" w:cs="Arial"/>
          <w:sz w:val="24"/>
          <w:szCs w:val="24"/>
        </w:rPr>
        <w:t xml:space="preserve"> in fact</w:t>
      </w:r>
      <w:r w:rsidRPr="006C29BB">
        <w:rPr>
          <w:rFonts w:ascii="Arial" w:hAnsi="Arial" w:cs="Arial"/>
          <w:sz w:val="24"/>
          <w:szCs w:val="24"/>
        </w:rPr>
        <w:t xml:space="preserve"> with industry structure theory (Porter, 1980) and market-led strategy perspectives (Hooley </w:t>
      </w:r>
      <w:r w:rsidRPr="006C29BB">
        <w:rPr>
          <w:rFonts w:ascii="Arial" w:hAnsi="Arial" w:cs="Arial"/>
          <w:i/>
          <w:iCs/>
          <w:sz w:val="24"/>
          <w:szCs w:val="24"/>
        </w:rPr>
        <w:t>et al.</w:t>
      </w:r>
      <w:r w:rsidRPr="006C29BB">
        <w:rPr>
          <w:rFonts w:ascii="Arial" w:hAnsi="Arial" w:cs="Arial"/>
          <w:sz w:val="24"/>
          <w:szCs w:val="24"/>
        </w:rPr>
        <w:t>, 2024), these forces influence both strategic positioning and long-term profitability.</w:t>
      </w:r>
    </w:p>
    <w:p w14:paraId="15093F7A" w14:textId="22714271" w:rsidR="009F447A" w:rsidRPr="008717CC" w:rsidRDefault="009F447A" w:rsidP="008717CC">
      <w:pPr>
        <w:spacing w:line="360" w:lineRule="auto"/>
        <w:rPr>
          <w:rFonts w:ascii="Arial" w:hAnsi="Arial" w:cs="Arial"/>
          <w:sz w:val="24"/>
          <w:szCs w:val="24"/>
        </w:rPr>
      </w:pPr>
      <w:r w:rsidRPr="008717CC">
        <w:rPr>
          <w:rFonts w:ascii="Arial" w:hAnsi="Arial" w:cs="Arial"/>
          <w:sz w:val="24"/>
          <w:szCs w:val="24"/>
        </w:rPr>
        <w:lastRenderedPageBreak/>
        <w:t>CHAPTER 3: STRATEGIC RESPONSES AND COMPETITIVE SUSTAINABILITY</w:t>
      </w:r>
      <w:r w:rsidR="008B3494">
        <w:rPr>
          <w:rFonts w:ascii="Arial" w:hAnsi="Arial" w:cs="Arial"/>
          <w:sz w:val="24"/>
          <w:szCs w:val="24"/>
        </w:rPr>
        <w:t xml:space="preserve"> ANALYSIS</w:t>
      </w:r>
    </w:p>
    <w:p w14:paraId="70E8F322" w14:textId="77777777" w:rsidR="0015499D" w:rsidRPr="008717CC" w:rsidRDefault="0015499D" w:rsidP="008717CC">
      <w:pPr>
        <w:spacing w:line="360" w:lineRule="auto"/>
        <w:rPr>
          <w:rFonts w:ascii="Arial" w:hAnsi="Arial" w:cs="Arial"/>
          <w:sz w:val="24"/>
          <w:szCs w:val="24"/>
        </w:rPr>
      </w:pPr>
    </w:p>
    <w:p w14:paraId="1ED4D74E" w14:textId="030664D1" w:rsidR="009F447A" w:rsidRPr="00FC6EF6" w:rsidRDefault="009F447A" w:rsidP="008717CC">
      <w:pPr>
        <w:spacing w:line="360" w:lineRule="auto"/>
        <w:rPr>
          <w:rFonts w:ascii="Arial" w:hAnsi="Arial" w:cs="Arial"/>
          <w:sz w:val="24"/>
          <w:szCs w:val="24"/>
        </w:rPr>
      </w:pPr>
      <w:r w:rsidRPr="008717CC">
        <w:rPr>
          <w:rFonts w:ascii="Arial" w:hAnsi="Arial" w:cs="Arial"/>
          <w:sz w:val="24"/>
          <w:szCs w:val="24"/>
        </w:rPr>
        <w:t xml:space="preserve">To compare and evaluate the sustained growth of the pioneering and following organisational strategic responses implemented, in occurrence Tesla and </w:t>
      </w:r>
      <w:r w:rsidR="003817D2">
        <w:rPr>
          <w:rFonts w:ascii="Arial" w:hAnsi="Arial" w:cs="Arial"/>
          <w:sz w:val="24"/>
          <w:szCs w:val="24"/>
        </w:rPr>
        <w:t>Ford Motor</w:t>
      </w:r>
      <w:r w:rsidRPr="008717CC">
        <w:rPr>
          <w:rFonts w:ascii="Arial" w:hAnsi="Arial" w:cs="Arial"/>
          <w:sz w:val="24"/>
          <w:szCs w:val="24"/>
        </w:rPr>
        <w:t xml:space="preserve">. </w:t>
      </w:r>
      <w:r w:rsidRPr="00FC6EF6">
        <w:rPr>
          <w:rFonts w:ascii="Arial" w:hAnsi="Arial" w:cs="Arial"/>
          <w:sz w:val="24"/>
          <w:szCs w:val="24"/>
        </w:rPr>
        <w:t xml:space="preserve">This analysis integrates multiple strategic marketing frameworks to evaluate how Tesla and </w:t>
      </w:r>
      <w:r w:rsidR="003817D2">
        <w:rPr>
          <w:rFonts w:ascii="Arial" w:hAnsi="Arial" w:cs="Arial"/>
          <w:sz w:val="24"/>
          <w:szCs w:val="24"/>
        </w:rPr>
        <w:t>Ford Motor</w:t>
      </w:r>
      <w:r w:rsidRPr="00FC6EF6">
        <w:rPr>
          <w:rFonts w:ascii="Arial" w:hAnsi="Arial" w:cs="Arial"/>
          <w:sz w:val="24"/>
          <w:szCs w:val="24"/>
        </w:rPr>
        <w:t xml:space="preserve"> respond to macro-environmental pressures within the electric vehicle industry. Drawing on Michael E. Porter’s (1980, 1985) Generic Strategies and Five Forces framework, the study examines how competitive rivalry, supplier and buyer power, and barriers to entry shape strategic positioning and profitability. The risks associated with being “stuck in the middle,” where firms fail to achieve clear cost leadership or differentiation, further reinforce the importance of coherent strategic positioning (Sumpio, 2013).</w:t>
      </w:r>
    </w:p>
    <w:p w14:paraId="326B2DA9" w14:textId="77777777" w:rsidR="00553F68" w:rsidRPr="008717CC" w:rsidRDefault="009F447A" w:rsidP="008717CC">
      <w:pPr>
        <w:spacing w:line="360" w:lineRule="auto"/>
        <w:rPr>
          <w:rFonts w:ascii="Arial" w:hAnsi="Arial" w:cs="Arial"/>
          <w:sz w:val="24"/>
          <w:szCs w:val="24"/>
        </w:rPr>
      </w:pPr>
      <w:r w:rsidRPr="00FC6EF6">
        <w:rPr>
          <w:rFonts w:ascii="Arial" w:hAnsi="Arial" w:cs="Arial"/>
          <w:sz w:val="24"/>
          <w:szCs w:val="24"/>
        </w:rPr>
        <w:t xml:space="preserve">Igor Ansoff’s (1957) Growth Matrix complements this structural analysis by evaluating strategic growth directions, including market penetration and product development, particularly relevant in technology-driven markets. Additionally, the market-led strategy perspective advanced by Graham J. Hooley </w:t>
      </w:r>
      <w:r w:rsidRPr="00FC6EF6">
        <w:rPr>
          <w:rFonts w:ascii="Arial" w:hAnsi="Arial" w:cs="Arial"/>
          <w:i/>
          <w:iCs/>
          <w:sz w:val="24"/>
          <w:szCs w:val="24"/>
        </w:rPr>
        <w:t>et al.</w:t>
      </w:r>
      <w:r w:rsidRPr="00FC6EF6">
        <w:rPr>
          <w:rFonts w:ascii="Arial" w:hAnsi="Arial" w:cs="Arial"/>
          <w:sz w:val="24"/>
          <w:szCs w:val="24"/>
        </w:rPr>
        <w:t xml:space="preserve"> (2024) links external environmental forces to internal capability alignment and customer value creation. Collectively, these frameworks provide a coherent and multidimensional basis for assessing strategic adaptation, competitive positioning, and sustainable advantage.</w:t>
      </w:r>
    </w:p>
    <w:p w14:paraId="5626B9FA" w14:textId="076B1758" w:rsidR="009F447A" w:rsidRPr="008717CC" w:rsidRDefault="00553F68" w:rsidP="008717CC">
      <w:pPr>
        <w:spacing w:line="360" w:lineRule="auto"/>
        <w:rPr>
          <w:rFonts w:ascii="Arial" w:hAnsi="Arial" w:cs="Arial"/>
          <w:sz w:val="24"/>
          <w:szCs w:val="24"/>
        </w:rPr>
      </w:pPr>
      <w:r w:rsidRPr="008717CC">
        <w:rPr>
          <w:rFonts w:ascii="Arial" w:hAnsi="Arial" w:cs="Arial"/>
          <w:sz w:val="24"/>
          <w:szCs w:val="24"/>
        </w:rPr>
        <w:t xml:space="preserve">3.1 </w:t>
      </w:r>
      <w:r w:rsidR="009F447A" w:rsidRPr="008717CC">
        <w:rPr>
          <w:rFonts w:ascii="Arial" w:hAnsi="Arial" w:cs="Arial"/>
          <w:sz w:val="24"/>
          <w:szCs w:val="24"/>
        </w:rPr>
        <w:t>Porter’s Generic Strategies Framework</w:t>
      </w:r>
    </w:p>
    <w:p w14:paraId="73B4A6AC" w14:textId="34F5EA02" w:rsidR="00601C67" w:rsidRDefault="00D57A1D" w:rsidP="0073028E">
      <w:pPr>
        <w:spacing w:line="360" w:lineRule="auto"/>
        <w:rPr>
          <w:rFonts w:ascii="Arial" w:hAnsi="Arial" w:cs="Arial"/>
          <w:sz w:val="24"/>
          <w:szCs w:val="24"/>
        </w:rPr>
      </w:pPr>
      <w:r w:rsidRPr="00FC7F05">
        <w:rPr>
          <w:rFonts w:ascii="Arial" w:hAnsi="Arial" w:cs="Arial"/>
          <w:sz w:val="24"/>
          <w:szCs w:val="24"/>
        </w:rPr>
        <w:t>Developed by Michael E. Porter (1980, 1985), this framework</w:t>
      </w:r>
      <w:r w:rsidR="00324945" w:rsidRPr="008717CC">
        <w:rPr>
          <w:rFonts w:ascii="Arial" w:hAnsi="Arial" w:cs="Arial"/>
          <w:sz w:val="24"/>
          <w:szCs w:val="24"/>
        </w:rPr>
        <w:t xml:space="preserve"> </w:t>
      </w:r>
      <w:r w:rsidR="00324945" w:rsidRPr="00FC7F05">
        <w:rPr>
          <w:rFonts w:ascii="Arial" w:hAnsi="Arial" w:cs="Arial"/>
          <w:sz w:val="24"/>
          <w:szCs w:val="24"/>
        </w:rPr>
        <w:t xml:space="preserve">explains </w:t>
      </w:r>
      <w:r w:rsidR="00324945" w:rsidRPr="00FC7F05">
        <w:rPr>
          <w:rFonts w:ascii="Arial" w:hAnsi="Arial" w:cs="Arial"/>
          <w:i/>
          <w:iCs/>
          <w:sz w:val="24"/>
          <w:szCs w:val="24"/>
        </w:rPr>
        <w:t>how</w:t>
      </w:r>
      <w:r w:rsidR="00324945" w:rsidRPr="00FC7F05">
        <w:rPr>
          <w:rFonts w:ascii="Arial" w:hAnsi="Arial" w:cs="Arial"/>
          <w:sz w:val="24"/>
          <w:szCs w:val="24"/>
        </w:rPr>
        <w:t xml:space="preserve"> each company competes within industry </w:t>
      </w:r>
      <w:r w:rsidR="002552F6" w:rsidRPr="008717CC">
        <w:rPr>
          <w:rFonts w:ascii="Arial" w:hAnsi="Arial" w:cs="Arial"/>
          <w:sz w:val="24"/>
          <w:szCs w:val="24"/>
        </w:rPr>
        <w:t>structure and</w:t>
      </w:r>
      <w:r w:rsidRPr="00FC7F05">
        <w:rPr>
          <w:rFonts w:ascii="Arial" w:hAnsi="Arial" w:cs="Arial"/>
          <w:sz w:val="24"/>
          <w:szCs w:val="24"/>
        </w:rPr>
        <w:t xml:space="preserve"> assesses how </w:t>
      </w:r>
      <w:r w:rsidR="002552F6" w:rsidRPr="008717CC">
        <w:rPr>
          <w:rFonts w:ascii="Arial" w:hAnsi="Arial" w:cs="Arial"/>
          <w:sz w:val="24"/>
          <w:szCs w:val="24"/>
        </w:rPr>
        <w:t>they are</w:t>
      </w:r>
      <w:r w:rsidRPr="00FC7F05">
        <w:rPr>
          <w:rFonts w:ascii="Arial" w:hAnsi="Arial" w:cs="Arial"/>
          <w:sz w:val="24"/>
          <w:szCs w:val="24"/>
        </w:rPr>
        <w:t xml:space="preserve"> achiev</w:t>
      </w:r>
      <w:r w:rsidR="002552F6" w:rsidRPr="008717CC">
        <w:rPr>
          <w:rFonts w:ascii="Arial" w:hAnsi="Arial" w:cs="Arial"/>
          <w:sz w:val="24"/>
          <w:szCs w:val="24"/>
        </w:rPr>
        <w:t>ing</w:t>
      </w:r>
      <w:r w:rsidRPr="00FC7F05">
        <w:rPr>
          <w:rFonts w:ascii="Arial" w:hAnsi="Arial" w:cs="Arial"/>
          <w:sz w:val="24"/>
          <w:szCs w:val="24"/>
        </w:rPr>
        <w:t xml:space="preserve"> competitive advantage through</w:t>
      </w:r>
      <w:r w:rsidR="00D35A6D" w:rsidRPr="008717CC">
        <w:rPr>
          <w:rFonts w:ascii="Arial" w:hAnsi="Arial" w:cs="Arial"/>
          <w:sz w:val="24"/>
          <w:szCs w:val="24"/>
        </w:rPr>
        <w:t xml:space="preserve"> </w:t>
      </w:r>
      <w:r w:rsidR="00D35A6D" w:rsidRPr="00FC7F05">
        <w:rPr>
          <w:rFonts w:ascii="Arial" w:hAnsi="Arial" w:cs="Arial"/>
          <w:sz w:val="24"/>
          <w:szCs w:val="24"/>
        </w:rPr>
        <w:t>Cost Leadership</w:t>
      </w:r>
      <w:r w:rsidR="00091281" w:rsidRPr="008717CC">
        <w:rPr>
          <w:rFonts w:ascii="Arial" w:hAnsi="Arial" w:cs="Arial"/>
          <w:sz w:val="24"/>
          <w:szCs w:val="24"/>
        </w:rPr>
        <w:t xml:space="preserve">, </w:t>
      </w:r>
      <w:r w:rsidR="00D35A6D" w:rsidRPr="00FC7F05">
        <w:rPr>
          <w:rFonts w:ascii="Arial" w:hAnsi="Arial" w:cs="Arial"/>
          <w:sz w:val="24"/>
          <w:szCs w:val="24"/>
        </w:rPr>
        <w:t>Differentiation</w:t>
      </w:r>
      <w:r w:rsidR="00091281" w:rsidRPr="008717CC">
        <w:rPr>
          <w:rFonts w:ascii="Arial" w:hAnsi="Arial" w:cs="Arial"/>
          <w:sz w:val="24"/>
          <w:szCs w:val="24"/>
        </w:rPr>
        <w:t xml:space="preserve">, and </w:t>
      </w:r>
      <w:r w:rsidR="00D35A6D" w:rsidRPr="00FC7F05">
        <w:rPr>
          <w:rFonts w:ascii="Arial" w:hAnsi="Arial" w:cs="Arial"/>
          <w:sz w:val="24"/>
          <w:szCs w:val="24"/>
        </w:rPr>
        <w:t>Focus (Cost or Differentiation Focus)</w:t>
      </w:r>
      <w:r w:rsidR="00115DD6" w:rsidRPr="008717CC">
        <w:rPr>
          <w:rFonts w:ascii="Arial" w:hAnsi="Arial" w:cs="Arial"/>
          <w:sz w:val="24"/>
          <w:szCs w:val="24"/>
        </w:rPr>
        <w:t>. As Tesla</w:t>
      </w:r>
      <w:r w:rsidR="0007222F" w:rsidRPr="00FC7F05">
        <w:rPr>
          <w:rFonts w:ascii="Arial" w:hAnsi="Arial" w:cs="Arial"/>
          <w:sz w:val="24"/>
          <w:szCs w:val="24"/>
        </w:rPr>
        <w:t xml:space="preserve"> is largely evaluated through differentiation, driven by innovation, technology integration, and brand positioning</w:t>
      </w:r>
      <w:r w:rsidR="0002452F" w:rsidRPr="008717CC">
        <w:rPr>
          <w:rFonts w:ascii="Arial" w:hAnsi="Arial" w:cs="Arial"/>
          <w:sz w:val="24"/>
          <w:szCs w:val="24"/>
        </w:rPr>
        <w:t xml:space="preserve">, </w:t>
      </w:r>
      <w:r w:rsidR="003817D2">
        <w:rPr>
          <w:rFonts w:ascii="Arial" w:hAnsi="Arial" w:cs="Arial"/>
          <w:sz w:val="24"/>
          <w:szCs w:val="24"/>
        </w:rPr>
        <w:t>Ford Motor</w:t>
      </w:r>
      <w:r w:rsidR="0007222F" w:rsidRPr="00FC7F05">
        <w:rPr>
          <w:rFonts w:ascii="Arial" w:hAnsi="Arial" w:cs="Arial"/>
          <w:sz w:val="24"/>
          <w:szCs w:val="24"/>
        </w:rPr>
        <w:t xml:space="preserve"> is assessed in terms of strategic adaptation, potentially combining cost</w:t>
      </w:r>
      <w:r w:rsidR="0007222F" w:rsidRPr="00FC7F05">
        <w:rPr>
          <w:rFonts w:ascii="Arial" w:hAnsi="Arial" w:cs="Arial"/>
          <w:b/>
          <w:bCs/>
          <w:sz w:val="24"/>
          <w:szCs w:val="24"/>
        </w:rPr>
        <w:t xml:space="preserve"> </w:t>
      </w:r>
      <w:r w:rsidR="0007222F" w:rsidRPr="00FC7F05">
        <w:rPr>
          <w:rFonts w:ascii="Arial" w:hAnsi="Arial" w:cs="Arial"/>
          <w:sz w:val="24"/>
          <w:szCs w:val="24"/>
        </w:rPr>
        <w:t>leadership and selective differentiation.</w:t>
      </w:r>
      <w:r w:rsidR="001C644C">
        <w:rPr>
          <w:rFonts w:ascii="Arial" w:hAnsi="Arial" w:cs="Arial"/>
          <w:sz w:val="24"/>
          <w:szCs w:val="24"/>
        </w:rPr>
        <w:t xml:space="preserve"> </w:t>
      </w:r>
      <w:r w:rsidR="001C644C" w:rsidRPr="001C644C">
        <w:rPr>
          <w:rFonts w:ascii="Arial" w:hAnsi="Arial" w:cs="Arial"/>
          <w:sz w:val="24"/>
          <w:szCs w:val="24"/>
        </w:rPr>
        <w:t>The continued relevance of Porter’s framework in analysing competitive dynamics across industries has been widely acknowledged (Shahzad, Bajwa and Zia, 2013).</w:t>
      </w:r>
    </w:p>
    <w:p w14:paraId="2B602B96" w14:textId="665F5E61" w:rsidR="0073028E" w:rsidRPr="0073028E" w:rsidRDefault="0073028E" w:rsidP="0073028E">
      <w:pPr>
        <w:spacing w:line="360" w:lineRule="auto"/>
        <w:rPr>
          <w:rFonts w:ascii="Arial" w:hAnsi="Arial" w:cs="Arial"/>
          <w:sz w:val="24"/>
          <w:szCs w:val="24"/>
        </w:rPr>
      </w:pPr>
      <w:r w:rsidRPr="0073028E">
        <w:rPr>
          <w:rFonts w:ascii="Arial" w:hAnsi="Arial" w:cs="Arial"/>
          <w:sz w:val="24"/>
          <w:szCs w:val="24"/>
        </w:rPr>
        <w:lastRenderedPageBreak/>
        <w:t>The model argues that superior performance depends on selecting a clear strategic orientation rather than attempting to pursue multiple inconsistent strategies, thereby avoiding the risk of being “stuck in the middle.” Cost leadership emphasises operational efficiency, economies of scale, and cost minimisation to offer lower prices than competitors. Differentiation, by contrast, involves delivering unique value through innovation, branding, or superior quality, enabling premium pricing. The focus strategy targets a specific market segment through either cost or differentiation advantage.</w:t>
      </w:r>
    </w:p>
    <w:p w14:paraId="2374D164" w14:textId="03F64C06" w:rsidR="0073028E" w:rsidRPr="0073028E" w:rsidRDefault="0073028E" w:rsidP="0073028E">
      <w:pPr>
        <w:spacing w:line="360" w:lineRule="auto"/>
        <w:rPr>
          <w:rFonts w:ascii="Arial" w:hAnsi="Arial" w:cs="Arial"/>
          <w:sz w:val="24"/>
          <w:szCs w:val="24"/>
        </w:rPr>
      </w:pPr>
      <w:r w:rsidRPr="0073028E">
        <w:rPr>
          <w:rFonts w:ascii="Arial" w:hAnsi="Arial" w:cs="Arial"/>
          <w:sz w:val="24"/>
          <w:szCs w:val="24"/>
        </w:rPr>
        <w:t xml:space="preserve">In the context of the comparative analysis of Tesla and </w:t>
      </w:r>
      <w:r w:rsidR="003817D2">
        <w:rPr>
          <w:rFonts w:ascii="Arial" w:hAnsi="Arial" w:cs="Arial"/>
          <w:sz w:val="24"/>
          <w:szCs w:val="24"/>
        </w:rPr>
        <w:t>Ford Motor</w:t>
      </w:r>
      <w:r w:rsidRPr="0073028E">
        <w:rPr>
          <w:rFonts w:ascii="Arial" w:hAnsi="Arial" w:cs="Arial"/>
          <w:sz w:val="24"/>
          <w:szCs w:val="24"/>
        </w:rPr>
        <w:t xml:space="preserve">, the framework clarifies their divergent competitive positioning within the evolving EV industry. Tesla’s strategy has primarily reflected differentiation, driven by technological innovation, software integration, and sustainability branding. </w:t>
      </w:r>
      <w:r w:rsidR="003817D2">
        <w:rPr>
          <w:rFonts w:ascii="Arial" w:hAnsi="Arial" w:cs="Arial"/>
          <w:sz w:val="24"/>
          <w:szCs w:val="24"/>
        </w:rPr>
        <w:t>Ford Motor</w:t>
      </w:r>
      <w:r w:rsidRPr="0073028E">
        <w:rPr>
          <w:rFonts w:ascii="Arial" w:hAnsi="Arial" w:cs="Arial"/>
          <w:sz w:val="24"/>
          <w:szCs w:val="24"/>
        </w:rPr>
        <w:t>, as a strategic follower, seeks to balance cost efficiency with selective differentiation, leveraging scale economies and brand heritage. Porter’s framework therefore provides a structural lens for evaluating how each firm responds to regulatory and technological pressures while attempting to secure sustainable competitive advantage.</w:t>
      </w:r>
    </w:p>
    <w:p w14:paraId="4D76E182" w14:textId="77777777" w:rsidR="00D33D58" w:rsidRPr="008717CC" w:rsidRDefault="00D33D58" w:rsidP="008717CC">
      <w:pPr>
        <w:spacing w:line="360" w:lineRule="auto"/>
        <w:rPr>
          <w:rFonts w:ascii="Arial" w:hAnsi="Arial" w:cs="Arial"/>
          <w:sz w:val="24"/>
          <w:szCs w:val="24"/>
        </w:rPr>
      </w:pPr>
    </w:p>
    <w:p w14:paraId="7D88177A" w14:textId="77777777" w:rsidR="00D44F4A" w:rsidRPr="008717CC" w:rsidRDefault="00D44F4A" w:rsidP="008717CC">
      <w:pPr>
        <w:spacing w:line="360" w:lineRule="auto"/>
        <w:rPr>
          <w:rFonts w:ascii="Arial" w:hAnsi="Arial" w:cs="Arial"/>
          <w:sz w:val="24"/>
          <w:szCs w:val="24"/>
        </w:rPr>
      </w:pPr>
    </w:p>
    <w:p w14:paraId="49E86692" w14:textId="1AC7F7CD" w:rsidR="003624D9" w:rsidRPr="008717CC" w:rsidRDefault="00D02510" w:rsidP="008717CC">
      <w:pPr>
        <w:pStyle w:val="ListParagraph"/>
        <w:numPr>
          <w:ilvl w:val="1"/>
          <w:numId w:val="23"/>
        </w:numPr>
        <w:spacing w:line="360" w:lineRule="auto"/>
        <w:rPr>
          <w:rFonts w:ascii="Arial" w:hAnsi="Arial" w:cs="Arial"/>
          <w:sz w:val="24"/>
          <w:szCs w:val="24"/>
        </w:rPr>
      </w:pPr>
      <w:r w:rsidRPr="008717CC">
        <w:rPr>
          <w:rFonts w:ascii="Arial" w:hAnsi="Arial" w:cs="Arial"/>
          <w:sz w:val="24"/>
          <w:szCs w:val="24"/>
        </w:rPr>
        <w:t>Ansoff’s Growth Matrix</w:t>
      </w:r>
      <w:r w:rsidR="002F5276" w:rsidRPr="008717CC">
        <w:rPr>
          <w:rFonts w:ascii="Arial" w:hAnsi="Arial" w:cs="Arial"/>
          <w:sz w:val="24"/>
          <w:szCs w:val="24"/>
        </w:rPr>
        <w:t xml:space="preserve"> </w:t>
      </w:r>
      <w:r w:rsidR="003B27FD" w:rsidRPr="008717CC">
        <w:rPr>
          <w:rFonts w:ascii="Arial" w:hAnsi="Arial" w:cs="Arial"/>
          <w:sz w:val="24"/>
          <w:szCs w:val="24"/>
        </w:rPr>
        <w:t>Framework</w:t>
      </w:r>
    </w:p>
    <w:p w14:paraId="4F5B6198" w14:textId="175081FA" w:rsidR="00716A16" w:rsidRPr="003C5273" w:rsidRDefault="00D02510" w:rsidP="00716A16">
      <w:pPr>
        <w:spacing w:line="360" w:lineRule="auto"/>
        <w:rPr>
          <w:rFonts w:ascii="Arial" w:hAnsi="Arial" w:cs="Arial"/>
          <w:sz w:val="24"/>
          <w:szCs w:val="24"/>
        </w:rPr>
      </w:pPr>
      <w:r w:rsidRPr="00FC7F05">
        <w:rPr>
          <w:rFonts w:ascii="Arial" w:hAnsi="Arial" w:cs="Arial"/>
          <w:sz w:val="24"/>
          <w:szCs w:val="24"/>
        </w:rPr>
        <w:t xml:space="preserve">Proposed by Igor Ansoff (1957), this model evaluates strategic growth </w:t>
      </w:r>
      <w:r w:rsidR="0038661C" w:rsidRPr="008717CC">
        <w:rPr>
          <w:rFonts w:ascii="Arial" w:hAnsi="Arial" w:cs="Arial"/>
          <w:sz w:val="24"/>
          <w:szCs w:val="24"/>
        </w:rPr>
        <w:t>options and</w:t>
      </w:r>
      <w:r w:rsidR="00782213" w:rsidRPr="008717CC">
        <w:rPr>
          <w:rFonts w:ascii="Arial" w:hAnsi="Arial" w:cs="Arial"/>
          <w:sz w:val="24"/>
          <w:szCs w:val="24"/>
        </w:rPr>
        <w:t xml:space="preserve"> </w:t>
      </w:r>
      <w:r w:rsidR="003624D9" w:rsidRPr="00FC7F05">
        <w:rPr>
          <w:rFonts w:ascii="Arial" w:hAnsi="Arial" w:cs="Arial"/>
          <w:sz w:val="24"/>
          <w:szCs w:val="24"/>
        </w:rPr>
        <w:t xml:space="preserve">explains </w:t>
      </w:r>
      <w:r w:rsidR="003624D9" w:rsidRPr="00FC7F05">
        <w:rPr>
          <w:rFonts w:ascii="Arial" w:hAnsi="Arial" w:cs="Arial"/>
          <w:i/>
          <w:iCs/>
          <w:sz w:val="24"/>
          <w:szCs w:val="24"/>
        </w:rPr>
        <w:t>how</w:t>
      </w:r>
      <w:r w:rsidR="003624D9" w:rsidRPr="00FC7F05">
        <w:rPr>
          <w:rFonts w:ascii="Arial" w:hAnsi="Arial" w:cs="Arial"/>
          <w:sz w:val="24"/>
          <w:szCs w:val="24"/>
        </w:rPr>
        <w:t xml:space="preserve"> </w:t>
      </w:r>
      <w:r w:rsidR="00782213" w:rsidRPr="008717CC">
        <w:rPr>
          <w:rFonts w:ascii="Arial" w:hAnsi="Arial" w:cs="Arial"/>
          <w:sz w:val="24"/>
          <w:szCs w:val="24"/>
        </w:rPr>
        <w:t>the</w:t>
      </w:r>
      <w:r w:rsidR="008D1303" w:rsidRPr="008717CC">
        <w:rPr>
          <w:rFonts w:ascii="Arial" w:hAnsi="Arial" w:cs="Arial"/>
          <w:sz w:val="24"/>
          <w:szCs w:val="24"/>
        </w:rPr>
        <w:t>y are</w:t>
      </w:r>
      <w:r w:rsidR="003624D9" w:rsidRPr="00FC7F05">
        <w:rPr>
          <w:rFonts w:ascii="Arial" w:hAnsi="Arial" w:cs="Arial"/>
          <w:sz w:val="24"/>
          <w:szCs w:val="24"/>
        </w:rPr>
        <w:t xml:space="preserve"> pursu</w:t>
      </w:r>
      <w:r w:rsidR="008D1303" w:rsidRPr="008717CC">
        <w:rPr>
          <w:rFonts w:ascii="Arial" w:hAnsi="Arial" w:cs="Arial"/>
          <w:sz w:val="24"/>
          <w:szCs w:val="24"/>
        </w:rPr>
        <w:t>ing</w:t>
      </w:r>
      <w:r w:rsidR="003624D9" w:rsidRPr="00FC7F05">
        <w:rPr>
          <w:rFonts w:ascii="Arial" w:hAnsi="Arial" w:cs="Arial"/>
          <w:sz w:val="24"/>
          <w:szCs w:val="24"/>
        </w:rPr>
        <w:t xml:space="preserve"> growth under macro-environmental </w:t>
      </w:r>
      <w:r w:rsidR="001B21A2" w:rsidRPr="008717CC">
        <w:rPr>
          <w:rFonts w:ascii="Arial" w:hAnsi="Arial" w:cs="Arial"/>
          <w:sz w:val="24"/>
          <w:szCs w:val="24"/>
        </w:rPr>
        <w:t>circumstances of</w:t>
      </w:r>
      <w:r w:rsidR="004412F3" w:rsidRPr="008717CC">
        <w:rPr>
          <w:rFonts w:ascii="Arial" w:hAnsi="Arial" w:cs="Arial"/>
          <w:sz w:val="24"/>
          <w:szCs w:val="24"/>
        </w:rPr>
        <w:t xml:space="preserve"> </w:t>
      </w:r>
      <w:r w:rsidRPr="00FC7F05">
        <w:rPr>
          <w:rFonts w:ascii="Arial" w:hAnsi="Arial" w:cs="Arial"/>
          <w:sz w:val="24"/>
          <w:szCs w:val="24"/>
        </w:rPr>
        <w:t>Market Penetration</w:t>
      </w:r>
      <w:r w:rsidR="004412F3" w:rsidRPr="008717CC">
        <w:rPr>
          <w:rFonts w:ascii="Arial" w:hAnsi="Arial" w:cs="Arial"/>
          <w:sz w:val="24"/>
          <w:szCs w:val="24"/>
        </w:rPr>
        <w:t xml:space="preserve">, </w:t>
      </w:r>
      <w:r w:rsidRPr="00FC7F05">
        <w:rPr>
          <w:rFonts w:ascii="Arial" w:hAnsi="Arial" w:cs="Arial"/>
          <w:sz w:val="24"/>
          <w:szCs w:val="24"/>
        </w:rPr>
        <w:t>Market Development</w:t>
      </w:r>
      <w:r w:rsidR="004412F3" w:rsidRPr="008717CC">
        <w:rPr>
          <w:rFonts w:ascii="Arial" w:hAnsi="Arial" w:cs="Arial"/>
          <w:sz w:val="24"/>
          <w:szCs w:val="24"/>
        </w:rPr>
        <w:t xml:space="preserve">, </w:t>
      </w:r>
      <w:r w:rsidRPr="00FC7F05">
        <w:rPr>
          <w:rFonts w:ascii="Arial" w:hAnsi="Arial" w:cs="Arial"/>
          <w:sz w:val="24"/>
          <w:szCs w:val="24"/>
        </w:rPr>
        <w:t>Product Development</w:t>
      </w:r>
      <w:r w:rsidR="004412F3" w:rsidRPr="008717CC">
        <w:rPr>
          <w:rFonts w:ascii="Arial" w:hAnsi="Arial" w:cs="Arial"/>
          <w:sz w:val="24"/>
          <w:szCs w:val="24"/>
        </w:rPr>
        <w:t xml:space="preserve">, and </w:t>
      </w:r>
      <w:r w:rsidRPr="00FC7F05">
        <w:rPr>
          <w:rFonts w:ascii="Arial" w:hAnsi="Arial" w:cs="Arial"/>
          <w:sz w:val="24"/>
          <w:szCs w:val="24"/>
        </w:rPr>
        <w:t>Diversification</w:t>
      </w:r>
      <w:r w:rsidR="0038661C" w:rsidRPr="008717CC">
        <w:rPr>
          <w:rFonts w:ascii="Arial" w:hAnsi="Arial" w:cs="Arial"/>
          <w:sz w:val="24"/>
          <w:szCs w:val="24"/>
        </w:rPr>
        <w:t xml:space="preserve"> of </w:t>
      </w:r>
      <w:r w:rsidRPr="00FC7F05">
        <w:rPr>
          <w:rFonts w:ascii="Arial" w:hAnsi="Arial" w:cs="Arial"/>
          <w:sz w:val="24"/>
          <w:szCs w:val="24"/>
        </w:rPr>
        <w:t>Tesla’s innovation in EV technology reflects product development and related diversification</w:t>
      </w:r>
      <w:r w:rsidR="0038661C" w:rsidRPr="008717CC">
        <w:rPr>
          <w:rFonts w:ascii="Arial" w:hAnsi="Arial" w:cs="Arial"/>
          <w:sz w:val="24"/>
          <w:szCs w:val="24"/>
        </w:rPr>
        <w:t xml:space="preserve"> when </w:t>
      </w:r>
      <w:r w:rsidR="003817D2">
        <w:rPr>
          <w:rFonts w:ascii="Arial" w:hAnsi="Arial" w:cs="Arial"/>
          <w:sz w:val="24"/>
          <w:szCs w:val="24"/>
        </w:rPr>
        <w:t>Ford Motor</w:t>
      </w:r>
      <w:r w:rsidRPr="00FC7F05">
        <w:rPr>
          <w:rFonts w:ascii="Arial" w:hAnsi="Arial" w:cs="Arial"/>
          <w:sz w:val="24"/>
          <w:szCs w:val="24"/>
        </w:rPr>
        <w:t>’s EV expansion reflects product development and strategic repositioning within existing and new markets.</w:t>
      </w:r>
      <w:r w:rsidR="00716A16">
        <w:rPr>
          <w:rFonts w:ascii="Arial" w:hAnsi="Arial" w:cs="Arial"/>
          <w:sz w:val="24"/>
          <w:szCs w:val="24"/>
        </w:rPr>
        <w:t xml:space="preserve"> </w:t>
      </w:r>
      <w:r w:rsidR="00716A16" w:rsidRPr="003C5273">
        <w:rPr>
          <w:rFonts w:ascii="Arial" w:hAnsi="Arial" w:cs="Arial"/>
          <w:sz w:val="24"/>
          <w:szCs w:val="24"/>
        </w:rPr>
        <w:t>The model identifies four strategic directions: market penetration (existing products in existing markets), market development (existing products in new markets), product development (new products in existing markets), and diversification (new products in new markets).</w:t>
      </w:r>
    </w:p>
    <w:p w14:paraId="7FBBEFF6" w14:textId="08ECBF7C" w:rsidR="00716A16" w:rsidRPr="00716A16" w:rsidRDefault="00716A16" w:rsidP="00716A16">
      <w:pPr>
        <w:spacing w:line="360" w:lineRule="auto"/>
        <w:rPr>
          <w:rFonts w:ascii="Arial" w:hAnsi="Arial" w:cs="Arial"/>
          <w:sz w:val="24"/>
          <w:szCs w:val="24"/>
        </w:rPr>
      </w:pPr>
      <w:r w:rsidRPr="00716A16">
        <w:rPr>
          <w:rFonts w:ascii="Arial" w:hAnsi="Arial" w:cs="Arial"/>
          <w:sz w:val="24"/>
          <w:szCs w:val="24"/>
        </w:rPr>
        <w:t xml:space="preserve">In the context of Tesla and </w:t>
      </w:r>
      <w:r w:rsidR="003817D2">
        <w:rPr>
          <w:rFonts w:ascii="Arial" w:hAnsi="Arial" w:cs="Arial"/>
          <w:sz w:val="24"/>
          <w:szCs w:val="24"/>
        </w:rPr>
        <w:t>Ford Motor</w:t>
      </w:r>
      <w:r w:rsidRPr="00716A16">
        <w:rPr>
          <w:rFonts w:ascii="Arial" w:hAnsi="Arial" w:cs="Arial"/>
          <w:sz w:val="24"/>
          <w:szCs w:val="24"/>
        </w:rPr>
        <w:t xml:space="preserve">, Tesla’s expansion reflects product development and related diversification through advanced EV technologies, while </w:t>
      </w:r>
      <w:r w:rsidR="003817D2">
        <w:rPr>
          <w:rFonts w:ascii="Arial" w:hAnsi="Arial" w:cs="Arial"/>
          <w:sz w:val="24"/>
          <w:szCs w:val="24"/>
        </w:rPr>
        <w:lastRenderedPageBreak/>
        <w:t>Ford Motor</w:t>
      </w:r>
      <w:r w:rsidRPr="00716A16">
        <w:rPr>
          <w:rFonts w:ascii="Arial" w:hAnsi="Arial" w:cs="Arial"/>
          <w:sz w:val="24"/>
          <w:szCs w:val="24"/>
        </w:rPr>
        <w:t>’s strategic transition toward electrification represents product development within established automotive markets, supporting competitive renewal under regulatory</w:t>
      </w:r>
    </w:p>
    <w:p w14:paraId="3A1A37CF" w14:textId="77777777" w:rsidR="00D44F4A" w:rsidRPr="008717CC" w:rsidRDefault="00D44F4A" w:rsidP="008717CC">
      <w:pPr>
        <w:spacing w:line="360" w:lineRule="auto"/>
        <w:rPr>
          <w:rFonts w:ascii="Arial" w:hAnsi="Arial" w:cs="Arial"/>
          <w:sz w:val="24"/>
          <w:szCs w:val="24"/>
        </w:rPr>
      </w:pPr>
    </w:p>
    <w:p w14:paraId="5BAD7787" w14:textId="30833B66" w:rsidR="00FC7F05" w:rsidRPr="008717CC" w:rsidRDefault="00FC7F05" w:rsidP="008717CC">
      <w:pPr>
        <w:pStyle w:val="ListParagraph"/>
        <w:numPr>
          <w:ilvl w:val="1"/>
          <w:numId w:val="23"/>
        </w:numPr>
        <w:spacing w:line="360" w:lineRule="auto"/>
        <w:rPr>
          <w:rFonts w:ascii="Arial" w:hAnsi="Arial" w:cs="Arial"/>
          <w:sz w:val="24"/>
          <w:szCs w:val="24"/>
        </w:rPr>
      </w:pPr>
      <w:r w:rsidRPr="008717CC">
        <w:rPr>
          <w:rFonts w:ascii="Arial" w:hAnsi="Arial" w:cs="Arial"/>
          <w:sz w:val="24"/>
          <w:szCs w:val="24"/>
        </w:rPr>
        <w:t>Market-Led Strategy and Competitive Positioning</w:t>
      </w:r>
      <w:r w:rsidR="002F5276" w:rsidRPr="008717CC">
        <w:rPr>
          <w:rFonts w:ascii="Arial" w:hAnsi="Arial" w:cs="Arial"/>
          <w:sz w:val="24"/>
          <w:szCs w:val="24"/>
        </w:rPr>
        <w:t xml:space="preserve"> Framework</w:t>
      </w:r>
    </w:p>
    <w:p w14:paraId="4944153E" w14:textId="2F082573" w:rsidR="00FC7F05" w:rsidRPr="00FC7F05" w:rsidRDefault="005A3CEE" w:rsidP="008717CC">
      <w:pPr>
        <w:spacing w:line="360" w:lineRule="auto"/>
        <w:rPr>
          <w:rFonts w:ascii="Arial" w:hAnsi="Arial" w:cs="Arial"/>
          <w:sz w:val="24"/>
          <w:szCs w:val="24"/>
        </w:rPr>
      </w:pPr>
      <w:r w:rsidRPr="008717CC">
        <w:rPr>
          <w:rFonts w:ascii="Arial" w:hAnsi="Arial" w:cs="Arial"/>
          <w:sz w:val="24"/>
          <w:szCs w:val="24"/>
        </w:rPr>
        <w:t>Developed by</w:t>
      </w:r>
      <w:r w:rsidR="00FC7F05" w:rsidRPr="00FC7F05">
        <w:rPr>
          <w:rFonts w:ascii="Arial" w:hAnsi="Arial" w:cs="Arial"/>
          <w:sz w:val="24"/>
          <w:szCs w:val="24"/>
        </w:rPr>
        <w:t xml:space="preserve"> Graham J. Hooley </w:t>
      </w:r>
      <w:r w:rsidR="00FC7F05" w:rsidRPr="00FC7F05">
        <w:rPr>
          <w:rFonts w:ascii="Arial" w:hAnsi="Arial" w:cs="Arial"/>
          <w:i/>
          <w:iCs/>
          <w:sz w:val="24"/>
          <w:szCs w:val="24"/>
        </w:rPr>
        <w:t>et al.</w:t>
      </w:r>
      <w:r w:rsidR="00FC7F05" w:rsidRPr="00FC7F05">
        <w:rPr>
          <w:rFonts w:ascii="Arial" w:hAnsi="Arial" w:cs="Arial"/>
          <w:sz w:val="24"/>
          <w:szCs w:val="24"/>
        </w:rPr>
        <w:t xml:space="preserve"> (2024), this perspective evaluates</w:t>
      </w:r>
      <w:r w:rsidR="00205431" w:rsidRPr="008717CC">
        <w:rPr>
          <w:rFonts w:ascii="Arial" w:hAnsi="Arial" w:cs="Arial"/>
          <w:sz w:val="24"/>
          <w:szCs w:val="24"/>
        </w:rPr>
        <w:t xml:space="preserve"> strategic growth</w:t>
      </w:r>
      <w:r w:rsidR="003B27FD" w:rsidRPr="00FC7F05">
        <w:rPr>
          <w:rFonts w:ascii="Arial" w:hAnsi="Arial" w:cs="Arial"/>
          <w:sz w:val="24"/>
          <w:szCs w:val="24"/>
        </w:rPr>
        <w:t xml:space="preserve"> by linking environmental forces to organisational capabilities and long-term positioning</w:t>
      </w:r>
      <w:r w:rsidR="00DB1832" w:rsidRPr="008717CC">
        <w:rPr>
          <w:rFonts w:ascii="Arial" w:hAnsi="Arial" w:cs="Arial"/>
          <w:sz w:val="24"/>
          <w:szCs w:val="24"/>
        </w:rPr>
        <w:t xml:space="preserve"> of </w:t>
      </w:r>
      <w:r w:rsidR="00FC7F05" w:rsidRPr="00FC7F05">
        <w:rPr>
          <w:rFonts w:ascii="Arial" w:hAnsi="Arial" w:cs="Arial"/>
          <w:sz w:val="24"/>
          <w:szCs w:val="24"/>
        </w:rPr>
        <w:t>Strategic positioning</w:t>
      </w:r>
      <w:r w:rsidR="00DB1832" w:rsidRPr="008717CC">
        <w:rPr>
          <w:rFonts w:ascii="Arial" w:hAnsi="Arial" w:cs="Arial"/>
          <w:sz w:val="24"/>
          <w:szCs w:val="24"/>
        </w:rPr>
        <w:t xml:space="preserve">, </w:t>
      </w:r>
      <w:r w:rsidR="00FC7F05" w:rsidRPr="00FC7F05">
        <w:rPr>
          <w:rFonts w:ascii="Arial" w:hAnsi="Arial" w:cs="Arial"/>
          <w:sz w:val="24"/>
          <w:szCs w:val="24"/>
        </w:rPr>
        <w:t>Capability alignment</w:t>
      </w:r>
      <w:r w:rsidR="00DB1832" w:rsidRPr="008717CC">
        <w:rPr>
          <w:rFonts w:ascii="Arial" w:hAnsi="Arial" w:cs="Arial"/>
          <w:sz w:val="24"/>
          <w:szCs w:val="24"/>
        </w:rPr>
        <w:t xml:space="preserve">, </w:t>
      </w:r>
      <w:r w:rsidR="00FC7F05" w:rsidRPr="00FC7F05">
        <w:rPr>
          <w:rFonts w:ascii="Arial" w:hAnsi="Arial" w:cs="Arial"/>
          <w:sz w:val="24"/>
          <w:szCs w:val="24"/>
        </w:rPr>
        <w:t>Customer value creation</w:t>
      </w:r>
      <w:r w:rsidR="00DA4CB9" w:rsidRPr="008717CC">
        <w:rPr>
          <w:rFonts w:ascii="Arial" w:hAnsi="Arial" w:cs="Arial"/>
          <w:sz w:val="24"/>
          <w:szCs w:val="24"/>
        </w:rPr>
        <w:t xml:space="preserve">, and </w:t>
      </w:r>
      <w:r w:rsidR="00FC7F05" w:rsidRPr="00FC7F05">
        <w:rPr>
          <w:rFonts w:ascii="Arial" w:hAnsi="Arial" w:cs="Arial"/>
          <w:sz w:val="24"/>
          <w:szCs w:val="24"/>
        </w:rPr>
        <w:t>Sustainable competitive advantage</w:t>
      </w:r>
      <w:r w:rsidR="00DA4CB9" w:rsidRPr="008717CC">
        <w:rPr>
          <w:rFonts w:ascii="Arial" w:hAnsi="Arial" w:cs="Arial"/>
          <w:sz w:val="24"/>
          <w:szCs w:val="24"/>
        </w:rPr>
        <w:t>.</w:t>
      </w:r>
    </w:p>
    <w:p w14:paraId="305C537E" w14:textId="38C14318" w:rsidR="00FC7F05" w:rsidRPr="00FC7F05" w:rsidRDefault="00FC7F05" w:rsidP="008717CC">
      <w:pPr>
        <w:spacing w:line="360" w:lineRule="auto"/>
        <w:rPr>
          <w:rFonts w:ascii="Arial" w:hAnsi="Arial" w:cs="Arial"/>
          <w:sz w:val="24"/>
          <w:szCs w:val="24"/>
        </w:rPr>
      </w:pPr>
      <w:r w:rsidRPr="00FC7F05">
        <w:rPr>
          <w:rFonts w:ascii="Arial" w:hAnsi="Arial" w:cs="Arial"/>
          <w:sz w:val="24"/>
          <w:szCs w:val="24"/>
        </w:rPr>
        <w:t>Overall Evaluation</w:t>
      </w:r>
      <w:r w:rsidR="00C216F7" w:rsidRPr="008717CC">
        <w:rPr>
          <w:rFonts w:ascii="Arial" w:hAnsi="Arial" w:cs="Arial"/>
          <w:sz w:val="24"/>
          <w:szCs w:val="24"/>
        </w:rPr>
        <w:t xml:space="preserve"> this</w:t>
      </w:r>
      <w:r w:rsidRPr="00FC7F05">
        <w:rPr>
          <w:rFonts w:ascii="Arial" w:hAnsi="Arial" w:cs="Arial"/>
          <w:sz w:val="24"/>
          <w:szCs w:val="24"/>
        </w:rPr>
        <w:t xml:space="preserve"> analysis integrates:</w:t>
      </w:r>
    </w:p>
    <w:p w14:paraId="60FBDCC4" w14:textId="77777777" w:rsidR="00FC7F05" w:rsidRPr="00FC7F05" w:rsidRDefault="00FC7F05" w:rsidP="008717CC">
      <w:pPr>
        <w:numPr>
          <w:ilvl w:val="0"/>
          <w:numId w:val="24"/>
        </w:numPr>
        <w:spacing w:line="360" w:lineRule="auto"/>
        <w:rPr>
          <w:rFonts w:ascii="Arial" w:hAnsi="Arial" w:cs="Arial"/>
          <w:sz w:val="24"/>
          <w:szCs w:val="24"/>
        </w:rPr>
      </w:pPr>
      <w:r w:rsidRPr="00FC7F05">
        <w:rPr>
          <w:rFonts w:ascii="Arial" w:hAnsi="Arial" w:cs="Arial"/>
          <w:sz w:val="24"/>
          <w:szCs w:val="24"/>
        </w:rPr>
        <w:t>Structural competition theory (Porter)</w:t>
      </w:r>
    </w:p>
    <w:p w14:paraId="39513CCC" w14:textId="77777777" w:rsidR="00FC7F05" w:rsidRPr="00FC7F05" w:rsidRDefault="00FC7F05" w:rsidP="008717CC">
      <w:pPr>
        <w:numPr>
          <w:ilvl w:val="0"/>
          <w:numId w:val="24"/>
        </w:numPr>
        <w:spacing w:line="360" w:lineRule="auto"/>
        <w:rPr>
          <w:rFonts w:ascii="Arial" w:hAnsi="Arial" w:cs="Arial"/>
          <w:sz w:val="24"/>
          <w:szCs w:val="24"/>
        </w:rPr>
      </w:pPr>
      <w:r w:rsidRPr="00FC7F05">
        <w:rPr>
          <w:rFonts w:ascii="Arial" w:hAnsi="Arial" w:cs="Arial"/>
          <w:sz w:val="24"/>
          <w:szCs w:val="24"/>
        </w:rPr>
        <w:t>Strategic growth logic (Ansoff)</w:t>
      </w:r>
    </w:p>
    <w:p w14:paraId="7C961FAB" w14:textId="13B6E346" w:rsidR="00FC7F05" w:rsidRDefault="00FC7F05" w:rsidP="008717CC">
      <w:pPr>
        <w:numPr>
          <w:ilvl w:val="0"/>
          <w:numId w:val="24"/>
        </w:numPr>
        <w:spacing w:line="360" w:lineRule="auto"/>
        <w:rPr>
          <w:rFonts w:ascii="Arial" w:hAnsi="Arial" w:cs="Arial"/>
          <w:sz w:val="24"/>
          <w:szCs w:val="24"/>
        </w:rPr>
      </w:pPr>
      <w:r w:rsidRPr="00FC7F05">
        <w:rPr>
          <w:rFonts w:ascii="Arial" w:hAnsi="Arial" w:cs="Arial"/>
          <w:sz w:val="24"/>
          <w:szCs w:val="24"/>
        </w:rPr>
        <w:t>Market positioning and capability alignment (Hooley et al.)</w:t>
      </w:r>
      <w:r w:rsidR="0028468F">
        <w:rPr>
          <w:rFonts w:ascii="Arial" w:hAnsi="Arial" w:cs="Arial"/>
          <w:sz w:val="24"/>
          <w:szCs w:val="24"/>
        </w:rPr>
        <w:t>.</w:t>
      </w:r>
    </w:p>
    <w:p w14:paraId="405007F0" w14:textId="77777777" w:rsidR="0028468F" w:rsidRPr="00FC7F05" w:rsidRDefault="0028468F" w:rsidP="0028468F">
      <w:pPr>
        <w:spacing w:line="360" w:lineRule="auto"/>
        <w:ind w:left="720"/>
        <w:rPr>
          <w:rFonts w:ascii="Arial" w:hAnsi="Arial" w:cs="Arial"/>
          <w:sz w:val="24"/>
          <w:szCs w:val="24"/>
        </w:rPr>
      </w:pPr>
    </w:p>
    <w:p w14:paraId="39748983" w14:textId="77777777" w:rsidR="007F3D3C" w:rsidRPr="008717CC" w:rsidRDefault="00FC7F05" w:rsidP="008717CC">
      <w:pPr>
        <w:spacing w:line="360" w:lineRule="auto"/>
        <w:rPr>
          <w:rFonts w:ascii="Arial" w:hAnsi="Arial" w:cs="Arial"/>
          <w:sz w:val="24"/>
          <w:szCs w:val="24"/>
        </w:rPr>
      </w:pPr>
      <w:r w:rsidRPr="00FC7F05">
        <w:rPr>
          <w:rFonts w:ascii="Arial" w:hAnsi="Arial" w:cs="Arial"/>
          <w:sz w:val="24"/>
          <w:szCs w:val="24"/>
        </w:rPr>
        <w:t>Together, these frameworks provide a multidimensional evaluation of how external macro-environmental forces shape competitive positioning, strategic choice, and sustainable advantage in the EV</w:t>
      </w:r>
      <w:r w:rsidR="00C13B55" w:rsidRPr="008717CC">
        <w:rPr>
          <w:rFonts w:ascii="Arial" w:hAnsi="Arial" w:cs="Arial"/>
          <w:sz w:val="24"/>
          <w:szCs w:val="24"/>
        </w:rPr>
        <w:t xml:space="preserve"> competitive</w:t>
      </w:r>
      <w:r w:rsidRPr="00FC7F05">
        <w:rPr>
          <w:rFonts w:ascii="Arial" w:hAnsi="Arial" w:cs="Arial"/>
          <w:sz w:val="24"/>
          <w:szCs w:val="24"/>
        </w:rPr>
        <w:t xml:space="preserve"> industry.</w:t>
      </w:r>
    </w:p>
    <w:p w14:paraId="63C506DF" w14:textId="63D13F58" w:rsidR="00ED2E5B" w:rsidRPr="008717CC" w:rsidRDefault="00B6058A" w:rsidP="008717CC">
      <w:pPr>
        <w:spacing w:line="360" w:lineRule="auto"/>
        <w:rPr>
          <w:rFonts w:ascii="Arial" w:hAnsi="Arial" w:cs="Arial"/>
          <w:sz w:val="24"/>
          <w:szCs w:val="24"/>
        </w:rPr>
      </w:pPr>
      <w:r w:rsidRPr="008717CC">
        <w:rPr>
          <w:rFonts w:ascii="Arial" w:hAnsi="Arial" w:cs="Arial"/>
          <w:sz w:val="24"/>
          <w:szCs w:val="24"/>
        </w:rPr>
        <w:t>In instance, when</w:t>
      </w:r>
      <w:r w:rsidR="008770AB" w:rsidRPr="008770AB">
        <w:rPr>
          <w:rFonts w:ascii="Arial" w:hAnsi="Arial" w:cs="Arial"/>
          <w:sz w:val="24"/>
          <w:szCs w:val="24"/>
        </w:rPr>
        <w:t xml:space="preserve"> Competitive Intensity and Market Entry</w:t>
      </w:r>
      <w:r w:rsidR="00501CC3" w:rsidRPr="008717CC">
        <w:rPr>
          <w:rFonts w:ascii="Arial" w:hAnsi="Arial" w:cs="Arial"/>
          <w:sz w:val="24"/>
          <w:szCs w:val="24"/>
        </w:rPr>
        <w:t xml:space="preserve"> t</w:t>
      </w:r>
      <w:r w:rsidR="008770AB" w:rsidRPr="008770AB">
        <w:rPr>
          <w:rFonts w:ascii="Arial" w:hAnsi="Arial" w:cs="Arial"/>
          <w:sz w:val="24"/>
          <w:szCs w:val="24"/>
        </w:rPr>
        <w:t>he influx of new EV entrants increases rivalry and reduces market concentration</w:t>
      </w:r>
      <w:r w:rsidR="00391C57" w:rsidRPr="008717CC">
        <w:rPr>
          <w:rFonts w:ascii="Arial" w:hAnsi="Arial" w:cs="Arial"/>
          <w:sz w:val="24"/>
          <w:szCs w:val="24"/>
        </w:rPr>
        <w:t>,</w:t>
      </w:r>
      <w:r w:rsidR="008770AB" w:rsidRPr="008770AB">
        <w:rPr>
          <w:rFonts w:ascii="Arial" w:hAnsi="Arial" w:cs="Arial"/>
          <w:sz w:val="24"/>
          <w:szCs w:val="24"/>
        </w:rPr>
        <w:t xml:space="preserve"> Tesla’s first-mover advantage enhances brand equity and customer loyalty, sustaining competitive positioning</w:t>
      </w:r>
      <w:r w:rsidR="006415CD" w:rsidRPr="008717CC">
        <w:rPr>
          <w:rFonts w:ascii="Arial" w:hAnsi="Arial" w:cs="Arial"/>
          <w:sz w:val="24"/>
          <w:szCs w:val="24"/>
        </w:rPr>
        <w:t>, as a pioneer.</w:t>
      </w:r>
      <w:r w:rsidR="00BF429A">
        <w:rPr>
          <w:rFonts w:ascii="Arial" w:hAnsi="Arial" w:cs="Arial"/>
          <w:sz w:val="24"/>
          <w:szCs w:val="24"/>
        </w:rPr>
        <w:t xml:space="preserve"> </w:t>
      </w:r>
      <w:r w:rsidR="00BF429A" w:rsidRPr="00BF429A">
        <w:rPr>
          <w:rFonts w:ascii="Arial" w:hAnsi="Arial" w:cs="Arial"/>
          <w:sz w:val="24"/>
          <w:szCs w:val="24"/>
        </w:rPr>
        <w:t>Tesla’s early entry into the EV market illustrates first-mover advantages, including brand recognition, technological learning effects, and customer switching costs (Lieberman and Montgomery, 1988).</w:t>
      </w:r>
      <w:r w:rsidR="00391C57" w:rsidRPr="008717CC">
        <w:rPr>
          <w:rFonts w:ascii="Arial" w:hAnsi="Arial" w:cs="Arial"/>
          <w:sz w:val="24"/>
          <w:szCs w:val="24"/>
        </w:rPr>
        <w:t xml:space="preserve"> Logically,</w:t>
      </w:r>
      <w:r w:rsidR="008770AB" w:rsidRPr="008770AB">
        <w:rPr>
          <w:rFonts w:ascii="Arial" w:hAnsi="Arial" w:cs="Arial"/>
          <w:sz w:val="24"/>
          <w:szCs w:val="24"/>
        </w:rPr>
        <w:t xml:space="preserve"> </w:t>
      </w:r>
      <w:r w:rsidR="003817D2">
        <w:rPr>
          <w:rFonts w:ascii="Arial" w:hAnsi="Arial" w:cs="Arial"/>
          <w:sz w:val="24"/>
          <w:szCs w:val="24"/>
        </w:rPr>
        <w:t>Ford Motor</w:t>
      </w:r>
      <w:r w:rsidR="008770AB" w:rsidRPr="008770AB">
        <w:rPr>
          <w:rFonts w:ascii="Arial" w:hAnsi="Arial" w:cs="Arial"/>
          <w:sz w:val="24"/>
          <w:szCs w:val="24"/>
        </w:rPr>
        <w:t>, as a strategic follower, leverages brand heritage and distribution networks to capture market share, often competing on trust, scale, and portfolio breadth.</w:t>
      </w:r>
    </w:p>
    <w:p w14:paraId="0CE8236F" w14:textId="687C759C" w:rsidR="008770AB" w:rsidRPr="008770AB" w:rsidRDefault="003473BA" w:rsidP="008717CC">
      <w:pPr>
        <w:spacing w:line="360" w:lineRule="auto"/>
        <w:rPr>
          <w:rFonts w:ascii="Arial" w:hAnsi="Arial" w:cs="Arial"/>
          <w:sz w:val="24"/>
          <w:szCs w:val="24"/>
        </w:rPr>
      </w:pPr>
      <w:r w:rsidRPr="008717CC">
        <w:rPr>
          <w:rFonts w:ascii="Arial" w:hAnsi="Arial" w:cs="Arial"/>
          <w:sz w:val="24"/>
          <w:szCs w:val="24"/>
        </w:rPr>
        <w:t xml:space="preserve">Considering another </w:t>
      </w:r>
      <w:r w:rsidR="00ED2E5B" w:rsidRPr="008717CC">
        <w:rPr>
          <w:rFonts w:ascii="Arial" w:hAnsi="Arial" w:cs="Arial"/>
          <w:sz w:val="24"/>
          <w:szCs w:val="24"/>
        </w:rPr>
        <w:t>example, Changing</w:t>
      </w:r>
      <w:r w:rsidR="008770AB" w:rsidRPr="008770AB">
        <w:rPr>
          <w:rFonts w:ascii="Arial" w:hAnsi="Arial" w:cs="Arial"/>
          <w:sz w:val="24"/>
          <w:szCs w:val="24"/>
        </w:rPr>
        <w:t xml:space="preserve"> Consumer Expectations</w:t>
      </w:r>
      <w:r w:rsidR="008770AB" w:rsidRPr="008770AB">
        <w:rPr>
          <w:rFonts w:ascii="Arial" w:hAnsi="Arial" w:cs="Arial"/>
          <w:sz w:val="24"/>
          <w:szCs w:val="24"/>
        </w:rPr>
        <w:br/>
        <w:t>Growing demand for sustainable mobility and digital integration influences brand perception and value propositions</w:t>
      </w:r>
      <w:r w:rsidR="00ED2E5B" w:rsidRPr="008717CC">
        <w:rPr>
          <w:rFonts w:ascii="Arial" w:hAnsi="Arial" w:cs="Arial"/>
          <w:sz w:val="24"/>
          <w:szCs w:val="24"/>
        </w:rPr>
        <w:t>,</w:t>
      </w:r>
      <w:r w:rsidR="008770AB" w:rsidRPr="008770AB">
        <w:rPr>
          <w:rFonts w:ascii="Arial" w:hAnsi="Arial" w:cs="Arial"/>
          <w:sz w:val="24"/>
          <w:szCs w:val="24"/>
        </w:rPr>
        <w:t xml:space="preserve"> Tesla benefit</w:t>
      </w:r>
      <w:r w:rsidR="00E65437" w:rsidRPr="008717CC">
        <w:rPr>
          <w:rFonts w:ascii="Arial" w:hAnsi="Arial" w:cs="Arial"/>
          <w:sz w:val="24"/>
          <w:szCs w:val="24"/>
        </w:rPr>
        <w:t>ing</w:t>
      </w:r>
      <w:r w:rsidR="008770AB" w:rsidRPr="008770AB">
        <w:rPr>
          <w:rFonts w:ascii="Arial" w:hAnsi="Arial" w:cs="Arial"/>
          <w:sz w:val="24"/>
          <w:szCs w:val="24"/>
        </w:rPr>
        <w:t xml:space="preserve"> from</w:t>
      </w:r>
      <w:r w:rsidR="00E65437" w:rsidRPr="008717CC">
        <w:rPr>
          <w:rFonts w:ascii="Arial" w:hAnsi="Arial" w:cs="Arial"/>
          <w:sz w:val="24"/>
          <w:szCs w:val="24"/>
        </w:rPr>
        <w:t xml:space="preserve"> a</w:t>
      </w:r>
      <w:r w:rsidR="008770AB" w:rsidRPr="008770AB">
        <w:rPr>
          <w:rFonts w:ascii="Arial" w:hAnsi="Arial" w:cs="Arial"/>
          <w:sz w:val="24"/>
          <w:szCs w:val="24"/>
        </w:rPr>
        <w:t xml:space="preserve"> strong brand association with innovation and sustainability, reinforcing differentiation</w:t>
      </w:r>
      <w:r w:rsidR="00E65437" w:rsidRPr="008717CC">
        <w:rPr>
          <w:rFonts w:ascii="Arial" w:hAnsi="Arial" w:cs="Arial"/>
          <w:sz w:val="24"/>
          <w:szCs w:val="24"/>
        </w:rPr>
        <w:t xml:space="preserve">, </w:t>
      </w:r>
      <w:r w:rsidR="009401FD" w:rsidRPr="008717CC">
        <w:rPr>
          <w:rFonts w:ascii="Arial" w:hAnsi="Arial" w:cs="Arial"/>
          <w:sz w:val="24"/>
          <w:szCs w:val="24"/>
        </w:rPr>
        <w:t>while</w:t>
      </w:r>
      <w:r w:rsidR="008770AB" w:rsidRPr="008770AB">
        <w:rPr>
          <w:rFonts w:ascii="Arial" w:hAnsi="Arial" w:cs="Arial"/>
          <w:sz w:val="24"/>
          <w:szCs w:val="24"/>
        </w:rPr>
        <w:t xml:space="preserve"> </w:t>
      </w:r>
      <w:r w:rsidR="003817D2">
        <w:rPr>
          <w:rFonts w:ascii="Arial" w:hAnsi="Arial" w:cs="Arial"/>
          <w:sz w:val="24"/>
          <w:szCs w:val="24"/>
        </w:rPr>
        <w:t>Ford Motor</w:t>
      </w:r>
      <w:r w:rsidR="008770AB" w:rsidRPr="008770AB">
        <w:rPr>
          <w:rFonts w:ascii="Arial" w:hAnsi="Arial" w:cs="Arial"/>
          <w:sz w:val="24"/>
          <w:szCs w:val="24"/>
        </w:rPr>
        <w:t xml:space="preserve"> must </w:t>
      </w:r>
      <w:r w:rsidR="008770AB" w:rsidRPr="008770AB">
        <w:rPr>
          <w:rFonts w:ascii="Arial" w:hAnsi="Arial" w:cs="Arial"/>
          <w:sz w:val="24"/>
          <w:szCs w:val="24"/>
        </w:rPr>
        <w:lastRenderedPageBreak/>
        <w:t xml:space="preserve">reposition strategically to align with evolving consumer values, balancing </w:t>
      </w:r>
      <w:r w:rsidR="003817D2">
        <w:rPr>
          <w:rFonts w:ascii="Arial" w:hAnsi="Arial" w:cs="Arial"/>
          <w:sz w:val="24"/>
          <w:szCs w:val="24"/>
        </w:rPr>
        <w:t xml:space="preserve">Ford </w:t>
      </w:r>
      <w:r w:rsidR="00D44C97">
        <w:rPr>
          <w:rFonts w:ascii="Arial" w:hAnsi="Arial" w:cs="Arial"/>
          <w:sz w:val="24"/>
          <w:szCs w:val="24"/>
        </w:rPr>
        <w:t>Motor</w:t>
      </w:r>
      <w:r w:rsidR="00D44C97" w:rsidRPr="008770AB">
        <w:rPr>
          <w:rFonts w:ascii="Arial" w:hAnsi="Arial" w:cs="Arial"/>
          <w:sz w:val="24"/>
          <w:szCs w:val="24"/>
        </w:rPr>
        <w:t xml:space="preserve"> ability</w:t>
      </w:r>
      <w:r w:rsidR="008770AB" w:rsidRPr="008770AB">
        <w:rPr>
          <w:rFonts w:ascii="Arial" w:hAnsi="Arial" w:cs="Arial"/>
          <w:sz w:val="24"/>
          <w:szCs w:val="24"/>
        </w:rPr>
        <w:t xml:space="preserve"> with technological advancement.</w:t>
      </w:r>
      <w:r w:rsidR="001C2F10">
        <w:rPr>
          <w:rFonts w:ascii="Arial" w:hAnsi="Arial" w:cs="Arial"/>
          <w:sz w:val="24"/>
          <w:szCs w:val="24"/>
        </w:rPr>
        <w:t xml:space="preserve"> </w:t>
      </w:r>
      <w:r w:rsidR="001C2F10" w:rsidRPr="001C2F10">
        <w:rPr>
          <w:rFonts w:ascii="Arial" w:hAnsi="Arial" w:cs="Arial"/>
          <w:sz w:val="24"/>
          <w:szCs w:val="24"/>
        </w:rPr>
        <w:t>Effective competitive positioning requires aligning the firm’s value proposition with evolving customer needs and competitive dynamics (Kotler and Keller, 2016).</w:t>
      </w:r>
    </w:p>
    <w:p w14:paraId="40A40BD4" w14:textId="120616C4" w:rsidR="008770AB" w:rsidRPr="008717CC" w:rsidRDefault="008770AB" w:rsidP="008717CC">
      <w:pPr>
        <w:spacing w:line="360" w:lineRule="auto"/>
        <w:rPr>
          <w:rFonts w:ascii="Arial" w:hAnsi="Arial" w:cs="Arial"/>
          <w:sz w:val="24"/>
          <w:szCs w:val="24"/>
        </w:rPr>
      </w:pPr>
      <w:r w:rsidRPr="008770AB">
        <w:rPr>
          <w:rFonts w:ascii="Arial" w:hAnsi="Arial" w:cs="Arial"/>
          <w:sz w:val="24"/>
          <w:szCs w:val="24"/>
        </w:rPr>
        <w:t>Overall, these macro-environmental forces redefine industry structures and compel both firms to adapt strategically.</w:t>
      </w:r>
      <w:r w:rsidR="009401FD" w:rsidRPr="008717CC">
        <w:rPr>
          <w:rFonts w:ascii="Arial" w:hAnsi="Arial" w:cs="Arial"/>
          <w:sz w:val="24"/>
          <w:szCs w:val="24"/>
        </w:rPr>
        <w:t xml:space="preserve"> Meaning,</w:t>
      </w:r>
      <w:r w:rsidRPr="008770AB">
        <w:rPr>
          <w:rFonts w:ascii="Arial" w:hAnsi="Arial" w:cs="Arial"/>
          <w:sz w:val="24"/>
          <w:szCs w:val="24"/>
        </w:rPr>
        <w:t xml:space="preserve"> </w:t>
      </w:r>
      <w:r w:rsidR="009401FD" w:rsidRPr="008717CC">
        <w:rPr>
          <w:rFonts w:ascii="Arial" w:hAnsi="Arial" w:cs="Arial"/>
          <w:sz w:val="24"/>
          <w:szCs w:val="24"/>
        </w:rPr>
        <w:t>w</w:t>
      </w:r>
      <w:r w:rsidRPr="008770AB">
        <w:rPr>
          <w:rFonts w:ascii="Arial" w:hAnsi="Arial" w:cs="Arial"/>
          <w:sz w:val="24"/>
          <w:szCs w:val="24"/>
        </w:rPr>
        <w:t xml:space="preserve">hile Tesla consolidates competitive advantage through innovation-led differentiation, </w:t>
      </w:r>
      <w:r w:rsidR="003817D2">
        <w:rPr>
          <w:rFonts w:ascii="Arial" w:hAnsi="Arial" w:cs="Arial"/>
          <w:sz w:val="24"/>
          <w:szCs w:val="24"/>
        </w:rPr>
        <w:t>Ford Motor</w:t>
      </w:r>
      <w:r w:rsidRPr="008770AB">
        <w:rPr>
          <w:rFonts w:ascii="Arial" w:hAnsi="Arial" w:cs="Arial"/>
          <w:sz w:val="24"/>
          <w:szCs w:val="24"/>
        </w:rPr>
        <w:t>’s position depends on strategic adaptation, investment reallocation, and growth strategies consistent with Ansoff’s expansion logic</w:t>
      </w:r>
      <w:r w:rsidR="00E150C1" w:rsidRPr="008717CC">
        <w:rPr>
          <w:rFonts w:ascii="Arial" w:hAnsi="Arial" w:cs="Arial"/>
          <w:sz w:val="24"/>
          <w:szCs w:val="24"/>
        </w:rPr>
        <w:t>.</w:t>
      </w:r>
    </w:p>
    <w:p w14:paraId="5FDB0DB8" w14:textId="77777777" w:rsidR="00E41B99" w:rsidRPr="008717CC" w:rsidRDefault="00E41B99" w:rsidP="008717CC">
      <w:pPr>
        <w:spacing w:line="360" w:lineRule="auto"/>
        <w:rPr>
          <w:rFonts w:ascii="Arial" w:hAnsi="Arial" w:cs="Arial"/>
          <w:sz w:val="24"/>
          <w:szCs w:val="24"/>
        </w:rPr>
      </w:pPr>
    </w:p>
    <w:p w14:paraId="07FEC144" w14:textId="77777777" w:rsidR="00E13F3B" w:rsidRPr="008717CC" w:rsidRDefault="00E13F3B" w:rsidP="008717CC">
      <w:pPr>
        <w:spacing w:line="360" w:lineRule="auto"/>
        <w:rPr>
          <w:rFonts w:ascii="Arial" w:hAnsi="Arial" w:cs="Arial"/>
          <w:sz w:val="24"/>
          <w:szCs w:val="24"/>
        </w:rPr>
      </w:pPr>
    </w:p>
    <w:p w14:paraId="30D0A9A1" w14:textId="77777777" w:rsidR="00E13F3B" w:rsidRPr="008717CC" w:rsidRDefault="00E13F3B" w:rsidP="008717CC">
      <w:pPr>
        <w:spacing w:line="360" w:lineRule="auto"/>
        <w:rPr>
          <w:rFonts w:ascii="Arial" w:hAnsi="Arial" w:cs="Arial"/>
          <w:sz w:val="24"/>
          <w:szCs w:val="24"/>
        </w:rPr>
      </w:pPr>
    </w:p>
    <w:p w14:paraId="692A4E9F" w14:textId="77777777" w:rsidR="00E13F3B" w:rsidRPr="008717CC" w:rsidRDefault="00E13F3B" w:rsidP="008717CC">
      <w:pPr>
        <w:spacing w:line="360" w:lineRule="auto"/>
        <w:rPr>
          <w:rFonts w:ascii="Arial" w:hAnsi="Arial" w:cs="Arial"/>
          <w:sz w:val="24"/>
          <w:szCs w:val="24"/>
        </w:rPr>
      </w:pPr>
    </w:p>
    <w:p w14:paraId="6B5EE0AE" w14:textId="77777777" w:rsidR="00E13F3B" w:rsidRPr="008717CC" w:rsidRDefault="00E13F3B" w:rsidP="008717CC">
      <w:pPr>
        <w:spacing w:line="360" w:lineRule="auto"/>
        <w:rPr>
          <w:rFonts w:ascii="Arial" w:hAnsi="Arial" w:cs="Arial"/>
          <w:sz w:val="24"/>
          <w:szCs w:val="24"/>
        </w:rPr>
      </w:pPr>
    </w:p>
    <w:p w14:paraId="3CC2497B" w14:textId="77777777" w:rsidR="00E13F3B" w:rsidRPr="008717CC" w:rsidRDefault="00E13F3B" w:rsidP="008717CC">
      <w:pPr>
        <w:spacing w:line="360" w:lineRule="auto"/>
        <w:rPr>
          <w:rFonts w:ascii="Arial" w:hAnsi="Arial" w:cs="Arial"/>
          <w:sz w:val="24"/>
          <w:szCs w:val="24"/>
        </w:rPr>
      </w:pPr>
    </w:p>
    <w:p w14:paraId="358A4042" w14:textId="77777777" w:rsidR="00E13F3B" w:rsidRPr="008717CC" w:rsidRDefault="00E13F3B" w:rsidP="008717CC">
      <w:pPr>
        <w:spacing w:line="360" w:lineRule="auto"/>
        <w:rPr>
          <w:rFonts w:ascii="Arial" w:hAnsi="Arial" w:cs="Arial"/>
          <w:sz w:val="24"/>
          <w:szCs w:val="24"/>
        </w:rPr>
      </w:pPr>
    </w:p>
    <w:p w14:paraId="2BCABDCD" w14:textId="77777777" w:rsidR="00E13F3B" w:rsidRPr="008717CC" w:rsidRDefault="00E13F3B" w:rsidP="008717CC">
      <w:pPr>
        <w:spacing w:line="360" w:lineRule="auto"/>
        <w:rPr>
          <w:rFonts w:ascii="Arial" w:hAnsi="Arial" w:cs="Arial"/>
          <w:sz w:val="24"/>
          <w:szCs w:val="24"/>
        </w:rPr>
      </w:pPr>
    </w:p>
    <w:p w14:paraId="0025CDB8" w14:textId="77777777" w:rsidR="00E13F3B" w:rsidRPr="008717CC" w:rsidRDefault="00E13F3B" w:rsidP="008717CC">
      <w:pPr>
        <w:spacing w:line="360" w:lineRule="auto"/>
        <w:rPr>
          <w:rFonts w:ascii="Arial" w:hAnsi="Arial" w:cs="Arial"/>
          <w:sz w:val="24"/>
          <w:szCs w:val="24"/>
        </w:rPr>
      </w:pPr>
    </w:p>
    <w:p w14:paraId="6B3CA8EF" w14:textId="77777777" w:rsidR="00E13F3B" w:rsidRPr="008717CC" w:rsidRDefault="00E13F3B" w:rsidP="008717CC">
      <w:pPr>
        <w:spacing w:line="360" w:lineRule="auto"/>
        <w:rPr>
          <w:rFonts w:ascii="Arial" w:hAnsi="Arial" w:cs="Arial"/>
          <w:sz w:val="24"/>
          <w:szCs w:val="24"/>
        </w:rPr>
      </w:pPr>
    </w:p>
    <w:p w14:paraId="0DD68EF3" w14:textId="77777777" w:rsidR="00E13F3B" w:rsidRPr="008717CC" w:rsidRDefault="00E13F3B" w:rsidP="008717CC">
      <w:pPr>
        <w:spacing w:line="360" w:lineRule="auto"/>
        <w:rPr>
          <w:rFonts w:ascii="Arial" w:hAnsi="Arial" w:cs="Arial"/>
          <w:sz w:val="24"/>
          <w:szCs w:val="24"/>
        </w:rPr>
      </w:pPr>
    </w:p>
    <w:p w14:paraId="7F27476D" w14:textId="77777777" w:rsidR="00E13F3B" w:rsidRPr="008717CC" w:rsidRDefault="00E13F3B" w:rsidP="008717CC">
      <w:pPr>
        <w:spacing w:line="360" w:lineRule="auto"/>
        <w:rPr>
          <w:rFonts w:ascii="Arial" w:hAnsi="Arial" w:cs="Arial"/>
          <w:sz w:val="24"/>
          <w:szCs w:val="24"/>
        </w:rPr>
      </w:pPr>
    </w:p>
    <w:p w14:paraId="1B6E8459" w14:textId="77777777" w:rsidR="00E13F3B" w:rsidRPr="008717CC" w:rsidRDefault="00E13F3B" w:rsidP="008717CC">
      <w:pPr>
        <w:spacing w:line="360" w:lineRule="auto"/>
        <w:rPr>
          <w:rFonts w:ascii="Arial" w:hAnsi="Arial" w:cs="Arial"/>
          <w:sz w:val="24"/>
          <w:szCs w:val="24"/>
        </w:rPr>
      </w:pPr>
    </w:p>
    <w:p w14:paraId="6D702889" w14:textId="77777777" w:rsidR="00E13F3B" w:rsidRPr="008717CC" w:rsidRDefault="00E13F3B" w:rsidP="008717CC">
      <w:pPr>
        <w:spacing w:line="360" w:lineRule="auto"/>
        <w:rPr>
          <w:rFonts w:ascii="Arial" w:hAnsi="Arial" w:cs="Arial"/>
          <w:sz w:val="24"/>
          <w:szCs w:val="24"/>
        </w:rPr>
      </w:pPr>
    </w:p>
    <w:p w14:paraId="7E55CB00" w14:textId="77777777" w:rsidR="00E13F3B" w:rsidRPr="008717CC" w:rsidRDefault="00E13F3B" w:rsidP="008717CC">
      <w:pPr>
        <w:spacing w:line="360" w:lineRule="auto"/>
        <w:rPr>
          <w:rFonts w:ascii="Arial" w:hAnsi="Arial" w:cs="Arial"/>
          <w:sz w:val="24"/>
          <w:szCs w:val="24"/>
        </w:rPr>
      </w:pPr>
    </w:p>
    <w:p w14:paraId="59374014" w14:textId="77777777" w:rsidR="00E13F3B" w:rsidRPr="008717CC" w:rsidRDefault="00E13F3B" w:rsidP="008717CC">
      <w:pPr>
        <w:spacing w:line="360" w:lineRule="auto"/>
        <w:rPr>
          <w:rFonts w:ascii="Arial" w:hAnsi="Arial" w:cs="Arial"/>
          <w:sz w:val="24"/>
          <w:szCs w:val="24"/>
        </w:rPr>
      </w:pPr>
    </w:p>
    <w:p w14:paraId="651F1F23" w14:textId="77777777" w:rsidR="00E13F3B" w:rsidRPr="008717CC" w:rsidRDefault="00E13F3B" w:rsidP="008717CC">
      <w:pPr>
        <w:spacing w:line="360" w:lineRule="auto"/>
        <w:rPr>
          <w:rFonts w:ascii="Arial" w:hAnsi="Arial" w:cs="Arial"/>
          <w:sz w:val="24"/>
          <w:szCs w:val="24"/>
        </w:rPr>
      </w:pPr>
    </w:p>
    <w:p w14:paraId="2704614B" w14:textId="18890B98" w:rsidR="00E41B99" w:rsidRPr="008717CC" w:rsidRDefault="00E41B99" w:rsidP="008717CC">
      <w:pPr>
        <w:spacing w:line="360" w:lineRule="auto"/>
        <w:rPr>
          <w:rFonts w:ascii="Arial" w:hAnsi="Arial" w:cs="Arial"/>
          <w:sz w:val="24"/>
          <w:szCs w:val="24"/>
        </w:rPr>
      </w:pPr>
      <w:r w:rsidRPr="008717CC">
        <w:rPr>
          <w:rFonts w:ascii="Arial" w:hAnsi="Arial" w:cs="Arial"/>
          <w:sz w:val="24"/>
          <w:szCs w:val="24"/>
        </w:rPr>
        <w:lastRenderedPageBreak/>
        <w:t>CONCLUSION</w:t>
      </w:r>
    </w:p>
    <w:p w14:paraId="27B9F73F" w14:textId="77777777" w:rsidR="00A62756" w:rsidRPr="008717CC" w:rsidRDefault="00A62756" w:rsidP="008717CC">
      <w:pPr>
        <w:spacing w:line="360" w:lineRule="auto"/>
        <w:rPr>
          <w:rFonts w:ascii="Arial" w:hAnsi="Arial" w:cs="Arial"/>
          <w:sz w:val="24"/>
          <w:szCs w:val="24"/>
        </w:rPr>
      </w:pPr>
    </w:p>
    <w:p w14:paraId="018EE09D" w14:textId="19CC3063" w:rsidR="00A62756" w:rsidRPr="00A62756" w:rsidRDefault="00A62756" w:rsidP="008717CC">
      <w:pPr>
        <w:spacing w:line="360" w:lineRule="auto"/>
        <w:rPr>
          <w:rFonts w:ascii="Arial" w:hAnsi="Arial" w:cs="Arial"/>
          <w:sz w:val="24"/>
          <w:szCs w:val="24"/>
        </w:rPr>
      </w:pPr>
      <w:r w:rsidRPr="00A62756">
        <w:rPr>
          <w:rFonts w:ascii="Arial" w:hAnsi="Arial" w:cs="Arial"/>
          <w:sz w:val="24"/>
          <w:szCs w:val="24"/>
        </w:rPr>
        <w:t>The macro-marketing environment</w:t>
      </w:r>
      <w:r w:rsidRPr="008717CC">
        <w:rPr>
          <w:rFonts w:ascii="Arial" w:hAnsi="Arial" w:cs="Arial"/>
          <w:sz w:val="24"/>
          <w:szCs w:val="24"/>
        </w:rPr>
        <w:t xml:space="preserve">, </w:t>
      </w:r>
      <w:r w:rsidRPr="00A62756">
        <w:rPr>
          <w:rFonts w:ascii="Arial" w:hAnsi="Arial" w:cs="Arial"/>
          <w:sz w:val="24"/>
          <w:szCs w:val="24"/>
        </w:rPr>
        <w:t>most notably regulatory transformation and technological disruption</w:t>
      </w:r>
      <w:r w:rsidRPr="008717CC">
        <w:rPr>
          <w:rFonts w:ascii="Arial" w:hAnsi="Arial" w:cs="Arial"/>
          <w:sz w:val="24"/>
          <w:szCs w:val="24"/>
        </w:rPr>
        <w:t xml:space="preserve">, </w:t>
      </w:r>
      <w:r w:rsidRPr="00A62756">
        <w:rPr>
          <w:rFonts w:ascii="Arial" w:hAnsi="Arial" w:cs="Arial"/>
          <w:sz w:val="24"/>
          <w:szCs w:val="24"/>
        </w:rPr>
        <w:t>has fundamentally reconfigured the competitive structure of the electric vehicle (EV) industry. Tesla capitalised on early alignment with climate legislation and leveraged innovation-led differentiation to pioneer and shape the sector. Its EV-exclusive model closely corresponded with emerging environmental policy frameworks, while regulatory credits enhanced profitability during the industry’s formative stage (Mangram, 2012).</w:t>
      </w:r>
    </w:p>
    <w:p w14:paraId="614B8B60" w14:textId="77777777" w:rsidR="00A62756" w:rsidRPr="00A62756" w:rsidRDefault="00A62756" w:rsidP="008717CC">
      <w:pPr>
        <w:spacing w:line="360" w:lineRule="auto"/>
        <w:rPr>
          <w:rFonts w:ascii="Arial" w:hAnsi="Arial" w:cs="Arial"/>
          <w:sz w:val="24"/>
          <w:szCs w:val="24"/>
        </w:rPr>
      </w:pPr>
      <w:r w:rsidRPr="00A62756">
        <w:rPr>
          <w:rFonts w:ascii="Arial" w:hAnsi="Arial" w:cs="Arial"/>
          <w:sz w:val="24"/>
          <w:szCs w:val="24"/>
        </w:rPr>
        <w:t>However, as electrification becomes increasingly mandated and technological capabilities diffuse across competitors, Tesla’s regulatory alignment no longer constitutes a distinctive source of competitive advantage. Opportunities such as first-mover legitimacy and sustainability-based brand equity are counterbalanced by threats including reduced exclusivity and dependence on subsidy regimes. Consequently, competitive differentiation is shifting towards operational efficiency, cost optimisation, and continuous innovation.</w:t>
      </w:r>
    </w:p>
    <w:p w14:paraId="2A2EBF63" w14:textId="4599C679" w:rsidR="00A62756" w:rsidRPr="00A62756" w:rsidRDefault="00A62756" w:rsidP="008717CC">
      <w:pPr>
        <w:spacing w:line="360" w:lineRule="auto"/>
        <w:rPr>
          <w:rFonts w:ascii="Arial" w:hAnsi="Arial" w:cs="Arial"/>
          <w:sz w:val="24"/>
          <w:szCs w:val="24"/>
        </w:rPr>
      </w:pPr>
      <w:r w:rsidRPr="00A62756">
        <w:rPr>
          <w:rFonts w:ascii="Arial" w:hAnsi="Arial" w:cs="Arial"/>
          <w:sz w:val="24"/>
          <w:szCs w:val="24"/>
        </w:rPr>
        <w:t xml:space="preserve">Conversely, </w:t>
      </w:r>
      <w:r w:rsidR="003817D2">
        <w:rPr>
          <w:rFonts w:ascii="Arial" w:hAnsi="Arial" w:cs="Arial"/>
          <w:sz w:val="24"/>
          <w:szCs w:val="24"/>
        </w:rPr>
        <w:t>Ford Motor</w:t>
      </w:r>
      <w:r w:rsidRPr="00A62756">
        <w:rPr>
          <w:rFonts w:ascii="Arial" w:hAnsi="Arial" w:cs="Arial"/>
          <w:sz w:val="24"/>
          <w:szCs w:val="24"/>
        </w:rPr>
        <w:t>, despite initial structural disadvantages associated with legacy assets, faces both regulatory disruption and strategic opportunity. While the transition to electrification generates risks</w:t>
      </w:r>
      <w:r w:rsidRPr="008717CC">
        <w:rPr>
          <w:rFonts w:ascii="Arial" w:hAnsi="Arial" w:cs="Arial"/>
          <w:sz w:val="24"/>
          <w:szCs w:val="24"/>
        </w:rPr>
        <w:t xml:space="preserve">, </w:t>
      </w:r>
      <w:r w:rsidRPr="00A62756">
        <w:rPr>
          <w:rFonts w:ascii="Arial" w:hAnsi="Arial" w:cs="Arial"/>
          <w:sz w:val="24"/>
          <w:szCs w:val="24"/>
        </w:rPr>
        <w:t>such as stranded internal combustion investments, production restructuring costs, and margin pressures</w:t>
      </w:r>
      <w:r w:rsidRPr="008717CC">
        <w:rPr>
          <w:rFonts w:ascii="Arial" w:hAnsi="Arial" w:cs="Arial"/>
          <w:sz w:val="24"/>
          <w:szCs w:val="24"/>
        </w:rPr>
        <w:t xml:space="preserve">, </w:t>
      </w:r>
      <w:r w:rsidRPr="00A62756">
        <w:rPr>
          <w:rFonts w:ascii="Arial" w:hAnsi="Arial" w:cs="Arial"/>
          <w:sz w:val="24"/>
          <w:szCs w:val="24"/>
        </w:rPr>
        <w:t>it also offers structured policy support and the capacity to leverage established brand capital and scale economies.</w:t>
      </w:r>
    </w:p>
    <w:p w14:paraId="32D71B6A" w14:textId="7348E36B" w:rsidR="00A62756" w:rsidRPr="00A62756" w:rsidRDefault="00A62756" w:rsidP="008717CC">
      <w:pPr>
        <w:spacing w:line="360" w:lineRule="auto"/>
        <w:rPr>
          <w:rFonts w:ascii="Arial" w:hAnsi="Arial" w:cs="Arial"/>
          <w:sz w:val="24"/>
          <w:szCs w:val="24"/>
        </w:rPr>
      </w:pPr>
      <w:r w:rsidRPr="00A62756">
        <w:rPr>
          <w:rFonts w:ascii="Arial" w:hAnsi="Arial" w:cs="Arial"/>
          <w:sz w:val="24"/>
          <w:szCs w:val="24"/>
        </w:rPr>
        <w:t>Ultimately, sustained competitive advantage for both firms will depend on the effective integration of cost leadership, innovation capability, and strategic agility within an evolving regulatory and technological landscape.</w:t>
      </w:r>
      <w:r w:rsidR="00611D85">
        <w:rPr>
          <w:rFonts w:ascii="Arial" w:hAnsi="Arial" w:cs="Arial"/>
          <w:sz w:val="24"/>
          <w:szCs w:val="24"/>
        </w:rPr>
        <w:t xml:space="preserve"> </w:t>
      </w:r>
      <w:r w:rsidR="00611D85" w:rsidRPr="00611D85">
        <w:rPr>
          <w:rFonts w:ascii="Arial" w:hAnsi="Arial" w:cs="Arial"/>
          <w:sz w:val="24"/>
          <w:szCs w:val="24"/>
        </w:rPr>
        <w:t xml:space="preserve">Beyond industry structure, sustained competitive advantage depends on firm-specific resources that are valuable, rare, inimitable, and non-substitutable (Barney, 1991). Tesla’s software integration capabilities and </w:t>
      </w:r>
      <w:r w:rsidR="003817D2">
        <w:rPr>
          <w:rFonts w:ascii="Arial" w:hAnsi="Arial" w:cs="Arial"/>
          <w:sz w:val="24"/>
          <w:szCs w:val="24"/>
        </w:rPr>
        <w:t>Ford Motor</w:t>
      </w:r>
      <w:r w:rsidR="00611D85" w:rsidRPr="00611D85">
        <w:rPr>
          <w:rFonts w:ascii="Arial" w:hAnsi="Arial" w:cs="Arial"/>
          <w:sz w:val="24"/>
          <w:szCs w:val="24"/>
        </w:rPr>
        <w:t>’s manufacturing scale exemplify such strategic assets.</w:t>
      </w:r>
    </w:p>
    <w:p w14:paraId="6FD0273D" w14:textId="77777777" w:rsidR="00842E70" w:rsidRPr="008717CC" w:rsidRDefault="00842E70" w:rsidP="008717CC">
      <w:pPr>
        <w:spacing w:line="360" w:lineRule="auto"/>
        <w:rPr>
          <w:rFonts w:ascii="Arial" w:hAnsi="Arial" w:cs="Arial"/>
          <w:sz w:val="24"/>
          <w:szCs w:val="24"/>
        </w:rPr>
      </w:pPr>
    </w:p>
    <w:p w14:paraId="2B3DA9B1" w14:textId="77777777" w:rsidR="00D64892" w:rsidRDefault="00D64892" w:rsidP="008717CC">
      <w:pPr>
        <w:spacing w:line="360" w:lineRule="auto"/>
        <w:rPr>
          <w:rFonts w:ascii="Arial" w:hAnsi="Arial" w:cs="Arial"/>
          <w:sz w:val="24"/>
          <w:szCs w:val="24"/>
        </w:rPr>
      </w:pPr>
    </w:p>
    <w:p w14:paraId="1F7E34EA" w14:textId="5D373D75" w:rsidR="00842E70" w:rsidRPr="008717CC" w:rsidRDefault="00842E70" w:rsidP="008717CC">
      <w:pPr>
        <w:spacing w:line="360" w:lineRule="auto"/>
        <w:rPr>
          <w:rFonts w:ascii="Arial" w:hAnsi="Arial" w:cs="Arial"/>
          <w:sz w:val="24"/>
          <w:szCs w:val="24"/>
        </w:rPr>
      </w:pPr>
      <w:r w:rsidRPr="008717CC">
        <w:rPr>
          <w:rFonts w:ascii="Arial" w:hAnsi="Arial" w:cs="Arial"/>
          <w:sz w:val="24"/>
          <w:szCs w:val="24"/>
        </w:rPr>
        <w:lastRenderedPageBreak/>
        <w:t>RECOMMANDATIONS AND</w:t>
      </w:r>
      <w:r w:rsidRPr="008717CC">
        <w:rPr>
          <w:rFonts w:ascii="Arial" w:hAnsi="Arial" w:cs="Arial"/>
          <w:sz w:val="24"/>
          <w:szCs w:val="24"/>
        </w:rPr>
        <w:t xml:space="preserve"> STRATEGIC</w:t>
      </w:r>
      <w:r w:rsidRPr="008717CC">
        <w:rPr>
          <w:rFonts w:ascii="Arial" w:hAnsi="Arial" w:cs="Arial"/>
          <w:sz w:val="24"/>
          <w:szCs w:val="24"/>
        </w:rPr>
        <w:t xml:space="preserve"> SUGGESTIONS</w:t>
      </w:r>
    </w:p>
    <w:p w14:paraId="15C75835" w14:textId="4F28C26E" w:rsidR="00A62756" w:rsidRPr="00A62756" w:rsidRDefault="00842E70" w:rsidP="008717CC">
      <w:pPr>
        <w:spacing w:line="360" w:lineRule="auto"/>
        <w:rPr>
          <w:rFonts w:ascii="Arial" w:hAnsi="Arial" w:cs="Arial"/>
          <w:sz w:val="24"/>
          <w:szCs w:val="24"/>
        </w:rPr>
      </w:pPr>
      <w:r w:rsidRPr="008717CC">
        <w:rPr>
          <w:rFonts w:ascii="Arial" w:hAnsi="Arial" w:cs="Arial"/>
          <w:sz w:val="24"/>
          <w:szCs w:val="24"/>
        </w:rPr>
        <w:t>Considering</w:t>
      </w:r>
      <w:r w:rsidR="00A62756" w:rsidRPr="00A62756">
        <w:rPr>
          <w:rFonts w:ascii="Arial" w:hAnsi="Arial" w:cs="Arial"/>
          <w:sz w:val="24"/>
          <w:szCs w:val="24"/>
        </w:rPr>
        <w:t xml:space="preserve"> ongoing regulatory and technological transformation, both organisations must reinforce adaptive strategic capabilities. For Tesla, maintaining long-term advantage requires shifting emphasis from regulatory-driven differentiation towards operational excellence, supply chain resilience, and scalable cost leadership while preserving its innovation trajectory.</w:t>
      </w:r>
      <w:r w:rsidR="00FA787B">
        <w:rPr>
          <w:rFonts w:ascii="Arial" w:hAnsi="Arial" w:cs="Arial"/>
          <w:sz w:val="24"/>
          <w:szCs w:val="24"/>
        </w:rPr>
        <w:t xml:space="preserve"> </w:t>
      </w:r>
    </w:p>
    <w:p w14:paraId="1B8FA74C" w14:textId="756FA2E3" w:rsidR="00A62756" w:rsidRPr="00A62756" w:rsidRDefault="00A62756" w:rsidP="008717CC">
      <w:pPr>
        <w:spacing w:line="360" w:lineRule="auto"/>
        <w:rPr>
          <w:rFonts w:ascii="Arial" w:hAnsi="Arial" w:cs="Arial"/>
          <w:sz w:val="24"/>
          <w:szCs w:val="24"/>
        </w:rPr>
      </w:pPr>
      <w:r w:rsidRPr="00A62756">
        <w:rPr>
          <w:rFonts w:ascii="Arial" w:hAnsi="Arial" w:cs="Arial"/>
          <w:sz w:val="24"/>
          <w:szCs w:val="24"/>
        </w:rPr>
        <w:t xml:space="preserve">For </w:t>
      </w:r>
      <w:r w:rsidR="003817D2">
        <w:rPr>
          <w:rFonts w:ascii="Arial" w:hAnsi="Arial" w:cs="Arial"/>
          <w:sz w:val="24"/>
          <w:szCs w:val="24"/>
        </w:rPr>
        <w:t>Ford Motor</w:t>
      </w:r>
      <w:r w:rsidRPr="00A62756">
        <w:rPr>
          <w:rFonts w:ascii="Arial" w:hAnsi="Arial" w:cs="Arial"/>
          <w:sz w:val="24"/>
          <w:szCs w:val="24"/>
        </w:rPr>
        <w:t>, strategic renewal should prioritise accelerated capability development in EV technologies, portfolio rationalisation, and leveraging brand heritage to strengthen market trust during transition. Its follower strategy can yield sustainable advantage if supported by disciplined investment, technological partnerships, and organisational agility.</w:t>
      </w:r>
    </w:p>
    <w:p w14:paraId="3DEFA663" w14:textId="365DEC31" w:rsidR="00E911B8" w:rsidRPr="008717CC" w:rsidRDefault="00A62756" w:rsidP="008717CC">
      <w:pPr>
        <w:spacing w:line="360" w:lineRule="auto"/>
        <w:rPr>
          <w:rFonts w:ascii="Arial" w:hAnsi="Arial" w:cs="Arial"/>
          <w:sz w:val="24"/>
          <w:szCs w:val="24"/>
        </w:rPr>
      </w:pPr>
      <w:r w:rsidRPr="00A62756">
        <w:rPr>
          <w:rFonts w:ascii="Arial" w:hAnsi="Arial" w:cs="Arial"/>
          <w:sz w:val="24"/>
          <w:szCs w:val="24"/>
        </w:rPr>
        <w:t>In sum, competitive sustainability within the EV market will increasingly depend on the dynamic alignment of market positioning, cost efficiency, and continuous innovation under conditions of structural industry evolution</w:t>
      </w:r>
      <w:r w:rsidR="00286F7B" w:rsidRPr="008717CC">
        <w:rPr>
          <w:rFonts w:ascii="Arial" w:hAnsi="Arial" w:cs="Arial"/>
          <w:sz w:val="24"/>
          <w:szCs w:val="24"/>
        </w:rPr>
        <w:t xml:space="preserve"> </w:t>
      </w:r>
      <w:r w:rsidR="00E911B8" w:rsidRPr="008717CC">
        <w:rPr>
          <w:rFonts w:ascii="Arial" w:hAnsi="Arial" w:cs="Arial"/>
          <w:sz w:val="24"/>
          <w:szCs w:val="24"/>
        </w:rPr>
        <w:t>and technological landscapes.</w:t>
      </w:r>
    </w:p>
    <w:p w14:paraId="378810B1" w14:textId="77777777" w:rsidR="0088103B" w:rsidRPr="008717CC" w:rsidRDefault="0088103B" w:rsidP="008717CC">
      <w:pPr>
        <w:spacing w:line="360" w:lineRule="auto"/>
        <w:rPr>
          <w:rFonts w:ascii="Arial" w:hAnsi="Arial" w:cs="Arial"/>
          <w:sz w:val="24"/>
          <w:szCs w:val="24"/>
        </w:rPr>
      </w:pPr>
    </w:p>
    <w:p w14:paraId="4F447B3D" w14:textId="77777777" w:rsidR="0088103B" w:rsidRPr="008717CC" w:rsidRDefault="0088103B" w:rsidP="008717CC">
      <w:pPr>
        <w:spacing w:line="360" w:lineRule="auto"/>
        <w:rPr>
          <w:rFonts w:ascii="Arial" w:hAnsi="Arial" w:cs="Arial"/>
          <w:sz w:val="24"/>
          <w:szCs w:val="24"/>
        </w:rPr>
      </w:pPr>
    </w:p>
    <w:p w14:paraId="48CA0E38" w14:textId="77777777" w:rsidR="0088103B" w:rsidRPr="008717CC" w:rsidRDefault="0088103B" w:rsidP="008717CC">
      <w:pPr>
        <w:spacing w:line="360" w:lineRule="auto"/>
        <w:rPr>
          <w:rFonts w:ascii="Arial" w:hAnsi="Arial" w:cs="Arial"/>
          <w:sz w:val="24"/>
          <w:szCs w:val="24"/>
        </w:rPr>
      </w:pPr>
    </w:p>
    <w:p w14:paraId="60058935" w14:textId="77777777" w:rsidR="0088103B" w:rsidRPr="008717CC" w:rsidRDefault="0088103B" w:rsidP="008717CC">
      <w:pPr>
        <w:spacing w:line="360" w:lineRule="auto"/>
        <w:rPr>
          <w:rFonts w:ascii="Arial" w:hAnsi="Arial" w:cs="Arial"/>
          <w:sz w:val="24"/>
          <w:szCs w:val="24"/>
        </w:rPr>
      </w:pPr>
    </w:p>
    <w:p w14:paraId="3BC19D6C" w14:textId="77777777" w:rsidR="0088103B" w:rsidRPr="008717CC" w:rsidRDefault="0088103B" w:rsidP="008717CC">
      <w:pPr>
        <w:spacing w:line="360" w:lineRule="auto"/>
        <w:rPr>
          <w:rFonts w:ascii="Arial" w:hAnsi="Arial" w:cs="Arial"/>
          <w:sz w:val="24"/>
          <w:szCs w:val="24"/>
        </w:rPr>
      </w:pPr>
    </w:p>
    <w:p w14:paraId="4271F97D" w14:textId="77777777" w:rsidR="0088103B" w:rsidRPr="008717CC" w:rsidRDefault="0088103B" w:rsidP="008717CC">
      <w:pPr>
        <w:spacing w:line="360" w:lineRule="auto"/>
        <w:rPr>
          <w:rFonts w:ascii="Arial" w:hAnsi="Arial" w:cs="Arial"/>
          <w:sz w:val="24"/>
          <w:szCs w:val="24"/>
        </w:rPr>
      </w:pPr>
    </w:p>
    <w:p w14:paraId="3D668644" w14:textId="77777777" w:rsidR="0088103B" w:rsidRPr="008717CC" w:rsidRDefault="0088103B" w:rsidP="008717CC">
      <w:pPr>
        <w:spacing w:line="360" w:lineRule="auto"/>
        <w:rPr>
          <w:rFonts w:ascii="Arial" w:hAnsi="Arial" w:cs="Arial"/>
          <w:sz w:val="24"/>
          <w:szCs w:val="24"/>
        </w:rPr>
      </w:pPr>
    </w:p>
    <w:p w14:paraId="3F1BB626" w14:textId="77777777" w:rsidR="0088103B" w:rsidRPr="008717CC" w:rsidRDefault="0088103B" w:rsidP="008717CC">
      <w:pPr>
        <w:spacing w:line="360" w:lineRule="auto"/>
        <w:rPr>
          <w:rFonts w:ascii="Arial" w:hAnsi="Arial" w:cs="Arial"/>
          <w:sz w:val="24"/>
          <w:szCs w:val="24"/>
        </w:rPr>
      </w:pPr>
    </w:p>
    <w:p w14:paraId="7F86DAE2" w14:textId="77777777" w:rsidR="0088103B" w:rsidRPr="008717CC" w:rsidRDefault="0088103B" w:rsidP="008717CC">
      <w:pPr>
        <w:spacing w:line="360" w:lineRule="auto"/>
        <w:rPr>
          <w:rFonts w:ascii="Arial" w:hAnsi="Arial" w:cs="Arial"/>
          <w:sz w:val="24"/>
          <w:szCs w:val="24"/>
        </w:rPr>
      </w:pPr>
    </w:p>
    <w:p w14:paraId="459015F6" w14:textId="77777777" w:rsidR="0088103B" w:rsidRPr="008717CC" w:rsidRDefault="0088103B" w:rsidP="008717CC">
      <w:pPr>
        <w:spacing w:line="360" w:lineRule="auto"/>
        <w:rPr>
          <w:rFonts w:ascii="Arial" w:hAnsi="Arial" w:cs="Arial"/>
          <w:sz w:val="24"/>
          <w:szCs w:val="24"/>
        </w:rPr>
      </w:pPr>
    </w:p>
    <w:p w14:paraId="083460CE" w14:textId="77777777" w:rsidR="0088103B" w:rsidRPr="008717CC" w:rsidRDefault="0088103B" w:rsidP="008717CC">
      <w:pPr>
        <w:spacing w:line="360" w:lineRule="auto"/>
        <w:rPr>
          <w:rFonts w:ascii="Arial" w:hAnsi="Arial" w:cs="Arial"/>
          <w:sz w:val="24"/>
          <w:szCs w:val="24"/>
        </w:rPr>
      </w:pPr>
    </w:p>
    <w:p w14:paraId="2F41A598" w14:textId="77777777" w:rsidR="0088103B" w:rsidRPr="008717CC" w:rsidRDefault="0088103B" w:rsidP="008717CC">
      <w:pPr>
        <w:spacing w:line="360" w:lineRule="auto"/>
        <w:rPr>
          <w:rFonts w:ascii="Arial" w:hAnsi="Arial" w:cs="Arial"/>
          <w:sz w:val="24"/>
          <w:szCs w:val="24"/>
        </w:rPr>
      </w:pPr>
    </w:p>
    <w:p w14:paraId="67EC2015" w14:textId="4BD89674" w:rsidR="002D1DE0" w:rsidRPr="008717CC" w:rsidRDefault="0088103B" w:rsidP="008717CC">
      <w:pPr>
        <w:spacing w:line="360" w:lineRule="auto"/>
        <w:rPr>
          <w:rFonts w:ascii="Arial" w:hAnsi="Arial" w:cs="Arial"/>
          <w:sz w:val="24"/>
          <w:szCs w:val="24"/>
        </w:rPr>
      </w:pPr>
      <w:r w:rsidRPr="008717CC">
        <w:rPr>
          <w:rFonts w:ascii="Arial" w:hAnsi="Arial" w:cs="Arial"/>
          <w:sz w:val="24"/>
          <w:szCs w:val="24"/>
        </w:rPr>
        <w:lastRenderedPageBreak/>
        <w:t>REF</w:t>
      </w:r>
      <w:r w:rsidR="002D1DE0" w:rsidRPr="008717CC">
        <w:rPr>
          <w:rFonts w:ascii="Arial" w:hAnsi="Arial" w:cs="Arial"/>
          <w:sz w:val="24"/>
          <w:szCs w:val="24"/>
        </w:rPr>
        <w:t>ERENCES</w:t>
      </w:r>
    </w:p>
    <w:p w14:paraId="2DCEF9C2" w14:textId="21F88512" w:rsidR="00E911B8" w:rsidRPr="008717CC" w:rsidRDefault="00E911B8" w:rsidP="008717CC">
      <w:pPr>
        <w:spacing w:line="360" w:lineRule="auto"/>
        <w:rPr>
          <w:rFonts w:ascii="Arial" w:hAnsi="Arial" w:cs="Arial"/>
          <w:sz w:val="24"/>
          <w:szCs w:val="24"/>
        </w:rPr>
      </w:pPr>
    </w:p>
    <w:p w14:paraId="1428299E"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Ansoff, H.I. (1957) ‘Strategies for diversification’, </w:t>
      </w:r>
      <w:r w:rsidRPr="0088103B">
        <w:rPr>
          <w:rFonts w:ascii="Arial" w:hAnsi="Arial" w:cs="Arial"/>
          <w:i/>
          <w:iCs/>
          <w:sz w:val="24"/>
          <w:szCs w:val="24"/>
        </w:rPr>
        <w:t>Harvard Business Review</w:t>
      </w:r>
      <w:r w:rsidRPr="0088103B">
        <w:rPr>
          <w:rFonts w:ascii="Arial" w:hAnsi="Arial" w:cs="Arial"/>
          <w:sz w:val="24"/>
          <w:szCs w:val="24"/>
        </w:rPr>
        <w:t>, 35(5), pp. 113–124.</w:t>
      </w:r>
    </w:p>
    <w:p w14:paraId="724CFC5E" w14:textId="77777777" w:rsidR="00087B7E" w:rsidRPr="0088103B" w:rsidRDefault="00087B7E" w:rsidP="008717CC">
      <w:pPr>
        <w:spacing w:line="360" w:lineRule="auto"/>
        <w:rPr>
          <w:rFonts w:ascii="Arial" w:hAnsi="Arial" w:cs="Arial"/>
          <w:sz w:val="24"/>
          <w:szCs w:val="24"/>
        </w:rPr>
      </w:pPr>
    </w:p>
    <w:p w14:paraId="63D15FCC"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Ansoff, H.I. (1965) </w:t>
      </w:r>
      <w:r w:rsidRPr="0088103B">
        <w:rPr>
          <w:rFonts w:ascii="Arial" w:hAnsi="Arial" w:cs="Arial"/>
          <w:i/>
          <w:iCs/>
          <w:sz w:val="24"/>
          <w:szCs w:val="24"/>
        </w:rPr>
        <w:t>Corporate strategy: An analytic approach to business policy for growth and expansion</w:t>
      </w:r>
      <w:r w:rsidRPr="0088103B">
        <w:rPr>
          <w:rFonts w:ascii="Arial" w:hAnsi="Arial" w:cs="Arial"/>
          <w:sz w:val="24"/>
          <w:szCs w:val="24"/>
        </w:rPr>
        <w:t>. New York: McGraw-Hill.</w:t>
      </w:r>
    </w:p>
    <w:p w14:paraId="10125B46" w14:textId="77777777" w:rsidR="00087B7E" w:rsidRPr="0088103B" w:rsidRDefault="00087B7E" w:rsidP="008717CC">
      <w:pPr>
        <w:spacing w:line="360" w:lineRule="auto"/>
        <w:rPr>
          <w:rFonts w:ascii="Arial" w:hAnsi="Arial" w:cs="Arial"/>
          <w:sz w:val="24"/>
          <w:szCs w:val="24"/>
        </w:rPr>
      </w:pPr>
    </w:p>
    <w:p w14:paraId="7255074C"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Barney, J. (1991) ‘Firm resources and sustained competitive advantage’, </w:t>
      </w:r>
      <w:r w:rsidRPr="0088103B">
        <w:rPr>
          <w:rFonts w:ascii="Arial" w:hAnsi="Arial" w:cs="Arial"/>
          <w:i/>
          <w:iCs/>
          <w:sz w:val="24"/>
          <w:szCs w:val="24"/>
        </w:rPr>
        <w:t>Journal of Management</w:t>
      </w:r>
      <w:r w:rsidRPr="0088103B">
        <w:rPr>
          <w:rFonts w:ascii="Arial" w:hAnsi="Arial" w:cs="Arial"/>
          <w:sz w:val="24"/>
          <w:szCs w:val="24"/>
        </w:rPr>
        <w:t>, 17(1), pp. 99–120.</w:t>
      </w:r>
    </w:p>
    <w:p w14:paraId="73EA1DBC" w14:textId="77777777" w:rsidR="00087B7E" w:rsidRPr="0088103B" w:rsidRDefault="00087B7E" w:rsidP="008717CC">
      <w:pPr>
        <w:spacing w:line="360" w:lineRule="auto"/>
        <w:rPr>
          <w:rFonts w:ascii="Arial" w:hAnsi="Arial" w:cs="Arial"/>
          <w:sz w:val="24"/>
          <w:szCs w:val="24"/>
        </w:rPr>
      </w:pPr>
    </w:p>
    <w:p w14:paraId="4305E7EB"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Christensen, C.M. (1997) </w:t>
      </w:r>
      <w:r w:rsidRPr="0088103B">
        <w:rPr>
          <w:rFonts w:ascii="Arial" w:hAnsi="Arial" w:cs="Arial"/>
          <w:i/>
          <w:iCs/>
          <w:sz w:val="24"/>
          <w:szCs w:val="24"/>
        </w:rPr>
        <w:t>The innovator’s dilemma</w:t>
      </w:r>
      <w:r w:rsidRPr="0088103B">
        <w:rPr>
          <w:rFonts w:ascii="Arial" w:hAnsi="Arial" w:cs="Arial"/>
          <w:sz w:val="24"/>
          <w:szCs w:val="24"/>
        </w:rPr>
        <w:t>. Boston: Harvard Business School Press.</w:t>
      </w:r>
    </w:p>
    <w:p w14:paraId="12A023A2" w14:textId="77777777" w:rsidR="00087B7E" w:rsidRPr="0088103B" w:rsidRDefault="00087B7E" w:rsidP="008717CC">
      <w:pPr>
        <w:spacing w:line="360" w:lineRule="auto"/>
        <w:rPr>
          <w:rFonts w:ascii="Arial" w:hAnsi="Arial" w:cs="Arial"/>
          <w:sz w:val="24"/>
          <w:szCs w:val="24"/>
        </w:rPr>
      </w:pPr>
    </w:p>
    <w:p w14:paraId="549EFF35"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Hooley, G.J., Nicoulaud, B., Rudd, J.M. and Lee, N. (2024) </w:t>
      </w:r>
      <w:r w:rsidRPr="0088103B">
        <w:rPr>
          <w:rFonts w:ascii="Arial" w:hAnsi="Arial" w:cs="Arial"/>
          <w:i/>
          <w:iCs/>
          <w:sz w:val="24"/>
          <w:szCs w:val="24"/>
        </w:rPr>
        <w:t>Marketing strategy and competitive positioning</w:t>
      </w:r>
      <w:r w:rsidRPr="0088103B">
        <w:rPr>
          <w:rFonts w:ascii="Arial" w:hAnsi="Arial" w:cs="Arial"/>
          <w:sz w:val="24"/>
          <w:szCs w:val="24"/>
        </w:rPr>
        <w:t>. 8th ed. Harlow: Pearson.</w:t>
      </w:r>
    </w:p>
    <w:p w14:paraId="6B64B31E" w14:textId="77777777" w:rsidR="00087B7E" w:rsidRPr="0088103B" w:rsidRDefault="00087B7E" w:rsidP="008717CC">
      <w:pPr>
        <w:spacing w:line="360" w:lineRule="auto"/>
        <w:rPr>
          <w:rFonts w:ascii="Arial" w:hAnsi="Arial" w:cs="Arial"/>
          <w:sz w:val="24"/>
          <w:szCs w:val="24"/>
        </w:rPr>
      </w:pPr>
    </w:p>
    <w:p w14:paraId="72B1701D"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IEA (2023) </w:t>
      </w:r>
      <w:r w:rsidRPr="0088103B">
        <w:rPr>
          <w:rFonts w:ascii="Arial" w:hAnsi="Arial" w:cs="Arial"/>
          <w:i/>
          <w:iCs/>
          <w:sz w:val="24"/>
          <w:szCs w:val="24"/>
        </w:rPr>
        <w:t>Global EV outlook 2023</w:t>
      </w:r>
      <w:r w:rsidRPr="0088103B">
        <w:rPr>
          <w:rFonts w:ascii="Arial" w:hAnsi="Arial" w:cs="Arial"/>
          <w:sz w:val="24"/>
          <w:szCs w:val="24"/>
        </w:rPr>
        <w:t>. Paris: International Energy Agency.</w:t>
      </w:r>
    </w:p>
    <w:p w14:paraId="3C4A558F" w14:textId="77777777" w:rsidR="00087B7E" w:rsidRPr="0088103B" w:rsidRDefault="00087B7E" w:rsidP="008717CC">
      <w:pPr>
        <w:spacing w:line="360" w:lineRule="auto"/>
        <w:rPr>
          <w:rFonts w:ascii="Arial" w:hAnsi="Arial" w:cs="Arial"/>
          <w:sz w:val="24"/>
          <w:szCs w:val="24"/>
        </w:rPr>
      </w:pPr>
    </w:p>
    <w:p w14:paraId="1C26FCE7"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Kotler, P. and Keller, K.L. (2016) </w:t>
      </w:r>
      <w:r w:rsidRPr="0088103B">
        <w:rPr>
          <w:rFonts w:ascii="Arial" w:hAnsi="Arial" w:cs="Arial"/>
          <w:i/>
          <w:iCs/>
          <w:sz w:val="24"/>
          <w:szCs w:val="24"/>
        </w:rPr>
        <w:t>Marketing management</w:t>
      </w:r>
      <w:r w:rsidRPr="0088103B">
        <w:rPr>
          <w:rFonts w:ascii="Arial" w:hAnsi="Arial" w:cs="Arial"/>
          <w:sz w:val="24"/>
          <w:szCs w:val="24"/>
        </w:rPr>
        <w:t>. 15th ed. Harlow: Pearson.</w:t>
      </w:r>
    </w:p>
    <w:p w14:paraId="3143682A" w14:textId="77777777" w:rsidR="00087B7E" w:rsidRPr="0088103B" w:rsidRDefault="00087B7E" w:rsidP="008717CC">
      <w:pPr>
        <w:spacing w:line="360" w:lineRule="auto"/>
        <w:rPr>
          <w:rFonts w:ascii="Arial" w:hAnsi="Arial" w:cs="Arial"/>
          <w:sz w:val="24"/>
          <w:szCs w:val="24"/>
        </w:rPr>
      </w:pPr>
    </w:p>
    <w:p w14:paraId="1EC0E0D8"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Lieberman, M.B. and Montgomery, D.B. (1988) ‘First-mover advantages’, </w:t>
      </w:r>
      <w:r w:rsidRPr="0088103B">
        <w:rPr>
          <w:rFonts w:ascii="Arial" w:hAnsi="Arial" w:cs="Arial"/>
          <w:i/>
          <w:iCs/>
          <w:sz w:val="24"/>
          <w:szCs w:val="24"/>
        </w:rPr>
        <w:t>Strategic Management Journal</w:t>
      </w:r>
      <w:r w:rsidRPr="0088103B">
        <w:rPr>
          <w:rFonts w:ascii="Arial" w:hAnsi="Arial" w:cs="Arial"/>
          <w:sz w:val="24"/>
          <w:szCs w:val="24"/>
        </w:rPr>
        <w:t>, 9(S1), pp. 41–58.</w:t>
      </w:r>
    </w:p>
    <w:p w14:paraId="52124B6F" w14:textId="77777777" w:rsidR="00087B7E" w:rsidRPr="0088103B" w:rsidRDefault="00087B7E" w:rsidP="008717CC">
      <w:pPr>
        <w:spacing w:line="360" w:lineRule="auto"/>
        <w:rPr>
          <w:rFonts w:ascii="Arial" w:hAnsi="Arial" w:cs="Arial"/>
          <w:sz w:val="24"/>
          <w:szCs w:val="24"/>
        </w:rPr>
      </w:pPr>
    </w:p>
    <w:p w14:paraId="687E776A"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Mangram, M.E. (2012) ‘The globalization of Tesla Motors’, </w:t>
      </w:r>
      <w:r w:rsidRPr="0088103B">
        <w:rPr>
          <w:rFonts w:ascii="Arial" w:hAnsi="Arial" w:cs="Arial"/>
          <w:i/>
          <w:iCs/>
          <w:sz w:val="24"/>
          <w:szCs w:val="24"/>
        </w:rPr>
        <w:t>Journal of Strategic Marketing</w:t>
      </w:r>
      <w:r w:rsidRPr="0088103B">
        <w:rPr>
          <w:rFonts w:ascii="Arial" w:hAnsi="Arial" w:cs="Arial"/>
          <w:sz w:val="24"/>
          <w:szCs w:val="24"/>
        </w:rPr>
        <w:t>, 20(4), pp. 289–312.</w:t>
      </w:r>
    </w:p>
    <w:p w14:paraId="3E236975" w14:textId="77777777" w:rsidR="00087B7E" w:rsidRPr="0088103B" w:rsidRDefault="00087B7E" w:rsidP="008717CC">
      <w:pPr>
        <w:spacing w:line="360" w:lineRule="auto"/>
        <w:rPr>
          <w:rFonts w:ascii="Arial" w:hAnsi="Arial" w:cs="Arial"/>
          <w:sz w:val="24"/>
          <w:szCs w:val="24"/>
        </w:rPr>
      </w:pPr>
    </w:p>
    <w:p w14:paraId="56B7F925"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Porter, M.E. (1980) </w:t>
      </w:r>
      <w:r w:rsidRPr="0088103B">
        <w:rPr>
          <w:rFonts w:ascii="Arial" w:hAnsi="Arial" w:cs="Arial"/>
          <w:i/>
          <w:iCs/>
          <w:sz w:val="24"/>
          <w:szCs w:val="24"/>
        </w:rPr>
        <w:t>Competitive strategy: Techniques for analysing industries and competitors</w:t>
      </w:r>
      <w:r w:rsidRPr="0088103B">
        <w:rPr>
          <w:rFonts w:ascii="Arial" w:hAnsi="Arial" w:cs="Arial"/>
          <w:sz w:val="24"/>
          <w:szCs w:val="24"/>
        </w:rPr>
        <w:t>. New York: Free Press.</w:t>
      </w:r>
    </w:p>
    <w:p w14:paraId="3AA667CD" w14:textId="77777777" w:rsidR="00087B7E" w:rsidRPr="0088103B" w:rsidRDefault="00087B7E" w:rsidP="008717CC">
      <w:pPr>
        <w:spacing w:line="360" w:lineRule="auto"/>
        <w:rPr>
          <w:rFonts w:ascii="Arial" w:hAnsi="Arial" w:cs="Arial"/>
          <w:sz w:val="24"/>
          <w:szCs w:val="24"/>
        </w:rPr>
      </w:pPr>
    </w:p>
    <w:p w14:paraId="6ADDDFE6"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Porter, M.E. (1985) </w:t>
      </w:r>
      <w:r w:rsidRPr="0088103B">
        <w:rPr>
          <w:rFonts w:ascii="Arial" w:hAnsi="Arial" w:cs="Arial"/>
          <w:i/>
          <w:iCs/>
          <w:sz w:val="24"/>
          <w:szCs w:val="24"/>
        </w:rPr>
        <w:t>Competitive advantage: Creating and sustaining superior performance</w:t>
      </w:r>
      <w:r w:rsidRPr="0088103B">
        <w:rPr>
          <w:rFonts w:ascii="Arial" w:hAnsi="Arial" w:cs="Arial"/>
          <w:sz w:val="24"/>
          <w:szCs w:val="24"/>
        </w:rPr>
        <w:t>. New York: Free Press.</w:t>
      </w:r>
    </w:p>
    <w:p w14:paraId="5532BECD" w14:textId="77777777" w:rsidR="00F7788E" w:rsidRPr="0088103B" w:rsidRDefault="00F7788E" w:rsidP="008717CC">
      <w:pPr>
        <w:spacing w:line="360" w:lineRule="auto"/>
        <w:rPr>
          <w:rFonts w:ascii="Arial" w:hAnsi="Arial" w:cs="Arial"/>
          <w:sz w:val="24"/>
          <w:szCs w:val="24"/>
        </w:rPr>
      </w:pPr>
    </w:p>
    <w:p w14:paraId="5CE36421"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Rogers, E.M. (2003) </w:t>
      </w:r>
      <w:r w:rsidRPr="0088103B">
        <w:rPr>
          <w:rFonts w:ascii="Arial" w:hAnsi="Arial" w:cs="Arial"/>
          <w:i/>
          <w:iCs/>
          <w:sz w:val="24"/>
          <w:szCs w:val="24"/>
        </w:rPr>
        <w:t>Diffusion of innovations</w:t>
      </w:r>
      <w:r w:rsidRPr="0088103B">
        <w:rPr>
          <w:rFonts w:ascii="Arial" w:hAnsi="Arial" w:cs="Arial"/>
          <w:sz w:val="24"/>
          <w:szCs w:val="24"/>
        </w:rPr>
        <w:t>. 5th ed. New York: Free Press.</w:t>
      </w:r>
    </w:p>
    <w:p w14:paraId="0FE3D929" w14:textId="77777777" w:rsidR="00F7788E" w:rsidRPr="0088103B" w:rsidRDefault="00F7788E" w:rsidP="008717CC">
      <w:pPr>
        <w:spacing w:line="360" w:lineRule="auto"/>
        <w:rPr>
          <w:rFonts w:ascii="Arial" w:hAnsi="Arial" w:cs="Arial"/>
          <w:sz w:val="24"/>
          <w:szCs w:val="24"/>
        </w:rPr>
      </w:pPr>
    </w:p>
    <w:p w14:paraId="1A851D48" w14:textId="77777777" w:rsidR="0088103B" w:rsidRPr="008717CC" w:rsidRDefault="0088103B" w:rsidP="008717CC">
      <w:pPr>
        <w:spacing w:line="360" w:lineRule="auto"/>
        <w:rPr>
          <w:rFonts w:ascii="Arial" w:hAnsi="Arial" w:cs="Arial"/>
          <w:sz w:val="24"/>
          <w:szCs w:val="24"/>
        </w:rPr>
      </w:pPr>
      <w:r w:rsidRPr="0088103B">
        <w:rPr>
          <w:rFonts w:ascii="Arial" w:hAnsi="Arial" w:cs="Arial"/>
          <w:sz w:val="24"/>
          <w:szCs w:val="24"/>
        </w:rPr>
        <w:t xml:space="preserve">Shahzad, K., Bajwa, S.U. and Zia, S.A. (2013) ‘Competitive strategy: Techniques for analysing industries &amp; competitors’, </w:t>
      </w:r>
      <w:r w:rsidRPr="0088103B">
        <w:rPr>
          <w:rFonts w:ascii="Arial" w:hAnsi="Arial" w:cs="Arial"/>
          <w:i/>
          <w:iCs/>
          <w:sz w:val="24"/>
          <w:szCs w:val="24"/>
        </w:rPr>
        <w:t>South Asian Journal of Management</w:t>
      </w:r>
      <w:r w:rsidRPr="0088103B">
        <w:rPr>
          <w:rFonts w:ascii="Arial" w:hAnsi="Arial" w:cs="Arial"/>
          <w:sz w:val="24"/>
          <w:szCs w:val="24"/>
        </w:rPr>
        <w:t>, p. 194.</w:t>
      </w:r>
    </w:p>
    <w:p w14:paraId="53719A74" w14:textId="77777777" w:rsidR="00F7788E" w:rsidRPr="0088103B" w:rsidRDefault="00F7788E" w:rsidP="008717CC">
      <w:pPr>
        <w:spacing w:line="360" w:lineRule="auto"/>
        <w:rPr>
          <w:rFonts w:ascii="Arial" w:hAnsi="Arial" w:cs="Arial"/>
          <w:sz w:val="24"/>
          <w:szCs w:val="24"/>
        </w:rPr>
      </w:pPr>
    </w:p>
    <w:p w14:paraId="7FC11E15" w14:textId="77777777" w:rsidR="0088103B" w:rsidRPr="0088103B" w:rsidRDefault="0088103B" w:rsidP="008717CC">
      <w:pPr>
        <w:spacing w:line="360" w:lineRule="auto"/>
        <w:rPr>
          <w:rFonts w:ascii="Arial" w:hAnsi="Arial" w:cs="Arial"/>
          <w:sz w:val="24"/>
          <w:szCs w:val="24"/>
        </w:rPr>
      </w:pPr>
      <w:r w:rsidRPr="0088103B">
        <w:rPr>
          <w:rFonts w:ascii="Arial" w:hAnsi="Arial" w:cs="Arial"/>
          <w:sz w:val="24"/>
          <w:szCs w:val="24"/>
        </w:rPr>
        <w:t xml:space="preserve">Sumpio, B.E. (2013) ‘Application of Porter’s Five Forces model and generic strategies for vascular surgery: should be stuck in the middle?’, </w:t>
      </w:r>
      <w:r w:rsidRPr="0088103B">
        <w:rPr>
          <w:rFonts w:ascii="Arial" w:hAnsi="Arial" w:cs="Arial"/>
          <w:i/>
          <w:iCs/>
          <w:sz w:val="24"/>
          <w:szCs w:val="24"/>
        </w:rPr>
        <w:t>Vascular</w:t>
      </w:r>
      <w:r w:rsidRPr="0088103B">
        <w:rPr>
          <w:rFonts w:ascii="Arial" w:hAnsi="Arial" w:cs="Arial"/>
          <w:sz w:val="24"/>
          <w:szCs w:val="24"/>
        </w:rPr>
        <w:t xml:space="preserve">, 21(3), pp. 149–156. Available at: </w:t>
      </w:r>
      <w:hyperlink r:id="rId13" w:tgtFrame="_new" w:history="1">
        <w:r w:rsidRPr="0088103B">
          <w:rPr>
            <w:rStyle w:val="Hyperlink"/>
            <w:rFonts w:ascii="Arial" w:hAnsi="Arial" w:cs="Arial"/>
            <w:sz w:val="24"/>
            <w:szCs w:val="24"/>
          </w:rPr>
          <w:t>https://doi.org/10.1177/1708538112473707</w:t>
        </w:r>
      </w:hyperlink>
    </w:p>
    <w:p w14:paraId="613B6C6F" w14:textId="77777777" w:rsidR="0029160E" w:rsidRPr="008717CC" w:rsidRDefault="0029160E" w:rsidP="008717CC">
      <w:pPr>
        <w:spacing w:line="360" w:lineRule="auto"/>
        <w:rPr>
          <w:rFonts w:ascii="Arial" w:hAnsi="Arial" w:cs="Arial"/>
          <w:sz w:val="24"/>
          <w:szCs w:val="24"/>
        </w:rPr>
      </w:pPr>
    </w:p>
    <w:sectPr w:rsidR="0029160E" w:rsidRPr="00871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B48F5"/>
    <w:multiLevelType w:val="multilevel"/>
    <w:tmpl w:val="5918604E"/>
    <w:lvl w:ilvl="0">
      <w:start w:val="3"/>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DA3449"/>
    <w:multiLevelType w:val="multilevel"/>
    <w:tmpl w:val="221AA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24BD8"/>
    <w:multiLevelType w:val="multilevel"/>
    <w:tmpl w:val="DEDC2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2427F"/>
    <w:multiLevelType w:val="multilevel"/>
    <w:tmpl w:val="6248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2799A"/>
    <w:multiLevelType w:val="multilevel"/>
    <w:tmpl w:val="A886B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437FAF"/>
    <w:multiLevelType w:val="multilevel"/>
    <w:tmpl w:val="4064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766C98"/>
    <w:multiLevelType w:val="multilevel"/>
    <w:tmpl w:val="8B02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5676AF"/>
    <w:multiLevelType w:val="multilevel"/>
    <w:tmpl w:val="B34E4814"/>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2550314"/>
    <w:multiLevelType w:val="multilevel"/>
    <w:tmpl w:val="A4DA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120CB0"/>
    <w:multiLevelType w:val="multilevel"/>
    <w:tmpl w:val="D8BEB1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AE04172"/>
    <w:multiLevelType w:val="multilevel"/>
    <w:tmpl w:val="D3807458"/>
    <w:lvl w:ilvl="0">
      <w:start w:val="3"/>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DB9725F"/>
    <w:multiLevelType w:val="multilevel"/>
    <w:tmpl w:val="D2D0E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C53971"/>
    <w:multiLevelType w:val="multilevel"/>
    <w:tmpl w:val="D64C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7A6BB9"/>
    <w:multiLevelType w:val="multilevel"/>
    <w:tmpl w:val="B548349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332767F"/>
    <w:multiLevelType w:val="multilevel"/>
    <w:tmpl w:val="82A0B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D24A91"/>
    <w:multiLevelType w:val="multilevel"/>
    <w:tmpl w:val="A920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0369E7"/>
    <w:multiLevelType w:val="multilevel"/>
    <w:tmpl w:val="262CD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152251"/>
    <w:multiLevelType w:val="multilevel"/>
    <w:tmpl w:val="7A1A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3623D"/>
    <w:multiLevelType w:val="multilevel"/>
    <w:tmpl w:val="1EDEAE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4E0E26"/>
    <w:multiLevelType w:val="multilevel"/>
    <w:tmpl w:val="0A98E98A"/>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7B291CB9"/>
    <w:multiLevelType w:val="multilevel"/>
    <w:tmpl w:val="3CD0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BC7B5B"/>
    <w:multiLevelType w:val="multilevel"/>
    <w:tmpl w:val="2EFC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156CB0"/>
    <w:multiLevelType w:val="multilevel"/>
    <w:tmpl w:val="C2C0C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C83C62"/>
    <w:multiLevelType w:val="multilevel"/>
    <w:tmpl w:val="6EA2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3171180">
    <w:abstractNumId w:val="9"/>
  </w:num>
  <w:num w:numId="2" w16cid:durableId="906038519">
    <w:abstractNumId w:val="1"/>
  </w:num>
  <w:num w:numId="3" w16cid:durableId="1032269338">
    <w:abstractNumId w:val="4"/>
  </w:num>
  <w:num w:numId="4" w16cid:durableId="1450274039">
    <w:abstractNumId w:val="15"/>
  </w:num>
  <w:num w:numId="5" w16cid:durableId="1708724030">
    <w:abstractNumId w:val="3"/>
  </w:num>
  <w:num w:numId="6" w16cid:durableId="671448744">
    <w:abstractNumId w:val="17"/>
  </w:num>
  <w:num w:numId="7" w16cid:durableId="277949676">
    <w:abstractNumId w:val="8"/>
  </w:num>
  <w:num w:numId="8" w16cid:durableId="1462380741">
    <w:abstractNumId w:val="20"/>
  </w:num>
  <w:num w:numId="9" w16cid:durableId="491607267">
    <w:abstractNumId w:val="23"/>
  </w:num>
  <w:num w:numId="10" w16cid:durableId="1425489465">
    <w:abstractNumId w:val="14"/>
  </w:num>
  <w:num w:numId="11" w16cid:durableId="1063062964">
    <w:abstractNumId w:val="11"/>
  </w:num>
  <w:num w:numId="12" w16cid:durableId="2031445041">
    <w:abstractNumId w:val="6"/>
  </w:num>
  <w:num w:numId="13" w16cid:durableId="1377269891">
    <w:abstractNumId w:val="22"/>
  </w:num>
  <w:num w:numId="14" w16cid:durableId="1890847256">
    <w:abstractNumId w:val="2"/>
  </w:num>
  <w:num w:numId="15" w16cid:durableId="371273198">
    <w:abstractNumId w:val="16"/>
  </w:num>
  <w:num w:numId="16" w16cid:durableId="417141886">
    <w:abstractNumId w:val="5"/>
  </w:num>
  <w:num w:numId="17" w16cid:durableId="1998459978">
    <w:abstractNumId w:val="12"/>
  </w:num>
  <w:num w:numId="18" w16cid:durableId="657995449">
    <w:abstractNumId w:val="21"/>
  </w:num>
  <w:num w:numId="19" w16cid:durableId="855837">
    <w:abstractNumId w:val="0"/>
  </w:num>
  <w:num w:numId="20" w16cid:durableId="2015108465">
    <w:abstractNumId w:val="19"/>
  </w:num>
  <w:num w:numId="21" w16cid:durableId="1930113830">
    <w:abstractNumId w:val="10"/>
  </w:num>
  <w:num w:numId="22" w16cid:durableId="1526404423">
    <w:abstractNumId w:val="7"/>
  </w:num>
  <w:num w:numId="23" w16cid:durableId="1775520210">
    <w:abstractNumId w:val="13"/>
  </w:num>
  <w:num w:numId="24" w16cid:durableId="18313057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A2166"/>
    <w:rsid w:val="00004204"/>
    <w:rsid w:val="00004C82"/>
    <w:rsid w:val="000052EF"/>
    <w:rsid w:val="00007E0D"/>
    <w:rsid w:val="000126D1"/>
    <w:rsid w:val="0002452F"/>
    <w:rsid w:val="00033A7C"/>
    <w:rsid w:val="0003712C"/>
    <w:rsid w:val="00047AE1"/>
    <w:rsid w:val="00056A2B"/>
    <w:rsid w:val="00056CB9"/>
    <w:rsid w:val="00060FF1"/>
    <w:rsid w:val="00063D68"/>
    <w:rsid w:val="0007222F"/>
    <w:rsid w:val="00074BDD"/>
    <w:rsid w:val="00074CD0"/>
    <w:rsid w:val="000752CD"/>
    <w:rsid w:val="00081C5F"/>
    <w:rsid w:val="00087B7E"/>
    <w:rsid w:val="00091281"/>
    <w:rsid w:val="000A56E4"/>
    <w:rsid w:val="000B7B1A"/>
    <w:rsid w:val="000C299B"/>
    <w:rsid w:val="000C4EDE"/>
    <w:rsid w:val="000D0C72"/>
    <w:rsid w:val="000D1653"/>
    <w:rsid w:val="000D344C"/>
    <w:rsid w:val="000E747C"/>
    <w:rsid w:val="000F2C69"/>
    <w:rsid w:val="000F64DB"/>
    <w:rsid w:val="000F76A9"/>
    <w:rsid w:val="00110FEA"/>
    <w:rsid w:val="0011307A"/>
    <w:rsid w:val="001149DC"/>
    <w:rsid w:val="00115DD6"/>
    <w:rsid w:val="0012031D"/>
    <w:rsid w:val="00124C12"/>
    <w:rsid w:val="00126678"/>
    <w:rsid w:val="0013046C"/>
    <w:rsid w:val="0013294F"/>
    <w:rsid w:val="00133702"/>
    <w:rsid w:val="001354D6"/>
    <w:rsid w:val="0013776A"/>
    <w:rsid w:val="00143A30"/>
    <w:rsid w:val="00145207"/>
    <w:rsid w:val="00153BB6"/>
    <w:rsid w:val="0015499D"/>
    <w:rsid w:val="001568CB"/>
    <w:rsid w:val="00161CC7"/>
    <w:rsid w:val="00161D8C"/>
    <w:rsid w:val="001624A6"/>
    <w:rsid w:val="0016398F"/>
    <w:rsid w:val="00163D7B"/>
    <w:rsid w:val="00166823"/>
    <w:rsid w:val="00182D05"/>
    <w:rsid w:val="00186849"/>
    <w:rsid w:val="00196801"/>
    <w:rsid w:val="001A43AF"/>
    <w:rsid w:val="001B0920"/>
    <w:rsid w:val="001B1E6B"/>
    <w:rsid w:val="001B21A2"/>
    <w:rsid w:val="001B3336"/>
    <w:rsid w:val="001B7D41"/>
    <w:rsid w:val="001C2F10"/>
    <w:rsid w:val="001C644C"/>
    <w:rsid w:val="001C7728"/>
    <w:rsid w:val="001D4D72"/>
    <w:rsid w:val="001E6498"/>
    <w:rsid w:val="001F41FD"/>
    <w:rsid w:val="00202F5E"/>
    <w:rsid w:val="00205431"/>
    <w:rsid w:val="002054DF"/>
    <w:rsid w:val="00206596"/>
    <w:rsid w:val="00217E37"/>
    <w:rsid w:val="002217B1"/>
    <w:rsid w:val="00230258"/>
    <w:rsid w:val="00230A5F"/>
    <w:rsid w:val="002338F1"/>
    <w:rsid w:val="00246081"/>
    <w:rsid w:val="002552F6"/>
    <w:rsid w:val="002561AC"/>
    <w:rsid w:val="00265045"/>
    <w:rsid w:val="002678D4"/>
    <w:rsid w:val="0027111A"/>
    <w:rsid w:val="00275CFA"/>
    <w:rsid w:val="00281254"/>
    <w:rsid w:val="0028468F"/>
    <w:rsid w:val="00286F7B"/>
    <w:rsid w:val="0029160E"/>
    <w:rsid w:val="002924B2"/>
    <w:rsid w:val="002A4254"/>
    <w:rsid w:val="002B7349"/>
    <w:rsid w:val="002C3E0A"/>
    <w:rsid w:val="002D1DE0"/>
    <w:rsid w:val="002D2DA2"/>
    <w:rsid w:val="002D6B24"/>
    <w:rsid w:val="002E02ED"/>
    <w:rsid w:val="002E7AC2"/>
    <w:rsid w:val="002F26B9"/>
    <w:rsid w:val="002F5276"/>
    <w:rsid w:val="0030687E"/>
    <w:rsid w:val="0030729D"/>
    <w:rsid w:val="00307B1D"/>
    <w:rsid w:val="003119A1"/>
    <w:rsid w:val="00317573"/>
    <w:rsid w:val="00322E0F"/>
    <w:rsid w:val="00324945"/>
    <w:rsid w:val="0032632A"/>
    <w:rsid w:val="003473BA"/>
    <w:rsid w:val="00351BA7"/>
    <w:rsid w:val="003624D9"/>
    <w:rsid w:val="00366669"/>
    <w:rsid w:val="00381151"/>
    <w:rsid w:val="003817D2"/>
    <w:rsid w:val="00382976"/>
    <w:rsid w:val="00385145"/>
    <w:rsid w:val="0038661C"/>
    <w:rsid w:val="00390E9B"/>
    <w:rsid w:val="00391C57"/>
    <w:rsid w:val="00392846"/>
    <w:rsid w:val="003A4F34"/>
    <w:rsid w:val="003B27FD"/>
    <w:rsid w:val="003B55CB"/>
    <w:rsid w:val="003C5273"/>
    <w:rsid w:val="003D185C"/>
    <w:rsid w:val="003E195C"/>
    <w:rsid w:val="003F18C2"/>
    <w:rsid w:val="003F35E0"/>
    <w:rsid w:val="003F3AD0"/>
    <w:rsid w:val="003F4E40"/>
    <w:rsid w:val="004010D1"/>
    <w:rsid w:val="004048A9"/>
    <w:rsid w:val="00412726"/>
    <w:rsid w:val="004151A5"/>
    <w:rsid w:val="00425FC1"/>
    <w:rsid w:val="00432385"/>
    <w:rsid w:val="004332F8"/>
    <w:rsid w:val="00435231"/>
    <w:rsid w:val="0044124A"/>
    <w:rsid w:val="004412F3"/>
    <w:rsid w:val="00442963"/>
    <w:rsid w:val="00443313"/>
    <w:rsid w:val="004443B3"/>
    <w:rsid w:val="00444663"/>
    <w:rsid w:val="0045770D"/>
    <w:rsid w:val="004670A9"/>
    <w:rsid w:val="00474561"/>
    <w:rsid w:val="00475979"/>
    <w:rsid w:val="00475F4F"/>
    <w:rsid w:val="0047621E"/>
    <w:rsid w:val="00483029"/>
    <w:rsid w:val="0048735F"/>
    <w:rsid w:val="0049150A"/>
    <w:rsid w:val="00491974"/>
    <w:rsid w:val="00492B34"/>
    <w:rsid w:val="004A0F57"/>
    <w:rsid w:val="004A4391"/>
    <w:rsid w:val="004B31C0"/>
    <w:rsid w:val="004C46D0"/>
    <w:rsid w:val="004D01FD"/>
    <w:rsid w:val="004D107C"/>
    <w:rsid w:val="004D36F9"/>
    <w:rsid w:val="00501CC3"/>
    <w:rsid w:val="00513ED7"/>
    <w:rsid w:val="005208AB"/>
    <w:rsid w:val="005215E7"/>
    <w:rsid w:val="00522A87"/>
    <w:rsid w:val="00527C59"/>
    <w:rsid w:val="00531EAA"/>
    <w:rsid w:val="00532641"/>
    <w:rsid w:val="00534A6B"/>
    <w:rsid w:val="00544274"/>
    <w:rsid w:val="00544B76"/>
    <w:rsid w:val="00544E61"/>
    <w:rsid w:val="00550745"/>
    <w:rsid w:val="00553F68"/>
    <w:rsid w:val="00555BD9"/>
    <w:rsid w:val="005571D7"/>
    <w:rsid w:val="00560A4A"/>
    <w:rsid w:val="0056182B"/>
    <w:rsid w:val="00573527"/>
    <w:rsid w:val="00577E1C"/>
    <w:rsid w:val="005807C2"/>
    <w:rsid w:val="0058430B"/>
    <w:rsid w:val="00585ECF"/>
    <w:rsid w:val="005A3CEE"/>
    <w:rsid w:val="005A5C10"/>
    <w:rsid w:val="005B44B8"/>
    <w:rsid w:val="005B59F1"/>
    <w:rsid w:val="005D178E"/>
    <w:rsid w:val="005D2A46"/>
    <w:rsid w:val="005D6F36"/>
    <w:rsid w:val="005D7312"/>
    <w:rsid w:val="005E7BC3"/>
    <w:rsid w:val="005F6055"/>
    <w:rsid w:val="00601C67"/>
    <w:rsid w:val="006051DC"/>
    <w:rsid w:val="0060576E"/>
    <w:rsid w:val="00611D85"/>
    <w:rsid w:val="00612C00"/>
    <w:rsid w:val="00622901"/>
    <w:rsid w:val="00637212"/>
    <w:rsid w:val="00640A1E"/>
    <w:rsid w:val="006415CD"/>
    <w:rsid w:val="00641769"/>
    <w:rsid w:val="00641C85"/>
    <w:rsid w:val="00643FD2"/>
    <w:rsid w:val="00650EAD"/>
    <w:rsid w:val="00661277"/>
    <w:rsid w:val="00664685"/>
    <w:rsid w:val="00665183"/>
    <w:rsid w:val="006653A1"/>
    <w:rsid w:val="006A201F"/>
    <w:rsid w:val="006A3FE4"/>
    <w:rsid w:val="006A448D"/>
    <w:rsid w:val="006B0133"/>
    <w:rsid w:val="006B38DB"/>
    <w:rsid w:val="006B4493"/>
    <w:rsid w:val="006B4A60"/>
    <w:rsid w:val="006B74B7"/>
    <w:rsid w:val="006C29BB"/>
    <w:rsid w:val="006C6A36"/>
    <w:rsid w:val="006D2AA0"/>
    <w:rsid w:val="006E69E5"/>
    <w:rsid w:val="006F7254"/>
    <w:rsid w:val="007017A5"/>
    <w:rsid w:val="00713A9C"/>
    <w:rsid w:val="00716A16"/>
    <w:rsid w:val="00722899"/>
    <w:rsid w:val="0073028E"/>
    <w:rsid w:val="007334B4"/>
    <w:rsid w:val="00735EE2"/>
    <w:rsid w:val="00750E02"/>
    <w:rsid w:val="00752984"/>
    <w:rsid w:val="00761A91"/>
    <w:rsid w:val="00762075"/>
    <w:rsid w:val="007638AB"/>
    <w:rsid w:val="00775E2A"/>
    <w:rsid w:val="007779C4"/>
    <w:rsid w:val="007821D6"/>
    <w:rsid w:val="00782213"/>
    <w:rsid w:val="0079371F"/>
    <w:rsid w:val="007A4ADF"/>
    <w:rsid w:val="007B45D4"/>
    <w:rsid w:val="007B57AE"/>
    <w:rsid w:val="007B584D"/>
    <w:rsid w:val="007B70F7"/>
    <w:rsid w:val="007C4E44"/>
    <w:rsid w:val="007D1C04"/>
    <w:rsid w:val="007D57FB"/>
    <w:rsid w:val="007E160E"/>
    <w:rsid w:val="007E3141"/>
    <w:rsid w:val="007F3D3C"/>
    <w:rsid w:val="00800771"/>
    <w:rsid w:val="00802727"/>
    <w:rsid w:val="00804DDC"/>
    <w:rsid w:val="00811011"/>
    <w:rsid w:val="00811412"/>
    <w:rsid w:val="00814F9D"/>
    <w:rsid w:val="00816601"/>
    <w:rsid w:val="0082788A"/>
    <w:rsid w:val="00831879"/>
    <w:rsid w:val="00832253"/>
    <w:rsid w:val="00834528"/>
    <w:rsid w:val="00842E70"/>
    <w:rsid w:val="008465D4"/>
    <w:rsid w:val="00846CA2"/>
    <w:rsid w:val="00846D92"/>
    <w:rsid w:val="00847A7E"/>
    <w:rsid w:val="008717CC"/>
    <w:rsid w:val="008770AB"/>
    <w:rsid w:val="0088102C"/>
    <w:rsid w:val="0088103B"/>
    <w:rsid w:val="00882529"/>
    <w:rsid w:val="00885983"/>
    <w:rsid w:val="008A0DFB"/>
    <w:rsid w:val="008A1784"/>
    <w:rsid w:val="008A4598"/>
    <w:rsid w:val="008B3494"/>
    <w:rsid w:val="008B5139"/>
    <w:rsid w:val="008C527D"/>
    <w:rsid w:val="008D0109"/>
    <w:rsid w:val="008D1303"/>
    <w:rsid w:val="008E027E"/>
    <w:rsid w:val="008E038A"/>
    <w:rsid w:val="008E03A6"/>
    <w:rsid w:val="008E17BB"/>
    <w:rsid w:val="008F0548"/>
    <w:rsid w:val="008F145D"/>
    <w:rsid w:val="00910CC3"/>
    <w:rsid w:val="00915002"/>
    <w:rsid w:val="00926D40"/>
    <w:rsid w:val="00931DC1"/>
    <w:rsid w:val="00934D39"/>
    <w:rsid w:val="009401FD"/>
    <w:rsid w:val="00946551"/>
    <w:rsid w:val="00951D8C"/>
    <w:rsid w:val="00952DF3"/>
    <w:rsid w:val="009530F1"/>
    <w:rsid w:val="00953877"/>
    <w:rsid w:val="00954EF5"/>
    <w:rsid w:val="00957D34"/>
    <w:rsid w:val="009604BC"/>
    <w:rsid w:val="0096240E"/>
    <w:rsid w:val="00962E09"/>
    <w:rsid w:val="00970F9E"/>
    <w:rsid w:val="009733ED"/>
    <w:rsid w:val="00980C43"/>
    <w:rsid w:val="009839A5"/>
    <w:rsid w:val="00994CA7"/>
    <w:rsid w:val="009B1405"/>
    <w:rsid w:val="009B526E"/>
    <w:rsid w:val="009B6D81"/>
    <w:rsid w:val="009C2589"/>
    <w:rsid w:val="009D3AE8"/>
    <w:rsid w:val="009D5DC7"/>
    <w:rsid w:val="009E07EE"/>
    <w:rsid w:val="009E44DE"/>
    <w:rsid w:val="009E5C58"/>
    <w:rsid w:val="009F12DF"/>
    <w:rsid w:val="009F447A"/>
    <w:rsid w:val="00A04EE4"/>
    <w:rsid w:val="00A10C98"/>
    <w:rsid w:val="00A116EC"/>
    <w:rsid w:val="00A26957"/>
    <w:rsid w:val="00A33D96"/>
    <w:rsid w:val="00A35E7F"/>
    <w:rsid w:val="00A403E1"/>
    <w:rsid w:val="00A41B09"/>
    <w:rsid w:val="00A43B7B"/>
    <w:rsid w:val="00A4496B"/>
    <w:rsid w:val="00A457E0"/>
    <w:rsid w:val="00A54953"/>
    <w:rsid w:val="00A56A35"/>
    <w:rsid w:val="00A62756"/>
    <w:rsid w:val="00A63E40"/>
    <w:rsid w:val="00A7179F"/>
    <w:rsid w:val="00A73243"/>
    <w:rsid w:val="00A7428B"/>
    <w:rsid w:val="00A83050"/>
    <w:rsid w:val="00A9273C"/>
    <w:rsid w:val="00A95B82"/>
    <w:rsid w:val="00AA1517"/>
    <w:rsid w:val="00AA73B9"/>
    <w:rsid w:val="00AA75DA"/>
    <w:rsid w:val="00AB4D8C"/>
    <w:rsid w:val="00AC67F2"/>
    <w:rsid w:val="00AD3352"/>
    <w:rsid w:val="00AD5135"/>
    <w:rsid w:val="00AD58FA"/>
    <w:rsid w:val="00AE71C8"/>
    <w:rsid w:val="00AF0FFB"/>
    <w:rsid w:val="00AF1C44"/>
    <w:rsid w:val="00AF6674"/>
    <w:rsid w:val="00B008C7"/>
    <w:rsid w:val="00B07951"/>
    <w:rsid w:val="00B24154"/>
    <w:rsid w:val="00B25BE2"/>
    <w:rsid w:val="00B327E8"/>
    <w:rsid w:val="00B33280"/>
    <w:rsid w:val="00B34F71"/>
    <w:rsid w:val="00B6058A"/>
    <w:rsid w:val="00B63CD0"/>
    <w:rsid w:val="00B82BF4"/>
    <w:rsid w:val="00B85BD9"/>
    <w:rsid w:val="00B86B15"/>
    <w:rsid w:val="00B97A90"/>
    <w:rsid w:val="00BA2166"/>
    <w:rsid w:val="00BD63A4"/>
    <w:rsid w:val="00BE59A0"/>
    <w:rsid w:val="00BE5D43"/>
    <w:rsid w:val="00BE6A08"/>
    <w:rsid w:val="00BF374F"/>
    <w:rsid w:val="00BF429A"/>
    <w:rsid w:val="00C03DCB"/>
    <w:rsid w:val="00C05C30"/>
    <w:rsid w:val="00C10175"/>
    <w:rsid w:val="00C13B55"/>
    <w:rsid w:val="00C20F87"/>
    <w:rsid w:val="00C216F7"/>
    <w:rsid w:val="00C23DA6"/>
    <w:rsid w:val="00C32A5F"/>
    <w:rsid w:val="00C33424"/>
    <w:rsid w:val="00C353B4"/>
    <w:rsid w:val="00C36BDD"/>
    <w:rsid w:val="00C47C95"/>
    <w:rsid w:val="00C508DD"/>
    <w:rsid w:val="00C51804"/>
    <w:rsid w:val="00C530D2"/>
    <w:rsid w:val="00C5452A"/>
    <w:rsid w:val="00C55D9E"/>
    <w:rsid w:val="00C61230"/>
    <w:rsid w:val="00C61AE2"/>
    <w:rsid w:val="00C66747"/>
    <w:rsid w:val="00C7574F"/>
    <w:rsid w:val="00C75C49"/>
    <w:rsid w:val="00C90F2E"/>
    <w:rsid w:val="00C9664A"/>
    <w:rsid w:val="00CA4439"/>
    <w:rsid w:val="00CB3E18"/>
    <w:rsid w:val="00CB7E49"/>
    <w:rsid w:val="00CC1808"/>
    <w:rsid w:val="00CD4EC4"/>
    <w:rsid w:val="00CE0486"/>
    <w:rsid w:val="00CE68DB"/>
    <w:rsid w:val="00CF22D9"/>
    <w:rsid w:val="00CF25A4"/>
    <w:rsid w:val="00CF5CE2"/>
    <w:rsid w:val="00CF7FE2"/>
    <w:rsid w:val="00D02510"/>
    <w:rsid w:val="00D02D33"/>
    <w:rsid w:val="00D034D6"/>
    <w:rsid w:val="00D06FCB"/>
    <w:rsid w:val="00D10FC8"/>
    <w:rsid w:val="00D21FB0"/>
    <w:rsid w:val="00D23770"/>
    <w:rsid w:val="00D24A39"/>
    <w:rsid w:val="00D270F9"/>
    <w:rsid w:val="00D3081B"/>
    <w:rsid w:val="00D33D58"/>
    <w:rsid w:val="00D33E61"/>
    <w:rsid w:val="00D35A6D"/>
    <w:rsid w:val="00D44C97"/>
    <w:rsid w:val="00D44F4A"/>
    <w:rsid w:val="00D47BD5"/>
    <w:rsid w:val="00D47FAA"/>
    <w:rsid w:val="00D5773D"/>
    <w:rsid w:val="00D57A1D"/>
    <w:rsid w:val="00D6200C"/>
    <w:rsid w:val="00D637DF"/>
    <w:rsid w:val="00D64892"/>
    <w:rsid w:val="00D655A0"/>
    <w:rsid w:val="00D66727"/>
    <w:rsid w:val="00D80AA5"/>
    <w:rsid w:val="00D8197B"/>
    <w:rsid w:val="00D879E8"/>
    <w:rsid w:val="00DA1E05"/>
    <w:rsid w:val="00DA4CB9"/>
    <w:rsid w:val="00DA5528"/>
    <w:rsid w:val="00DA5B4F"/>
    <w:rsid w:val="00DB1832"/>
    <w:rsid w:val="00DB1ED6"/>
    <w:rsid w:val="00DB38DE"/>
    <w:rsid w:val="00DB4464"/>
    <w:rsid w:val="00DB6212"/>
    <w:rsid w:val="00DC4E43"/>
    <w:rsid w:val="00DC5146"/>
    <w:rsid w:val="00DC796C"/>
    <w:rsid w:val="00DF265E"/>
    <w:rsid w:val="00DF5DED"/>
    <w:rsid w:val="00E13F3B"/>
    <w:rsid w:val="00E150C1"/>
    <w:rsid w:val="00E233D9"/>
    <w:rsid w:val="00E24440"/>
    <w:rsid w:val="00E35418"/>
    <w:rsid w:val="00E4192F"/>
    <w:rsid w:val="00E41B99"/>
    <w:rsid w:val="00E452C0"/>
    <w:rsid w:val="00E4636C"/>
    <w:rsid w:val="00E51234"/>
    <w:rsid w:val="00E512E9"/>
    <w:rsid w:val="00E54005"/>
    <w:rsid w:val="00E556E2"/>
    <w:rsid w:val="00E55FAF"/>
    <w:rsid w:val="00E63D7E"/>
    <w:rsid w:val="00E64373"/>
    <w:rsid w:val="00E64ABC"/>
    <w:rsid w:val="00E65437"/>
    <w:rsid w:val="00E70F64"/>
    <w:rsid w:val="00E75A94"/>
    <w:rsid w:val="00E814EB"/>
    <w:rsid w:val="00E825A9"/>
    <w:rsid w:val="00E84434"/>
    <w:rsid w:val="00E85C00"/>
    <w:rsid w:val="00E911B8"/>
    <w:rsid w:val="00EA0122"/>
    <w:rsid w:val="00EA292A"/>
    <w:rsid w:val="00EB6B11"/>
    <w:rsid w:val="00EC3452"/>
    <w:rsid w:val="00ED2E5B"/>
    <w:rsid w:val="00EE467D"/>
    <w:rsid w:val="00EE7848"/>
    <w:rsid w:val="00EF0C15"/>
    <w:rsid w:val="00EF425C"/>
    <w:rsid w:val="00EF462B"/>
    <w:rsid w:val="00EF4B3B"/>
    <w:rsid w:val="00EF5448"/>
    <w:rsid w:val="00F03A09"/>
    <w:rsid w:val="00F069D3"/>
    <w:rsid w:val="00F11ABF"/>
    <w:rsid w:val="00F128A4"/>
    <w:rsid w:val="00F12CF8"/>
    <w:rsid w:val="00F13399"/>
    <w:rsid w:val="00F13555"/>
    <w:rsid w:val="00F146A1"/>
    <w:rsid w:val="00F152A3"/>
    <w:rsid w:val="00F1645C"/>
    <w:rsid w:val="00F336A9"/>
    <w:rsid w:val="00F349EF"/>
    <w:rsid w:val="00F362A3"/>
    <w:rsid w:val="00F371DB"/>
    <w:rsid w:val="00F4061D"/>
    <w:rsid w:val="00F513C5"/>
    <w:rsid w:val="00F5299D"/>
    <w:rsid w:val="00F63EBA"/>
    <w:rsid w:val="00F66350"/>
    <w:rsid w:val="00F73F1D"/>
    <w:rsid w:val="00F7788E"/>
    <w:rsid w:val="00F92613"/>
    <w:rsid w:val="00F92891"/>
    <w:rsid w:val="00F944FA"/>
    <w:rsid w:val="00F95A9A"/>
    <w:rsid w:val="00F96147"/>
    <w:rsid w:val="00FA021F"/>
    <w:rsid w:val="00FA278F"/>
    <w:rsid w:val="00FA787B"/>
    <w:rsid w:val="00FB2734"/>
    <w:rsid w:val="00FB7482"/>
    <w:rsid w:val="00FC19AB"/>
    <w:rsid w:val="00FC4332"/>
    <w:rsid w:val="00FC6EF6"/>
    <w:rsid w:val="00FC7F05"/>
    <w:rsid w:val="00FD103C"/>
    <w:rsid w:val="00FD6C5F"/>
    <w:rsid w:val="00FF05B6"/>
    <w:rsid w:val="00FF0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C988EBD"/>
  <w15:chartTrackingRefBased/>
  <w15:docId w15:val="{2DFF9AF9-8F53-4404-952C-51B71BA86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166"/>
  </w:style>
  <w:style w:type="paragraph" w:styleId="Heading1">
    <w:name w:val="heading 1"/>
    <w:basedOn w:val="Normal"/>
    <w:next w:val="Normal"/>
    <w:link w:val="Heading1Char"/>
    <w:uiPriority w:val="9"/>
    <w:qFormat/>
    <w:rsid w:val="00BA2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2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2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2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2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166"/>
    <w:rPr>
      <w:rFonts w:eastAsiaTheme="majorEastAsia" w:cstheme="majorBidi"/>
      <w:color w:val="272727" w:themeColor="text1" w:themeTint="D8"/>
    </w:rPr>
  </w:style>
  <w:style w:type="paragraph" w:styleId="Title">
    <w:name w:val="Title"/>
    <w:basedOn w:val="Normal"/>
    <w:next w:val="Normal"/>
    <w:link w:val="TitleChar"/>
    <w:uiPriority w:val="10"/>
    <w:qFormat/>
    <w:rsid w:val="00BA2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166"/>
    <w:pPr>
      <w:spacing w:before="160"/>
      <w:jc w:val="center"/>
    </w:pPr>
    <w:rPr>
      <w:i/>
      <w:iCs/>
      <w:color w:val="404040" w:themeColor="text1" w:themeTint="BF"/>
    </w:rPr>
  </w:style>
  <w:style w:type="character" w:customStyle="1" w:styleId="QuoteChar">
    <w:name w:val="Quote Char"/>
    <w:basedOn w:val="DefaultParagraphFont"/>
    <w:link w:val="Quote"/>
    <w:uiPriority w:val="29"/>
    <w:rsid w:val="00BA2166"/>
    <w:rPr>
      <w:i/>
      <w:iCs/>
      <w:color w:val="404040" w:themeColor="text1" w:themeTint="BF"/>
    </w:rPr>
  </w:style>
  <w:style w:type="paragraph" w:styleId="ListParagraph">
    <w:name w:val="List Paragraph"/>
    <w:basedOn w:val="Normal"/>
    <w:uiPriority w:val="34"/>
    <w:qFormat/>
    <w:rsid w:val="00BA2166"/>
    <w:pPr>
      <w:ind w:left="720"/>
      <w:contextualSpacing/>
    </w:pPr>
  </w:style>
  <w:style w:type="character" w:styleId="IntenseEmphasis">
    <w:name w:val="Intense Emphasis"/>
    <w:basedOn w:val="DefaultParagraphFont"/>
    <w:uiPriority w:val="21"/>
    <w:qFormat/>
    <w:rsid w:val="00BA2166"/>
    <w:rPr>
      <w:i/>
      <w:iCs/>
      <w:color w:val="0F4761" w:themeColor="accent1" w:themeShade="BF"/>
    </w:rPr>
  </w:style>
  <w:style w:type="paragraph" w:styleId="IntenseQuote">
    <w:name w:val="Intense Quote"/>
    <w:basedOn w:val="Normal"/>
    <w:next w:val="Normal"/>
    <w:link w:val="IntenseQuoteChar"/>
    <w:uiPriority w:val="30"/>
    <w:qFormat/>
    <w:rsid w:val="00BA2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166"/>
    <w:rPr>
      <w:i/>
      <w:iCs/>
      <w:color w:val="0F4761" w:themeColor="accent1" w:themeShade="BF"/>
    </w:rPr>
  </w:style>
  <w:style w:type="character" w:styleId="IntenseReference">
    <w:name w:val="Intense Reference"/>
    <w:basedOn w:val="DefaultParagraphFont"/>
    <w:uiPriority w:val="32"/>
    <w:qFormat/>
    <w:rsid w:val="00BA2166"/>
    <w:rPr>
      <w:b/>
      <w:bCs/>
      <w:smallCaps/>
      <w:color w:val="0F4761" w:themeColor="accent1" w:themeShade="BF"/>
      <w:spacing w:val="5"/>
    </w:rPr>
  </w:style>
  <w:style w:type="table" w:styleId="TableGrid">
    <w:name w:val="Table Grid"/>
    <w:basedOn w:val="TableNormal"/>
    <w:uiPriority w:val="39"/>
    <w:rsid w:val="00BA2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50E02"/>
    <w:rPr>
      <w:color w:val="467886" w:themeColor="hyperlink"/>
      <w:u w:val="single"/>
    </w:rPr>
  </w:style>
  <w:style w:type="character" w:styleId="UnresolvedMention">
    <w:name w:val="Unresolved Mention"/>
    <w:basedOn w:val="DefaultParagraphFont"/>
    <w:uiPriority w:val="99"/>
    <w:semiHidden/>
    <w:unhideWhenUsed/>
    <w:rsid w:val="00750E02"/>
    <w:rPr>
      <w:color w:val="605E5C"/>
      <w:shd w:val="clear" w:color="auto" w:fill="E1DFDD"/>
    </w:rPr>
  </w:style>
  <w:style w:type="paragraph" w:styleId="NormalWeb">
    <w:name w:val="Normal (Web)"/>
    <w:basedOn w:val="Normal"/>
    <w:uiPriority w:val="99"/>
    <w:semiHidden/>
    <w:unhideWhenUsed/>
    <w:rsid w:val="008770A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170853811247370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reativecommons.org/licenses/by-nc/3.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mobilitysimplified.com/2019/10/what-is-e-mobility-all-you-need-to-know.html"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eeb3095dbbaea890f142df458972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d3400ff80774ef3634fdac6fe1b91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AB1F5-6F55-43F2-87FF-34A338704449}">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77CAA424-F719-4BC5-A9FB-EC3C45CE4E50}">
  <ds:schemaRefs>
    <ds:schemaRef ds:uri="http://schemas.microsoft.com/sharepoint/v3/contenttype/forms"/>
  </ds:schemaRefs>
</ds:datastoreItem>
</file>

<file path=customXml/itemProps3.xml><?xml version="1.0" encoding="utf-8"?>
<ds:datastoreItem xmlns:ds="http://schemas.openxmlformats.org/officeDocument/2006/customXml" ds:itemID="{A91A07E4-C766-4B45-899E-344ABC6BD7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CA6BBA-2DC7-48F3-9F5F-8866054CE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2263</Words>
  <Characters>17109</Characters>
  <Application>Microsoft Office Word</Application>
  <DocSecurity>0</DocSecurity>
  <Lines>488</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Kumakamba Punga (2226848)</dc:creator>
  <cp:keywords/>
  <dc:description/>
  <cp:lastModifiedBy>Kumakamba Punga (2226848)</cp:lastModifiedBy>
  <cp:revision>2</cp:revision>
  <dcterms:created xsi:type="dcterms:W3CDTF">2026-02-26T04:11:00Z</dcterms:created>
  <dcterms:modified xsi:type="dcterms:W3CDTF">2026-02-26T04:11:00Z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