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297EA9" w14:textId="59F07F24" w:rsidR="00A94B2C" w:rsidRPr="00A94B2C" w:rsidRDefault="00A94B2C" w:rsidP="007A0FCF">
      <w:pPr>
        <w:jc w:val="center"/>
        <w:rPr>
          <w:b/>
        </w:rPr>
      </w:pPr>
      <w:r w:rsidRPr="008F4F6D">
        <w:rPr>
          <w:noProof/>
          <w:lang w:val="en-US"/>
        </w:rPr>
        <w:drawing>
          <wp:inline distT="0" distB="0" distL="0" distR="0" wp14:anchorId="24457D60" wp14:editId="18E78798">
            <wp:extent cx="2047875" cy="1047750"/>
            <wp:effectExtent l="0" t="0" r="9525" b="0"/>
            <wp:docPr id="1367444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44047" name=""/>
                    <pic:cNvPicPr/>
                  </pic:nvPicPr>
                  <pic:blipFill>
                    <a:blip r:embed="rId7"/>
                    <a:stretch>
                      <a:fillRect/>
                    </a:stretch>
                  </pic:blipFill>
                  <pic:spPr>
                    <a:xfrm>
                      <a:off x="0" y="0"/>
                      <a:ext cx="2047875" cy="1047750"/>
                    </a:xfrm>
                    <a:prstGeom prst="rect">
                      <a:avLst/>
                    </a:prstGeom>
                  </pic:spPr>
                </pic:pic>
              </a:graphicData>
            </a:graphic>
          </wp:inline>
        </w:drawing>
      </w:r>
    </w:p>
    <w:p w14:paraId="0BD53AA2" w14:textId="77777777" w:rsidR="00132579" w:rsidRPr="008F4F6D" w:rsidRDefault="00132579">
      <w:pPr>
        <w:jc w:val="center"/>
        <w:rPr>
          <w:rFonts w:cs="Arial"/>
          <w:b/>
          <w:sz w:val="32"/>
          <w:szCs w:val="32"/>
        </w:rPr>
      </w:pPr>
    </w:p>
    <w:p w14:paraId="0E371938" w14:textId="48874C78" w:rsidR="00132579" w:rsidRPr="008F4F6D" w:rsidRDefault="00C03DCC" w:rsidP="00C03DCC">
      <w:pPr>
        <w:jc w:val="center"/>
        <w:rPr>
          <w:rFonts w:cs="Arial"/>
          <w:b/>
          <w:bCs/>
          <w:sz w:val="28"/>
          <w:szCs w:val="28"/>
        </w:rPr>
      </w:pPr>
      <w:r w:rsidRPr="008F4F6D">
        <w:rPr>
          <w:rFonts w:cs="Arial"/>
          <w:b/>
          <w:sz w:val="28"/>
          <w:szCs w:val="28"/>
        </w:rPr>
        <w:t xml:space="preserve">Module Code: </w:t>
      </w:r>
      <w:r w:rsidRPr="008F4F6D">
        <w:rPr>
          <w:rFonts w:cs="Arial"/>
          <w:b/>
          <w:bCs/>
          <w:sz w:val="28"/>
          <w:szCs w:val="28"/>
        </w:rPr>
        <w:t>LCMB7024</w:t>
      </w:r>
    </w:p>
    <w:p w14:paraId="03876818" w14:textId="5E3A81F6" w:rsidR="00C03DCC" w:rsidRPr="008F4F6D" w:rsidRDefault="00C03DCC" w:rsidP="00C03DCC">
      <w:pPr>
        <w:jc w:val="center"/>
        <w:rPr>
          <w:rFonts w:cs="Arial"/>
          <w:b/>
          <w:bCs/>
          <w:sz w:val="28"/>
          <w:szCs w:val="28"/>
        </w:rPr>
      </w:pPr>
      <w:r w:rsidRPr="008F4F6D">
        <w:rPr>
          <w:rFonts w:cs="Arial"/>
          <w:b/>
          <w:bCs/>
          <w:sz w:val="28"/>
          <w:szCs w:val="28"/>
        </w:rPr>
        <w:t>Module Title: Marketing Management</w:t>
      </w:r>
    </w:p>
    <w:p w14:paraId="4C216844" w14:textId="77777777" w:rsidR="00C03DCC" w:rsidRPr="008F4F6D" w:rsidRDefault="00C03DCC" w:rsidP="00C03DCC">
      <w:pPr>
        <w:jc w:val="center"/>
        <w:rPr>
          <w:rFonts w:cs="Arial"/>
          <w:b/>
          <w:bCs/>
          <w:sz w:val="28"/>
          <w:szCs w:val="28"/>
        </w:rPr>
      </w:pPr>
    </w:p>
    <w:p w14:paraId="67CADB79" w14:textId="453B4F9D" w:rsidR="00C03DCC" w:rsidRPr="008F4F6D" w:rsidRDefault="00C03DCC" w:rsidP="00C03DCC">
      <w:pPr>
        <w:jc w:val="center"/>
        <w:rPr>
          <w:rFonts w:cs="Arial"/>
          <w:b/>
          <w:sz w:val="28"/>
          <w:szCs w:val="28"/>
        </w:rPr>
      </w:pPr>
      <w:r w:rsidRPr="008F4F6D">
        <w:rPr>
          <w:rFonts w:cs="Arial"/>
          <w:b/>
          <w:sz w:val="28"/>
          <w:szCs w:val="28"/>
        </w:rPr>
        <w:t>Lecturer: Dian Mayasari (Birmingham)</w:t>
      </w:r>
    </w:p>
    <w:p w14:paraId="625ABEBC" w14:textId="77777777" w:rsidR="00C03DCC" w:rsidRPr="008F4F6D" w:rsidRDefault="00C03DCC" w:rsidP="00C03DCC">
      <w:pPr>
        <w:jc w:val="center"/>
        <w:rPr>
          <w:rFonts w:cs="Arial"/>
          <w:b/>
          <w:sz w:val="28"/>
          <w:szCs w:val="28"/>
        </w:rPr>
      </w:pPr>
    </w:p>
    <w:p w14:paraId="129D09F8" w14:textId="777FE7DC" w:rsidR="00C03DCC" w:rsidRPr="008F4F6D" w:rsidRDefault="00C03DCC" w:rsidP="00C03DCC">
      <w:pPr>
        <w:jc w:val="center"/>
        <w:rPr>
          <w:rFonts w:cs="Arial"/>
          <w:b/>
          <w:bCs/>
          <w:sz w:val="28"/>
          <w:szCs w:val="28"/>
        </w:rPr>
      </w:pPr>
      <w:r w:rsidRPr="008F4F6D">
        <w:rPr>
          <w:rFonts w:cs="Arial"/>
          <w:b/>
          <w:bCs/>
          <w:sz w:val="28"/>
          <w:szCs w:val="28"/>
        </w:rPr>
        <w:t>Marketing Environment Analysis of the Electric vehicles Industry</w:t>
      </w:r>
    </w:p>
    <w:p w14:paraId="2B19B1AA" w14:textId="77777777" w:rsidR="00C03DCC" w:rsidRPr="008F4F6D" w:rsidRDefault="00C03DCC" w:rsidP="00C03DCC">
      <w:pPr>
        <w:jc w:val="center"/>
        <w:rPr>
          <w:rFonts w:cs="Arial"/>
          <w:b/>
          <w:bCs/>
          <w:sz w:val="28"/>
          <w:szCs w:val="28"/>
        </w:rPr>
      </w:pPr>
    </w:p>
    <w:p w14:paraId="028649EF" w14:textId="77777777" w:rsidR="00C03DCC" w:rsidRPr="008F4F6D" w:rsidRDefault="00C03DCC" w:rsidP="00C03DCC">
      <w:pPr>
        <w:jc w:val="center"/>
        <w:rPr>
          <w:rFonts w:cs="Arial"/>
          <w:b/>
          <w:bCs/>
          <w:sz w:val="28"/>
          <w:szCs w:val="28"/>
        </w:rPr>
      </w:pPr>
    </w:p>
    <w:p w14:paraId="482883AD" w14:textId="77777777" w:rsidR="00C03DCC" w:rsidRPr="008F4F6D" w:rsidRDefault="00C03DCC" w:rsidP="00C03DCC">
      <w:pPr>
        <w:jc w:val="center"/>
        <w:rPr>
          <w:rFonts w:cs="Arial"/>
          <w:b/>
          <w:bCs/>
          <w:sz w:val="28"/>
          <w:szCs w:val="28"/>
        </w:rPr>
      </w:pPr>
    </w:p>
    <w:p w14:paraId="0A2F17B2" w14:textId="77777777" w:rsidR="00C03DCC" w:rsidRPr="008F4F6D" w:rsidRDefault="00C03DCC" w:rsidP="00C03DCC">
      <w:pPr>
        <w:jc w:val="center"/>
        <w:rPr>
          <w:rFonts w:cs="Arial"/>
          <w:b/>
          <w:bCs/>
          <w:sz w:val="28"/>
          <w:szCs w:val="28"/>
        </w:rPr>
      </w:pPr>
    </w:p>
    <w:p w14:paraId="3C7D26C9" w14:textId="77777777" w:rsidR="00C03DCC" w:rsidRPr="008F4F6D" w:rsidRDefault="00C03DCC" w:rsidP="00C03DCC">
      <w:pPr>
        <w:jc w:val="center"/>
        <w:rPr>
          <w:rFonts w:cs="Arial"/>
          <w:b/>
          <w:bCs/>
          <w:sz w:val="28"/>
          <w:szCs w:val="28"/>
        </w:rPr>
      </w:pPr>
    </w:p>
    <w:p w14:paraId="0D1320FA" w14:textId="77777777" w:rsidR="00210707" w:rsidRPr="008F4F6D" w:rsidRDefault="00210707" w:rsidP="00C03DCC">
      <w:pPr>
        <w:jc w:val="center"/>
        <w:rPr>
          <w:rFonts w:cs="Arial"/>
        </w:rPr>
      </w:pPr>
    </w:p>
    <w:p w14:paraId="170A81AF" w14:textId="37B9A301" w:rsidR="00C03DCC" w:rsidRPr="008F4F6D" w:rsidRDefault="00C03DCC" w:rsidP="00C03DCC">
      <w:pPr>
        <w:jc w:val="center"/>
        <w:rPr>
          <w:rFonts w:cs="Arial"/>
        </w:rPr>
      </w:pPr>
      <w:r w:rsidRPr="008F4F6D">
        <w:rPr>
          <w:rFonts w:cs="Arial"/>
        </w:rPr>
        <w:t>Student Name:</w:t>
      </w:r>
      <w:r w:rsidR="00DD03F3">
        <w:rPr>
          <w:rFonts w:cs="Arial"/>
        </w:rPr>
        <w:t xml:space="preserve"> Manikandan Gopalakrishnan</w:t>
      </w:r>
    </w:p>
    <w:p w14:paraId="212D48DD" w14:textId="48F98B26" w:rsidR="00C03DCC" w:rsidRPr="008F4F6D" w:rsidRDefault="00C03DCC" w:rsidP="00C03DCC">
      <w:pPr>
        <w:jc w:val="center"/>
        <w:rPr>
          <w:rFonts w:cs="Arial"/>
        </w:rPr>
      </w:pPr>
      <w:r w:rsidRPr="008F4F6D">
        <w:rPr>
          <w:rFonts w:cs="Arial"/>
        </w:rPr>
        <w:t>Student ID:</w:t>
      </w:r>
      <w:r w:rsidR="00DD03F3">
        <w:rPr>
          <w:rFonts w:cs="Arial"/>
        </w:rPr>
        <w:t xml:space="preserve"> 2507423</w:t>
      </w:r>
    </w:p>
    <w:p w14:paraId="210DB173" w14:textId="22670F94" w:rsidR="00C03DCC" w:rsidRPr="008F4F6D" w:rsidRDefault="00C03DCC" w:rsidP="00C03DCC">
      <w:pPr>
        <w:jc w:val="center"/>
        <w:rPr>
          <w:rFonts w:cs="Arial"/>
        </w:rPr>
      </w:pPr>
      <w:r w:rsidRPr="008F4F6D">
        <w:rPr>
          <w:rFonts w:cs="Arial"/>
        </w:rPr>
        <w:t>Date of Submission:</w:t>
      </w:r>
      <w:r w:rsidR="00DD03F3">
        <w:rPr>
          <w:rFonts w:cs="Arial"/>
        </w:rPr>
        <w:t xml:space="preserve"> 24</w:t>
      </w:r>
      <w:r w:rsidR="00DD03F3" w:rsidRPr="00DD03F3">
        <w:rPr>
          <w:rFonts w:cs="Arial"/>
          <w:vertAlign w:val="superscript"/>
        </w:rPr>
        <w:t>th</w:t>
      </w:r>
      <w:r w:rsidR="00DD03F3">
        <w:rPr>
          <w:rFonts w:cs="Arial"/>
        </w:rPr>
        <w:t xml:space="preserve"> October 2025</w:t>
      </w:r>
    </w:p>
    <w:p w14:paraId="0EB7CEF6" w14:textId="77777777" w:rsidR="00C03DCC" w:rsidRPr="008F4F6D" w:rsidRDefault="00C03DCC">
      <w:pPr>
        <w:jc w:val="center"/>
        <w:rPr>
          <w:rFonts w:cs="Arial"/>
          <w:b/>
          <w:sz w:val="28"/>
          <w:szCs w:val="28"/>
        </w:rPr>
      </w:pPr>
    </w:p>
    <w:p w14:paraId="72CF2DF1" w14:textId="77777777" w:rsidR="00132579" w:rsidRPr="008F4F6D" w:rsidRDefault="00132579">
      <w:pPr>
        <w:jc w:val="center"/>
        <w:rPr>
          <w:rFonts w:cs="Arial"/>
          <w:b/>
          <w:sz w:val="32"/>
          <w:szCs w:val="32"/>
        </w:rPr>
      </w:pPr>
    </w:p>
    <w:p w14:paraId="6F63FC30" w14:textId="77777777" w:rsidR="00132579" w:rsidRPr="008F4F6D" w:rsidRDefault="00EA6A99">
      <w:pPr>
        <w:jc w:val="center"/>
        <w:rPr>
          <w:rFonts w:cs="Arial"/>
          <w:b/>
          <w:sz w:val="32"/>
          <w:szCs w:val="32"/>
        </w:rPr>
      </w:pPr>
      <w:r w:rsidRPr="008F4F6D">
        <w:rPr>
          <w:rFonts w:cs="Arial"/>
        </w:rPr>
        <w:br w:type="page"/>
      </w:r>
    </w:p>
    <w:bookmarkStart w:id="0" w:name="_7nc6l7j2f47q" w:colFirst="0" w:colLast="0" w:displacedByCustomXml="next"/>
    <w:bookmarkEnd w:id="0" w:displacedByCustomXml="next"/>
    <w:sdt>
      <w:sdtPr>
        <w:rPr>
          <w:rFonts w:ascii="Times New Roman" w:eastAsia="Times New Roman" w:hAnsi="Times New Roman" w:cs="Times New Roman"/>
          <w:color w:val="auto"/>
          <w:sz w:val="24"/>
          <w:szCs w:val="24"/>
          <w:lang w:val="en-GB"/>
        </w:rPr>
        <w:id w:val="-2007812707"/>
        <w:docPartObj>
          <w:docPartGallery w:val="Table of Contents"/>
          <w:docPartUnique/>
        </w:docPartObj>
      </w:sdtPr>
      <w:sdtEndPr>
        <w:rPr>
          <w:rFonts w:ascii="Arial" w:hAnsi="Arial"/>
          <w:b/>
          <w:bCs/>
          <w:noProof/>
          <w:color w:val="000000" w:themeColor="text1"/>
        </w:rPr>
      </w:sdtEndPr>
      <w:sdtContent>
        <w:p w14:paraId="62B6C751" w14:textId="54064B7E" w:rsidR="008F4F6D" w:rsidRPr="008F4F6D" w:rsidRDefault="008F4F6D" w:rsidP="006D3F0C">
          <w:pPr>
            <w:pStyle w:val="TOCHeading"/>
            <w:spacing w:line="360" w:lineRule="auto"/>
            <w:jc w:val="center"/>
            <w:rPr>
              <w:rFonts w:ascii="Arial" w:hAnsi="Arial" w:cs="Arial"/>
              <w:b/>
              <w:bCs/>
              <w:color w:val="000000" w:themeColor="text1"/>
              <w:sz w:val="28"/>
              <w:szCs w:val="28"/>
            </w:rPr>
          </w:pPr>
          <w:r w:rsidRPr="008F4F6D">
            <w:rPr>
              <w:rFonts w:ascii="Arial" w:hAnsi="Arial" w:cs="Arial"/>
              <w:b/>
              <w:bCs/>
              <w:color w:val="000000" w:themeColor="text1"/>
              <w:sz w:val="28"/>
              <w:szCs w:val="28"/>
            </w:rPr>
            <w:t>Table of Contents</w:t>
          </w:r>
        </w:p>
        <w:p w14:paraId="70D67344" w14:textId="124B1F1D" w:rsidR="009F0215" w:rsidRDefault="008F4F6D">
          <w:pPr>
            <w:pStyle w:val="TOC1"/>
            <w:tabs>
              <w:tab w:val="right" w:leader="dot" w:pos="9016"/>
            </w:tabs>
            <w:rPr>
              <w:rFonts w:asciiTheme="minorHAnsi" w:eastAsiaTheme="minorEastAsia" w:hAnsiTheme="minorHAnsi" w:cstheme="minorBidi"/>
              <w:noProof/>
              <w:color w:val="auto"/>
              <w:sz w:val="22"/>
              <w:szCs w:val="22"/>
              <w:lang w:val="en-IN" w:eastAsia="en-IN"/>
            </w:rPr>
          </w:pPr>
          <w:r w:rsidRPr="008F4F6D">
            <w:rPr>
              <w:rFonts w:cs="Arial"/>
            </w:rPr>
            <w:fldChar w:fldCharType="begin"/>
          </w:r>
          <w:r w:rsidRPr="008F4F6D">
            <w:rPr>
              <w:rFonts w:cs="Arial"/>
            </w:rPr>
            <w:instrText xml:space="preserve"> TOC \o "1-3" \h \z \u </w:instrText>
          </w:r>
          <w:r w:rsidRPr="008F4F6D">
            <w:rPr>
              <w:rFonts w:cs="Arial"/>
            </w:rPr>
            <w:fldChar w:fldCharType="separate"/>
          </w:r>
          <w:hyperlink w:anchor="_Toc212056491" w:history="1">
            <w:r w:rsidR="009F0215" w:rsidRPr="00970C91">
              <w:rPr>
                <w:rStyle w:val="Hyperlink"/>
                <w:rFonts w:cs="Arial"/>
                <w:noProof/>
              </w:rPr>
              <w:t>1.0 Introduction</w:t>
            </w:r>
            <w:r w:rsidR="009F0215">
              <w:rPr>
                <w:noProof/>
                <w:webHidden/>
              </w:rPr>
              <w:tab/>
            </w:r>
            <w:r w:rsidR="009F0215">
              <w:rPr>
                <w:noProof/>
                <w:webHidden/>
              </w:rPr>
              <w:fldChar w:fldCharType="begin"/>
            </w:r>
            <w:r w:rsidR="009F0215">
              <w:rPr>
                <w:noProof/>
                <w:webHidden/>
              </w:rPr>
              <w:instrText xml:space="preserve"> PAGEREF _Toc212056491 \h </w:instrText>
            </w:r>
            <w:r w:rsidR="009F0215">
              <w:rPr>
                <w:noProof/>
                <w:webHidden/>
              </w:rPr>
            </w:r>
            <w:r w:rsidR="009F0215">
              <w:rPr>
                <w:noProof/>
                <w:webHidden/>
              </w:rPr>
              <w:fldChar w:fldCharType="separate"/>
            </w:r>
            <w:r w:rsidR="009F0215">
              <w:rPr>
                <w:noProof/>
                <w:webHidden/>
              </w:rPr>
              <w:t>4</w:t>
            </w:r>
            <w:r w:rsidR="009F0215">
              <w:rPr>
                <w:noProof/>
                <w:webHidden/>
              </w:rPr>
              <w:fldChar w:fldCharType="end"/>
            </w:r>
          </w:hyperlink>
        </w:p>
        <w:p w14:paraId="6E10D92F" w14:textId="329B25D5" w:rsidR="009F0215" w:rsidRDefault="00BF11B8">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212056492" w:history="1">
            <w:r w:rsidR="009F0215" w:rsidRPr="00970C91">
              <w:rPr>
                <w:rStyle w:val="Hyperlink"/>
                <w:rFonts w:cs="Arial"/>
                <w:noProof/>
              </w:rPr>
              <w:t>2.0 Overview of the Electric Vehicles Industry</w:t>
            </w:r>
            <w:r w:rsidR="009F0215">
              <w:rPr>
                <w:noProof/>
                <w:webHidden/>
              </w:rPr>
              <w:tab/>
            </w:r>
            <w:r w:rsidR="009F0215">
              <w:rPr>
                <w:noProof/>
                <w:webHidden/>
              </w:rPr>
              <w:fldChar w:fldCharType="begin"/>
            </w:r>
            <w:r w:rsidR="009F0215">
              <w:rPr>
                <w:noProof/>
                <w:webHidden/>
              </w:rPr>
              <w:instrText xml:space="preserve"> PAGEREF _Toc212056492 \h </w:instrText>
            </w:r>
            <w:r w:rsidR="009F0215">
              <w:rPr>
                <w:noProof/>
                <w:webHidden/>
              </w:rPr>
            </w:r>
            <w:r w:rsidR="009F0215">
              <w:rPr>
                <w:noProof/>
                <w:webHidden/>
              </w:rPr>
              <w:fldChar w:fldCharType="separate"/>
            </w:r>
            <w:r w:rsidR="009F0215">
              <w:rPr>
                <w:noProof/>
                <w:webHidden/>
              </w:rPr>
              <w:t>4</w:t>
            </w:r>
            <w:r w:rsidR="009F0215">
              <w:rPr>
                <w:noProof/>
                <w:webHidden/>
              </w:rPr>
              <w:fldChar w:fldCharType="end"/>
            </w:r>
          </w:hyperlink>
        </w:p>
        <w:p w14:paraId="1768C60E" w14:textId="1FA2C872" w:rsidR="009F0215" w:rsidRDefault="00BF11B8">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212056493" w:history="1">
            <w:r w:rsidR="009F0215" w:rsidRPr="00970C91">
              <w:rPr>
                <w:rStyle w:val="Hyperlink"/>
                <w:rFonts w:cs="Arial"/>
                <w:noProof/>
              </w:rPr>
              <w:t>3.0 Critical Assessment of Macro Marketing Actor (Technological)</w:t>
            </w:r>
            <w:r w:rsidR="009F0215">
              <w:rPr>
                <w:noProof/>
                <w:webHidden/>
              </w:rPr>
              <w:tab/>
            </w:r>
            <w:r w:rsidR="009F0215">
              <w:rPr>
                <w:noProof/>
                <w:webHidden/>
              </w:rPr>
              <w:fldChar w:fldCharType="begin"/>
            </w:r>
            <w:r w:rsidR="009F0215">
              <w:rPr>
                <w:noProof/>
                <w:webHidden/>
              </w:rPr>
              <w:instrText xml:space="preserve"> PAGEREF _Toc212056493 \h </w:instrText>
            </w:r>
            <w:r w:rsidR="009F0215">
              <w:rPr>
                <w:noProof/>
                <w:webHidden/>
              </w:rPr>
            </w:r>
            <w:r w:rsidR="009F0215">
              <w:rPr>
                <w:noProof/>
                <w:webHidden/>
              </w:rPr>
              <w:fldChar w:fldCharType="separate"/>
            </w:r>
            <w:r w:rsidR="009F0215">
              <w:rPr>
                <w:noProof/>
                <w:webHidden/>
              </w:rPr>
              <w:t>5</w:t>
            </w:r>
            <w:r w:rsidR="009F0215">
              <w:rPr>
                <w:noProof/>
                <w:webHidden/>
              </w:rPr>
              <w:fldChar w:fldCharType="end"/>
            </w:r>
          </w:hyperlink>
        </w:p>
        <w:p w14:paraId="2982C2CE" w14:textId="33595AF6" w:rsidR="009F0215" w:rsidRDefault="00BF11B8">
          <w:pPr>
            <w:pStyle w:val="TOC2"/>
            <w:tabs>
              <w:tab w:val="right" w:leader="dot" w:pos="9016"/>
            </w:tabs>
            <w:rPr>
              <w:rFonts w:asciiTheme="minorHAnsi" w:eastAsiaTheme="minorEastAsia" w:hAnsiTheme="minorHAnsi" w:cstheme="minorBidi"/>
              <w:noProof/>
              <w:color w:val="auto"/>
              <w:sz w:val="22"/>
              <w:szCs w:val="22"/>
              <w:lang w:val="en-IN" w:eastAsia="en-IN"/>
            </w:rPr>
          </w:pPr>
          <w:hyperlink w:anchor="_Toc212056494" w:history="1">
            <w:r w:rsidR="009F0215" w:rsidRPr="00970C91">
              <w:rPr>
                <w:rStyle w:val="Hyperlink"/>
                <w:rFonts w:cs="Arial"/>
                <w:noProof/>
              </w:rPr>
              <w:t>3.1 Overview of Technological Environment</w:t>
            </w:r>
            <w:r w:rsidR="009F0215">
              <w:rPr>
                <w:noProof/>
                <w:webHidden/>
              </w:rPr>
              <w:tab/>
            </w:r>
            <w:r w:rsidR="009F0215">
              <w:rPr>
                <w:noProof/>
                <w:webHidden/>
              </w:rPr>
              <w:fldChar w:fldCharType="begin"/>
            </w:r>
            <w:r w:rsidR="009F0215">
              <w:rPr>
                <w:noProof/>
                <w:webHidden/>
              </w:rPr>
              <w:instrText xml:space="preserve"> PAGEREF _Toc212056494 \h </w:instrText>
            </w:r>
            <w:r w:rsidR="009F0215">
              <w:rPr>
                <w:noProof/>
                <w:webHidden/>
              </w:rPr>
            </w:r>
            <w:r w:rsidR="009F0215">
              <w:rPr>
                <w:noProof/>
                <w:webHidden/>
              </w:rPr>
              <w:fldChar w:fldCharType="separate"/>
            </w:r>
            <w:r w:rsidR="009F0215">
              <w:rPr>
                <w:noProof/>
                <w:webHidden/>
              </w:rPr>
              <w:t>5</w:t>
            </w:r>
            <w:r w:rsidR="009F0215">
              <w:rPr>
                <w:noProof/>
                <w:webHidden/>
              </w:rPr>
              <w:fldChar w:fldCharType="end"/>
            </w:r>
          </w:hyperlink>
        </w:p>
        <w:p w14:paraId="187829C3" w14:textId="61592044" w:rsidR="009F0215" w:rsidRDefault="00BF11B8">
          <w:pPr>
            <w:pStyle w:val="TOC2"/>
            <w:tabs>
              <w:tab w:val="right" w:leader="dot" w:pos="9016"/>
            </w:tabs>
            <w:rPr>
              <w:rFonts w:asciiTheme="minorHAnsi" w:eastAsiaTheme="minorEastAsia" w:hAnsiTheme="minorHAnsi" w:cstheme="minorBidi"/>
              <w:noProof/>
              <w:color w:val="auto"/>
              <w:sz w:val="22"/>
              <w:szCs w:val="22"/>
              <w:lang w:val="en-IN" w:eastAsia="en-IN"/>
            </w:rPr>
          </w:pPr>
          <w:hyperlink w:anchor="_Toc212056495" w:history="1">
            <w:r w:rsidR="009F0215" w:rsidRPr="00970C91">
              <w:rPr>
                <w:rStyle w:val="Hyperlink"/>
                <w:rFonts w:cs="Arial"/>
                <w:noProof/>
              </w:rPr>
              <w:t>3.2 Opportunities for Pioneers</w:t>
            </w:r>
            <w:r w:rsidR="009F0215">
              <w:rPr>
                <w:noProof/>
                <w:webHidden/>
              </w:rPr>
              <w:tab/>
            </w:r>
            <w:r w:rsidR="009F0215">
              <w:rPr>
                <w:noProof/>
                <w:webHidden/>
              </w:rPr>
              <w:fldChar w:fldCharType="begin"/>
            </w:r>
            <w:r w:rsidR="009F0215">
              <w:rPr>
                <w:noProof/>
                <w:webHidden/>
              </w:rPr>
              <w:instrText xml:space="preserve"> PAGEREF _Toc212056495 \h </w:instrText>
            </w:r>
            <w:r w:rsidR="009F0215">
              <w:rPr>
                <w:noProof/>
                <w:webHidden/>
              </w:rPr>
            </w:r>
            <w:r w:rsidR="009F0215">
              <w:rPr>
                <w:noProof/>
                <w:webHidden/>
              </w:rPr>
              <w:fldChar w:fldCharType="separate"/>
            </w:r>
            <w:r w:rsidR="009F0215">
              <w:rPr>
                <w:noProof/>
                <w:webHidden/>
              </w:rPr>
              <w:t>6</w:t>
            </w:r>
            <w:r w:rsidR="009F0215">
              <w:rPr>
                <w:noProof/>
                <w:webHidden/>
              </w:rPr>
              <w:fldChar w:fldCharType="end"/>
            </w:r>
          </w:hyperlink>
        </w:p>
        <w:p w14:paraId="54E6D7E9" w14:textId="5BA59060" w:rsidR="009F0215" w:rsidRDefault="00BF11B8">
          <w:pPr>
            <w:pStyle w:val="TOC2"/>
            <w:tabs>
              <w:tab w:val="right" w:leader="dot" w:pos="9016"/>
            </w:tabs>
            <w:rPr>
              <w:rFonts w:asciiTheme="minorHAnsi" w:eastAsiaTheme="minorEastAsia" w:hAnsiTheme="minorHAnsi" w:cstheme="minorBidi"/>
              <w:noProof/>
              <w:color w:val="auto"/>
              <w:sz w:val="22"/>
              <w:szCs w:val="22"/>
              <w:lang w:val="en-IN" w:eastAsia="en-IN"/>
            </w:rPr>
          </w:pPr>
          <w:hyperlink w:anchor="_Toc212056496" w:history="1">
            <w:r w:rsidR="009F0215" w:rsidRPr="00970C91">
              <w:rPr>
                <w:rStyle w:val="Hyperlink"/>
                <w:rFonts w:cs="Arial"/>
                <w:noProof/>
              </w:rPr>
              <w:t>3.3 Threats for Pioneers</w:t>
            </w:r>
            <w:r w:rsidR="009F0215">
              <w:rPr>
                <w:noProof/>
                <w:webHidden/>
              </w:rPr>
              <w:tab/>
            </w:r>
            <w:r w:rsidR="009F0215">
              <w:rPr>
                <w:noProof/>
                <w:webHidden/>
              </w:rPr>
              <w:fldChar w:fldCharType="begin"/>
            </w:r>
            <w:r w:rsidR="009F0215">
              <w:rPr>
                <w:noProof/>
                <w:webHidden/>
              </w:rPr>
              <w:instrText xml:space="preserve"> PAGEREF _Toc212056496 \h </w:instrText>
            </w:r>
            <w:r w:rsidR="009F0215">
              <w:rPr>
                <w:noProof/>
                <w:webHidden/>
              </w:rPr>
            </w:r>
            <w:r w:rsidR="009F0215">
              <w:rPr>
                <w:noProof/>
                <w:webHidden/>
              </w:rPr>
              <w:fldChar w:fldCharType="separate"/>
            </w:r>
            <w:r w:rsidR="009F0215">
              <w:rPr>
                <w:noProof/>
                <w:webHidden/>
              </w:rPr>
              <w:t>7</w:t>
            </w:r>
            <w:r w:rsidR="009F0215">
              <w:rPr>
                <w:noProof/>
                <w:webHidden/>
              </w:rPr>
              <w:fldChar w:fldCharType="end"/>
            </w:r>
          </w:hyperlink>
        </w:p>
        <w:p w14:paraId="36F5D6B8" w14:textId="74932BBA" w:rsidR="009F0215" w:rsidRDefault="00BF11B8">
          <w:pPr>
            <w:pStyle w:val="TOC2"/>
            <w:tabs>
              <w:tab w:val="right" w:leader="dot" w:pos="9016"/>
            </w:tabs>
            <w:rPr>
              <w:rFonts w:asciiTheme="minorHAnsi" w:eastAsiaTheme="minorEastAsia" w:hAnsiTheme="minorHAnsi" w:cstheme="minorBidi"/>
              <w:noProof/>
              <w:color w:val="auto"/>
              <w:sz w:val="22"/>
              <w:szCs w:val="22"/>
              <w:lang w:val="en-IN" w:eastAsia="en-IN"/>
            </w:rPr>
          </w:pPr>
          <w:hyperlink w:anchor="_Toc212056497" w:history="1">
            <w:r w:rsidR="009F0215" w:rsidRPr="00970C91">
              <w:rPr>
                <w:rStyle w:val="Hyperlink"/>
                <w:rFonts w:cs="Arial"/>
                <w:noProof/>
              </w:rPr>
              <w:t>3.4 Opportunities for Followers</w:t>
            </w:r>
            <w:r w:rsidR="009F0215">
              <w:rPr>
                <w:noProof/>
                <w:webHidden/>
              </w:rPr>
              <w:tab/>
            </w:r>
            <w:r w:rsidR="009F0215">
              <w:rPr>
                <w:noProof/>
                <w:webHidden/>
              </w:rPr>
              <w:fldChar w:fldCharType="begin"/>
            </w:r>
            <w:r w:rsidR="009F0215">
              <w:rPr>
                <w:noProof/>
                <w:webHidden/>
              </w:rPr>
              <w:instrText xml:space="preserve"> PAGEREF _Toc212056497 \h </w:instrText>
            </w:r>
            <w:r w:rsidR="009F0215">
              <w:rPr>
                <w:noProof/>
                <w:webHidden/>
              </w:rPr>
            </w:r>
            <w:r w:rsidR="009F0215">
              <w:rPr>
                <w:noProof/>
                <w:webHidden/>
              </w:rPr>
              <w:fldChar w:fldCharType="separate"/>
            </w:r>
            <w:r w:rsidR="009F0215">
              <w:rPr>
                <w:noProof/>
                <w:webHidden/>
              </w:rPr>
              <w:t>8</w:t>
            </w:r>
            <w:r w:rsidR="009F0215">
              <w:rPr>
                <w:noProof/>
                <w:webHidden/>
              </w:rPr>
              <w:fldChar w:fldCharType="end"/>
            </w:r>
          </w:hyperlink>
        </w:p>
        <w:p w14:paraId="103B18DA" w14:textId="34256728" w:rsidR="009F0215" w:rsidRDefault="00BF11B8">
          <w:pPr>
            <w:pStyle w:val="TOC2"/>
            <w:tabs>
              <w:tab w:val="right" w:leader="dot" w:pos="9016"/>
            </w:tabs>
            <w:rPr>
              <w:rFonts w:asciiTheme="minorHAnsi" w:eastAsiaTheme="minorEastAsia" w:hAnsiTheme="minorHAnsi" w:cstheme="minorBidi"/>
              <w:noProof/>
              <w:color w:val="auto"/>
              <w:sz w:val="22"/>
              <w:szCs w:val="22"/>
              <w:lang w:val="en-IN" w:eastAsia="en-IN"/>
            </w:rPr>
          </w:pPr>
          <w:hyperlink w:anchor="_Toc212056498" w:history="1">
            <w:r w:rsidR="009F0215" w:rsidRPr="00970C91">
              <w:rPr>
                <w:rStyle w:val="Hyperlink"/>
                <w:rFonts w:cs="Arial"/>
                <w:noProof/>
              </w:rPr>
              <w:t>3.5 Threats for Followers</w:t>
            </w:r>
            <w:r w:rsidR="009F0215">
              <w:rPr>
                <w:noProof/>
                <w:webHidden/>
              </w:rPr>
              <w:tab/>
            </w:r>
            <w:r w:rsidR="009F0215">
              <w:rPr>
                <w:noProof/>
                <w:webHidden/>
              </w:rPr>
              <w:fldChar w:fldCharType="begin"/>
            </w:r>
            <w:r w:rsidR="009F0215">
              <w:rPr>
                <w:noProof/>
                <w:webHidden/>
              </w:rPr>
              <w:instrText xml:space="preserve"> PAGEREF _Toc212056498 \h </w:instrText>
            </w:r>
            <w:r w:rsidR="009F0215">
              <w:rPr>
                <w:noProof/>
                <w:webHidden/>
              </w:rPr>
            </w:r>
            <w:r w:rsidR="009F0215">
              <w:rPr>
                <w:noProof/>
                <w:webHidden/>
              </w:rPr>
              <w:fldChar w:fldCharType="separate"/>
            </w:r>
            <w:r w:rsidR="009F0215">
              <w:rPr>
                <w:noProof/>
                <w:webHidden/>
              </w:rPr>
              <w:t>8</w:t>
            </w:r>
            <w:r w:rsidR="009F0215">
              <w:rPr>
                <w:noProof/>
                <w:webHidden/>
              </w:rPr>
              <w:fldChar w:fldCharType="end"/>
            </w:r>
          </w:hyperlink>
        </w:p>
        <w:p w14:paraId="46352C07" w14:textId="4DECE5BB" w:rsidR="009F0215" w:rsidRDefault="00BF11B8">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212056499" w:history="1">
            <w:r w:rsidR="009F0215" w:rsidRPr="00970C91">
              <w:rPr>
                <w:rStyle w:val="Hyperlink"/>
                <w:rFonts w:cs="Arial"/>
                <w:noProof/>
              </w:rPr>
              <w:t>4.0 Critical Assessment of Macro Marketing Actor (Political)</w:t>
            </w:r>
            <w:r w:rsidR="009F0215">
              <w:rPr>
                <w:noProof/>
                <w:webHidden/>
              </w:rPr>
              <w:tab/>
            </w:r>
            <w:r w:rsidR="009F0215">
              <w:rPr>
                <w:noProof/>
                <w:webHidden/>
              </w:rPr>
              <w:fldChar w:fldCharType="begin"/>
            </w:r>
            <w:r w:rsidR="009F0215">
              <w:rPr>
                <w:noProof/>
                <w:webHidden/>
              </w:rPr>
              <w:instrText xml:space="preserve"> PAGEREF _Toc212056499 \h </w:instrText>
            </w:r>
            <w:r w:rsidR="009F0215">
              <w:rPr>
                <w:noProof/>
                <w:webHidden/>
              </w:rPr>
            </w:r>
            <w:r w:rsidR="009F0215">
              <w:rPr>
                <w:noProof/>
                <w:webHidden/>
              </w:rPr>
              <w:fldChar w:fldCharType="separate"/>
            </w:r>
            <w:r w:rsidR="009F0215">
              <w:rPr>
                <w:noProof/>
                <w:webHidden/>
              </w:rPr>
              <w:t>9</w:t>
            </w:r>
            <w:r w:rsidR="009F0215">
              <w:rPr>
                <w:noProof/>
                <w:webHidden/>
              </w:rPr>
              <w:fldChar w:fldCharType="end"/>
            </w:r>
          </w:hyperlink>
        </w:p>
        <w:p w14:paraId="00E6D14D" w14:textId="734E8B33" w:rsidR="009F0215" w:rsidRDefault="00BF11B8">
          <w:pPr>
            <w:pStyle w:val="TOC2"/>
            <w:tabs>
              <w:tab w:val="right" w:leader="dot" w:pos="9016"/>
            </w:tabs>
            <w:rPr>
              <w:rFonts w:asciiTheme="minorHAnsi" w:eastAsiaTheme="minorEastAsia" w:hAnsiTheme="minorHAnsi" w:cstheme="minorBidi"/>
              <w:noProof/>
              <w:color w:val="auto"/>
              <w:sz w:val="22"/>
              <w:szCs w:val="22"/>
              <w:lang w:val="en-IN" w:eastAsia="en-IN"/>
            </w:rPr>
          </w:pPr>
          <w:hyperlink w:anchor="_Toc212056500" w:history="1">
            <w:r w:rsidR="009F0215" w:rsidRPr="00970C91">
              <w:rPr>
                <w:rStyle w:val="Hyperlink"/>
                <w:rFonts w:cs="Arial"/>
                <w:noProof/>
              </w:rPr>
              <w:t>4.1 Overview of Political Environment</w:t>
            </w:r>
            <w:r w:rsidR="009F0215">
              <w:rPr>
                <w:noProof/>
                <w:webHidden/>
              </w:rPr>
              <w:tab/>
            </w:r>
            <w:r w:rsidR="009F0215">
              <w:rPr>
                <w:noProof/>
                <w:webHidden/>
              </w:rPr>
              <w:fldChar w:fldCharType="begin"/>
            </w:r>
            <w:r w:rsidR="009F0215">
              <w:rPr>
                <w:noProof/>
                <w:webHidden/>
              </w:rPr>
              <w:instrText xml:space="preserve"> PAGEREF _Toc212056500 \h </w:instrText>
            </w:r>
            <w:r w:rsidR="009F0215">
              <w:rPr>
                <w:noProof/>
                <w:webHidden/>
              </w:rPr>
            </w:r>
            <w:r w:rsidR="009F0215">
              <w:rPr>
                <w:noProof/>
                <w:webHidden/>
              </w:rPr>
              <w:fldChar w:fldCharType="separate"/>
            </w:r>
            <w:r w:rsidR="009F0215">
              <w:rPr>
                <w:noProof/>
                <w:webHidden/>
              </w:rPr>
              <w:t>9</w:t>
            </w:r>
            <w:r w:rsidR="009F0215">
              <w:rPr>
                <w:noProof/>
                <w:webHidden/>
              </w:rPr>
              <w:fldChar w:fldCharType="end"/>
            </w:r>
          </w:hyperlink>
        </w:p>
        <w:p w14:paraId="31F838C3" w14:textId="543A6D84" w:rsidR="009F0215" w:rsidRDefault="00BF11B8">
          <w:pPr>
            <w:pStyle w:val="TOC2"/>
            <w:tabs>
              <w:tab w:val="right" w:leader="dot" w:pos="9016"/>
            </w:tabs>
            <w:rPr>
              <w:rFonts w:asciiTheme="minorHAnsi" w:eastAsiaTheme="minorEastAsia" w:hAnsiTheme="minorHAnsi" w:cstheme="minorBidi"/>
              <w:noProof/>
              <w:color w:val="auto"/>
              <w:sz w:val="22"/>
              <w:szCs w:val="22"/>
              <w:lang w:val="en-IN" w:eastAsia="en-IN"/>
            </w:rPr>
          </w:pPr>
          <w:hyperlink w:anchor="_Toc212056501" w:history="1">
            <w:r w:rsidR="009F0215" w:rsidRPr="00970C91">
              <w:rPr>
                <w:rStyle w:val="Hyperlink"/>
                <w:rFonts w:cs="Arial"/>
                <w:noProof/>
              </w:rPr>
              <w:t>4.2 Opportunities for Pioneers</w:t>
            </w:r>
            <w:r w:rsidR="009F0215">
              <w:rPr>
                <w:noProof/>
                <w:webHidden/>
              </w:rPr>
              <w:tab/>
            </w:r>
            <w:r w:rsidR="009F0215">
              <w:rPr>
                <w:noProof/>
                <w:webHidden/>
              </w:rPr>
              <w:fldChar w:fldCharType="begin"/>
            </w:r>
            <w:r w:rsidR="009F0215">
              <w:rPr>
                <w:noProof/>
                <w:webHidden/>
              </w:rPr>
              <w:instrText xml:space="preserve"> PAGEREF _Toc212056501 \h </w:instrText>
            </w:r>
            <w:r w:rsidR="009F0215">
              <w:rPr>
                <w:noProof/>
                <w:webHidden/>
              </w:rPr>
            </w:r>
            <w:r w:rsidR="009F0215">
              <w:rPr>
                <w:noProof/>
                <w:webHidden/>
              </w:rPr>
              <w:fldChar w:fldCharType="separate"/>
            </w:r>
            <w:r w:rsidR="009F0215">
              <w:rPr>
                <w:noProof/>
                <w:webHidden/>
              </w:rPr>
              <w:t>10</w:t>
            </w:r>
            <w:r w:rsidR="009F0215">
              <w:rPr>
                <w:noProof/>
                <w:webHidden/>
              </w:rPr>
              <w:fldChar w:fldCharType="end"/>
            </w:r>
          </w:hyperlink>
        </w:p>
        <w:p w14:paraId="1AA656C0" w14:textId="48CD3085" w:rsidR="009F0215" w:rsidRDefault="00BF11B8">
          <w:pPr>
            <w:pStyle w:val="TOC2"/>
            <w:tabs>
              <w:tab w:val="right" w:leader="dot" w:pos="9016"/>
            </w:tabs>
            <w:rPr>
              <w:rFonts w:asciiTheme="minorHAnsi" w:eastAsiaTheme="minorEastAsia" w:hAnsiTheme="minorHAnsi" w:cstheme="minorBidi"/>
              <w:noProof/>
              <w:color w:val="auto"/>
              <w:sz w:val="22"/>
              <w:szCs w:val="22"/>
              <w:lang w:val="en-IN" w:eastAsia="en-IN"/>
            </w:rPr>
          </w:pPr>
          <w:hyperlink w:anchor="_Toc212056502" w:history="1">
            <w:r w:rsidR="009F0215" w:rsidRPr="00970C91">
              <w:rPr>
                <w:rStyle w:val="Hyperlink"/>
                <w:rFonts w:cs="Arial"/>
                <w:noProof/>
              </w:rPr>
              <w:t>4.3 Threats for Pioneers</w:t>
            </w:r>
            <w:r w:rsidR="009F0215">
              <w:rPr>
                <w:noProof/>
                <w:webHidden/>
              </w:rPr>
              <w:tab/>
            </w:r>
            <w:r w:rsidR="009F0215">
              <w:rPr>
                <w:noProof/>
                <w:webHidden/>
              </w:rPr>
              <w:fldChar w:fldCharType="begin"/>
            </w:r>
            <w:r w:rsidR="009F0215">
              <w:rPr>
                <w:noProof/>
                <w:webHidden/>
              </w:rPr>
              <w:instrText xml:space="preserve"> PAGEREF _Toc212056502 \h </w:instrText>
            </w:r>
            <w:r w:rsidR="009F0215">
              <w:rPr>
                <w:noProof/>
                <w:webHidden/>
              </w:rPr>
            </w:r>
            <w:r w:rsidR="009F0215">
              <w:rPr>
                <w:noProof/>
                <w:webHidden/>
              </w:rPr>
              <w:fldChar w:fldCharType="separate"/>
            </w:r>
            <w:r w:rsidR="009F0215">
              <w:rPr>
                <w:noProof/>
                <w:webHidden/>
              </w:rPr>
              <w:t>10</w:t>
            </w:r>
            <w:r w:rsidR="009F0215">
              <w:rPr>
                <w:noProof/>
                <w:webHidden/>
              </w:rPr>
              <w:fldChar w:fldCharType="end"/>
            </w:r>
          </w:hyperlink>
        </w:p>
        <w:p w14:paraId="7A5AD4C8" w14:textId="0895815B" w:rsidR="009F0215" w:rsidRDefault="00BF11B8">
          <w:pPr>
            <w:pStyle w:val="TOC2"/>
            <w:tabs>
              <w:tab w:val="right" w:leader="dot" w:pos="9016"/>
            </w:tabs>
            <w:rPr>
              <w:rFonts w:asciiTheme="minorHAnsi" w:eastAsiaTheme="minorEastAsia" w:hAnsiTheme="minorHAnsi" w:cstheme="minorBidi"/>
              <w:noProof/>
              <w:color w:val="auto"/>
              <w:sz w:val="22"/>
              <w:szCs w:val="22"/>
              <w:lang w:val="en-IN" w:eastAsia="en-IN"/>
            </w:rPr>
          </w:pPr>
          <w:hyperlink w:anchor="_Toc212056503" w:history="1">
            <w:r w:rsidR="009F0215" w:rsidRPr="00970C91">
              <w:rPr>
                <w:rStyle w:val="Hyperlink"/>
                <w:rFonts w:cs="Arial"/>
                <w:noProof/>
              </w:rPr>
              <w:t>4.4 Opportunities for Followers</w:t>
            </w:r>
            <w:r w:rsidR="009F0215">
              <w:rPr>
                <w:noProof/>
                <w:webHidden/>
              </w:rPr>
              <w:tab/>
            </w:r>
            <w:r w:rsidR="009F0215">
              <w:rPr>
                <w:noProof/>
                <w:webHidden/>
              </w:rPr>
              <w:fldChar w:fldCharType="begin"/>
            </w:r>
            <w:r w:rsidR="009F0215">
              <w:rPr>
                <w:noProof/>
                <w:webHidden/>
              </w:rPr>
              <w:instrText xml:space="preserve"> PAGEREF _Toc212056503 \h </w:instrText>
            </w:r>
            <w:r w:rsidR="009F0215">
              <w:rPr>
                <w:noProof/>
                <w:webHidden/>
              </w:rPr>
            </w:r>
            <w:r w:rsidR="009F0215">
              <w:rPr>
                <w:noProof/>
                <w:webHidden/>
              </w:rPr>
              <w:fldChar w:fldCharType="separate"/>
            </w:r>
            <w:r w:rsidR="009F0215">
              <w:rPr>
                <w:noProof/>
                <w:webHidden/>
              </w:rPr>
              <w:t>11</w:t>
            </w:r>
            <w:r w:rsidR="009F0215">
              <w:rPr>
                <w:noProof/>
                <w:webHidden/>
              </w:rPr>
              <w:fldChar w:fldCharType="end"/>
            </w:r>
          </w:hyperlink>
        </w:p>
        <w:p w14:paraId="09A1FABA" w14:textId="479F68DC" w:rsidR="009F0215" w:rsidRDefault="00BF11B8">
          <w:pPr>
            <w:pStyle w:val="TOC2"/>
            <w:tabs>
              <w:tab w:val="right" w:leader="dot" w:pos="9016"/>
            </w:tabs>
            <w:rPr>
              <w:rFonts w:asciiTheme="minorHAnsi" w:eastAsiaTheme="minorEastAsia" w:hAnsiTheme="minorHAnsi" w:cstheme="minorBidi"/>
              <w:noProof/>
              <w:color w:val="auto"/>
              <w:sz w:val="22"/>
              <w:szCs w:val="22"/>
              <w:lang w:val="en-IN" w:eastAsia="en-IN"/>
            </w:rPr>
          </w:pPr>
          <w:hyperlink w:anchor="_Toc212056504" w:history="1">
            <w:r w:rsidR="009F0215" w:rsidRPr="00970C91">
              <w:rPr>
                <w:rStyle w:val="Hyperlink"/>
                <w:rFonts w:cs="Arial"/>
                <w:noProof/>
              </w:rPr>
              <w:t>4.5 Threats for Followers</w:t>
            </w:r>
            <w:r w:rsidR="009F0215">
              <w:rPr>
                <w:noProof/>
                <w:webHidden/>
              </w:rPr>
              <w:tab/>
            </w:r>
            <w:r w:rsidR="009F0215">
              <w:rPr>
                <w:noProof/>
                <w:webHidden/>
              </w:rPr>
              <w:fldChar w:fldCharType="begin"/>
            </w:r>
            <w:r w:rsidR="009F0215">
              <w:rPr>
                <w:noProof/>
                <w:webHidden/>
              </w:rPr>
              <w:instrText xml:space="preserve"> PAGEREF _Toc212056504 \h </w:instrText>
            </w:r>
            <w:r w:rsidR="009F0215">
              <w:rPr>
                <w:noProof/>
                <w:webHidden/>
              </w:rPr>
            </w:r>
            <w:r w:rsidR="009F0215">
              <w:rPr>
                <w:noProof/>
                <w:webHidden/>
              </w:rPr>
              <w:fldChar w:fldCharType="separate"/>
            </w:r>
            <w:r w:rsidR="009F0215">
              <w:rPr>
                <w:noProof/>
                <w:webHidden/>
              </w:rPr>
              <w:t>11</w:t>
            </w:r>
            <w:r w:rsidR="009F0215">
              <w:rPr>
                <w:noProof/>
                <w:webHidden/>
              </w:rPr>
              <w:fldChar w:fldCharType="end"/>
            </w:r>
          </w:hyperlink>
        </w:p>
        <w:p w14:paraId="261C6965" w14:textId="7EBC36B7" w:rsidR="009F0215" w:rsidRDefault="00BF11B8">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212056505" w:history="1">
            <w:r w:rsidR="009F0215" w:rsidRPr="00970C91">
              <w:rPr>
                <w:rStyle w:val="Hyperlink"/>
                <w:rFonts w:cs="Arial"/>
                <w:noProof/>
              </w:rPr>
              <w:t>5.0 Evaluation of Strategic Response to the External Factors 1000</w:t>
            </w:r>
            <w:r w:rsidR="009F0215">
              <w:rPr>
                <w:noProof/>
                <w:webHidden/>
              </w:rPr>
              <w:tab/>
            </w:r>
            <w:r w:rsidR="009F0215">
              <w:rPr>
                <w:noProof/>
                <w:webHidden/>
              </w:rPr>
              <w:fldChar w:fldCharType="begin"/>
            </w:r>
            <w:r w:rsidR="009F0215">
              <w:rPr>
                <w:noProof/>
                <w:webHidden/>
              </w:rPr>
              <w:instrText xml:space="preserve"> PAGEREF _Toc212056505 \h </w:instrText>
            </w:r>
            <w:r w:rsidR="009F0215">
              <w:rPr>
                <w:noProof/>
                <w:webHidden/>
              </w:rPr>
            </w:r>
            <w:r w:rsidR="009F0215">
              <w:rPr>
                <w:noProof/>
                <w:webHidden/>
              </w:rPr>
              <w:fldChar w:fldCharType="separate"/>
            </w:r>
            <w:r w:rsidR="009F0215">
              <w:rPr>
                <w:noProof/>
                <w:webHidden/>
              </w:rPr>
              <w:t>11</w:t>
            </w:r>
            <w:r w:rsidR="009F0215">
              <w:rPr>
                <w:noProof/>
                <w:webHidden/>
              </w:rPr>
              <w:fldChar w:fldCharType="end"/>
            </w:r>
          </w:hyperlink>
        </w:p>
        <w:p w14:paraId="2B040788" w14:textId="11CD9FF3" w:rsidR="009F0215" w:rsidRDefault="00BF11B8">
          <w:pPr>
            <w:pStyle w:val="TOC2"/>
            <w:tabs>
              <w:tab w:val="right" w:leader="dot" w:pos="9016"/>
            </w:tabs>
            <w:rPr>
              <w:rFonts w:asciiTheme="minorHAnsi" w:eastAsiaTheme="minorEastAsia" w:hAnsiTheme="minorHAnsi" w:cstheme="minorBidi"/>
              <w:noProof/>
              <w:color w:val="auto"/>
              <w:sz w:val="22"/>
              <w:szCs w:val="22"/>
              <w:lang w:val="en-IN" w:eastAsia="en-IN"/>
            </w:rPr>
          </w:pPr>
          <w:hyperlink w:anchor="_Toc212056506" w:history="1">
            <w:r w:rsidR="009F0215" w:rsidRPr="00970C91">
              <w:rPr>
                <w:rStyle w:val="Hyperlink"/>
                <w:rFonts w:cs="Arial"/>
                <w:noProof/>
              </w:rPr>
              <w:t>5.1 Identification of Response to the Technological Aspects</w:t>
            </w:r>
            <w:r w:rsidR="009F0215">
              <w:rPr>
                <w:noProof/>
                <w:webHidden/>
              </w:rPr>
              <w:tab/>
            </w:r>
            <w:r w:rsidR="009F0215">
              <w:rPr>
                <w:noProof/>
                <w:webHidden/>
              </w:rPr>
              <w:fldChar w:fldCharType="begin"/>
            </w:r>
            <w:r w:rsidR="009F0215">
              <w:rPr>
                <w:noProof/>
                <w:webHidden/>
              </w:rPr>
              <w:instrText xml:space="preserve"> PAGEREF _Toc212056506 \h </w:instrText>
            </w:r>
            <w:r w:rsidR="009F0215">
              <w:rPr>
                <w:noProof/>
                <w:webHidden/>
              </w:rPr>
            </w:r>
            <w:r w:rsidR="009F0215">
              <w:rPr>
                <w:noProof/>
                <w:webHidden/>
              </w:rPr>
              <w:fldChar w:fldCharType="separate"/>
            </w:r>
            <w:r w:rsidR="009F0215">
              <w:rPr>
                <w:noProof/>
                <w:webHidden/>
              </w:rPr>
              <w:t>11</w:t>
            </w:r>
            <w:r w:rsidR="009F0215">
              <w:rPr>
                <w:noProof/>
                <w:webHidden/>
              </w:rPr>
              <w:fldChar w:fldCharType="end"/>
            </w:r>
          </w:hyperlink>
        </w:p>
        <w:p w14:paraId="54A1BCF4" w14:textId="2883BD4A" w:rsidR="009F0215" w:rsidRDefault="00BF11B8">
          <w:pPr>
            <w:pStyle w:val="TOC2"/>
            <w:tabs>
              <w:tab w:val="right" w:leader="dot" w:pos="9016"/>
            </w:tabs>
            <w:rPr>
              <w:rFonts w:asciiTheme="minorHAnsi" w:eastAsiaTheme="minorEastAsia" w:hAnsiTheme="minorHAnsi" w:cstheme="minorBidi"/>
              <w:noProof/>
              <w:color w:val="auto"/>
              <w:sz w:val="22"/>
              <w:szCs w:val="22"/>
              <w:lang w:val="en-IN" w:eastAsia="en-IN"/>
            </w:rPr>
          </w:pPr>
          <w:hyperlink w:anchor="_Toc212056507" w:history="1">
            <w:r w:rsidR="009F0215" w:rsidRPr="00970C91">
              <w:rPr>
                <w:rStyle w:val="Hyperlink"/>
                <w:rFonts w:cs="Arial"/>
                <w:noProof/>
              </w:rPr>
              <w:t>5.2 Identification of Response to the Political Aspects</w:t>
            </w:r>
            <w:r w:rsidR="009F0215">
              <w:rPr>
                <w:noProof/>
                <w:webHidden/>
              </w:rPr>
              <w:tab/>
            </w:r>
            <w:r w:rsidR="009F0215">
              <w:rPr>
                <w:noProof/>
                <w:webHidden/>
              </w:rPr>
              <w:fldChar w:fldCharType="begin"/>
            </w:r>
            <w:r w:rsidR="009F0215">
              <w:rPr>
                <w:noProof/>
                <w:webHidden/>
              </w:rPr>
              <w:instrText xml:space="preserve"> PAGEREF _Toc212056507 \h </w:instrText>
            </w:r>
            <w:r w:rsidR="009F0215">
              <w:rPr>
                <w:noProof/>
                <w:webHidden/>
              </w:rPr>
            </w:r>
            <w:r w:rsidR="009F0215">
              <w:rPr>
                <w:noProof/>
                <w:webHidden/>
              </w:rPr>
              <w:fldChar w:fldCharType="separate"/>
            </w:r>
            <w:r w:rsidR="009F0215">
              <w:rPr>
                <w:noProof/>
                <w:webHidden/>
              </w:rPr>
              <w:t>13</w:t>
            </w:r>
            <w:r w:rsidR="009F0215">
              <w:rPr>
                <w:noProof/>
                <w:webHidden/>
              </w:rPr>
              <w:fldChar w:fldCharType="end"/>
            </w:r>
          </w:hyperlink>
        </w:p>
        <w:p w14:paraId="5BDAC098" w14:textId="174161E2" w:rsidR="009F0215" w:rsidRDefault="00BF11B8">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212056508" w:history="1">
            <w:r w:rsidR="009F0215" w:rsidRPr="00970C91">
              <w:rPr>
                <w:rStyle w:val="Hyperlink"/>
                <w:rFonts w:cs="Arial"/>
                <w:noProof/>
              </w:rPr>
              <w:t>6.0 Conclusion</w:t>
            </w:r>
            <w:r w:rsidR="009F0215">
              <w:rPr>
                <w:noProof/>
                <w:webHidden/>
              </w:rPr>
              <w:tab/>
            </w:r>
            <w:r w:rsidR="009F0215">
              <w:rPr>
                <w:noProof/>
                <w:webHidden/>
              </w:rPr>
              <w:fldChar w:fldCharType="begin"/>
            </w:r>
            <w:r w:rsidR="009F0215">
              <w:rPr>
                <w:noProof/>
                <w:webHidden/>
              </w:rPr>
              <w:instrText xml:space="preserve"> PAGEREF _Toc212056508 \h </w:instrText>
            </w:r>
            <w:r w:rsidR="009F0215">
              <w:rPr>
                <w:noProof/>
                <w:webHidden/>
              </w:rPr>
            </w:r>
            <w:r w:rsidR="009F0215">
              <w:rPr>
                <w:noProof/>
                <w:webHidden/>
              </w:rPr>
              <w:fldChar w:fldCharType="separate"/>
            </w:r>
            <w:r w:rsidR="009F0215">
              <w:rPr>
                <w:noProof/>
                <w:webHidden/>
              </w:rPr>
              <w:t>14</w:t>
            </w:r>
            <w:r w:rsidR="009F0215">
              <w:rPr>
                <w:noProof/>
                <w:webHidden/>
              </w:rPr>
              <w:fldChar w:fldCharType="end"/>
            </w:r>
          </w:hyperlink>
        </w:p>
        <w:p w14:paraId="721B6CE5" w14:textId="7BC5D007" w:rsidR="009F0215" w:rsidRDefault="00BF11B8">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212056509" w:history="1">
            <w:r w:rsidR="009F0215" w:rsidRPr="00970C91">
              <w:rPr>
                <w:rStyle w:val="Hyperlink"/>
                <w:rFonts w:cs="Arial"/>
                <w:noProof/>
              </w:rPr>
              <w:t>References</w:t>
            </w:r>
            <w:r w:rsidR="009F0215">
              <w:rPr>
                <w:noProof/>
                <w:webHidden/>
              </w:rPr>
              <w:tab/>
            </w:r>
            <w:r w:rsidR="009F0215">
              <w:rPr>
                <w:noProof/>
                <w:webHidden/>
              </w:rPr>
              <w:fldChar w:fldCharType="begin"/>
            </w:r>
            <w:r w:rsidR="009F0215">
              <w:rPr>
                <w:noProof/>
                <w:webHidden/>
              </w:rPr>
              <w:instrText xml:space="preserve"> PAGEREF _Toc212056509 \h </w:instrText>
            </w:r>
            <w:r w:rsidR="009F0215">
              <w:rPr>
                <w:noProof/>
                <w:webHidden/>
              </w:rPr>
            </w:r>
            <w:r w:rsidR="009F0215">
              <w:rPr>
                <w:noProof/>
                <w:webHidden/>
              </w:rPr>
              <w:fldChar w:fldCharType="separate"/>
            </w:r>
            <w:r w:rsidR="009F0215">
              <w:rPr>
                <w:noProof/>
                <w:webHidden/>
              </w:rPr>
              <w:t>15</w:t>
            </w:r>
            <w:r w:rsidR="009F0215">
              <w:rPr>
                <w:noProof/>
                <w:webHidden/>
              </w:rPr>
              <w:fldChar w:fldCharType="end"/>
            </w:r>
          </w:hyperlink>
        </w:p>
        <w:p w14:paraId="190951DC" w14:textId="4EC18349" w:rsidR="008F4F6D" w:rsidRDefault="008F4F6D" w:rsidP="008F4F6D">
          <w:r w:rsidRPr="008F4F6D">
            <w:rPr>
              <w:rFonts w:cs="Arial"/>
              <w:b/>
              <w:bCs/>
              <w:noProof/>
            </w:rPr>
            <w:fldChar w:fldCharType="end"/>
          </w:r>
        </w:p>
      </w:sdtContent>
    </w:sdt>
    <w:p w14:paraId="30871F52" w14:textId="77777777" w:rsidR="008F4F6D" w:rsidRDefault="008F4F6D">
      <w:pPr>
        <w:rPr>
          <w:rFonts w:cs="Arial"/>
          <w:b/>
          <w:sz w:val="28"/>
          <w:szCs w:val="28"/>
        </w:rPr>
      </w:pPr>
      <w:r>
        <w:rPr>
          <w:rFonts w:cs="Arial"/>
        </w:rPr>
        <w:br w:type="page"/>
      </w:r>
    </w:p>
    <w:p w14:paraId="660C8054" w14:textId="661919D5" w:rsidR="00F13910" w:rsidRPr="00D1368D" w:rsidRDefault="00F13910" w:rsidP="00D1368D">
      <w:pPr>
        <w:jc w:val="center"/>
        <w:rPr>
          <w:b/>
          <w:sz w:val="28"/>
        </w:rPr>
      </w:pPr>
      <w:r w:rsidRPr="00D1368D">
        <w:rPr>
          <w:b/>
          <w:sz w:val="28"/>
        </w:rPr>
        <w:lastRenderedPageBreak/>
        <w:t>List of Figures</w:t>
      </w:r>
    </w:p>
    <w:p w14:paraId="085A24D8" w14:textId="6FC0A820" w:rsidR="00F13910" w:rsidRPr="00F13910" w:rsidRDefault="00F13910" w:rsidP="00F13910">
      <w:pPr>
        <w:pStyle w:val="TableofFigures"/>
        <w:tabs>
          <w:tab w:val="right" w:leader="dot" w:pos="9016"/>
        </w:tabs>
        <w:rPr>
          <w:rFonts w:cs="Arial"/>
          <w:noProof/>
        </w:rPr>
      </w:pPr>
      <w:r w:rsidRPr="00F13910">
        <w:rPr>
          <w:rFonts w:cs="Arial"/>
        </w:rPr>
        <w:fldChar w:fldCharType="begin"/>
      </w:r>
      <w:r w:rsidRPr="00F13910">
        <w:rPr>
          <w:rFonts w:cs="Arial"/>
        </w:rPr>
        <w:instrText xml:space="preserve"> TOC \h \z \c "Figure" </w:instrText>
      </w:r>
      <w:r w:rsidRPr="00F13910">
        <w:rPr>
          <w:rFonts w:cs="Arial"/>
        </w:rPr>
        <w:fldChar w:fldCharType="separate"/>
      </w:r>
      <w:hyperlink w:anchor="_Toc212048574" w:history="1">
        <w:r w:rsidRPr="00F13910">
          <w:rPr>
            <w:rStyle w:val="Hyperlink"/>
            <w:rFonts w:cs="Arial"/>
            <w:noProof/>
          </w:rPr>
          <w:t>Figure 1: Electric Vehicle Market forecast</w:t>
        </w:r>
        <w:r w:rsidRPr="00F13910">
          <w:rPr>
            <w:rFonts w:cs="Arial"/>
            <w:noProof/>
            <w:webHidden/>
          </w:rPr>
          <w:tab/>
        </w:r>
        <w:r w:rsidRPr="00F13910">
          <w:rPr>
            <w:rFonts w:cs="Arial"/>
            <w:noProof/>
            <w:webHidden/>
          </w:rPr>
          <w:fldChar w:fldCharType="begin"/>
        </w:r>
        <w:r w:rsidRPr="00F13910">
          <w:rPr>
            <w:rFonts w:cs="Arial"/>
            <w:noProof/>
            <w:webHidden/>
          </w:rPr>
          <w:instrText xml:space="preserve"> PAGEREF _Toc212048574 \h </w:instrText>
        </w:r>
        <w:r w:rsidRPr="00F13910">
          <w:rPr>
            <w:rFonts w:cs="Arial"/>
            <w:noProof/>
            <w:webHidden/>
          </w:rPr>
        </w:r>
        <w:r w:rsidRPr="00F13910">
          <w:rPr>
            <w:rFonts w:cs="Arial"/>
            <w:noProof/>
            <w:webHidden/>
          </w:rPr>
          <w:fldChar w:fldCharType="separate"/>
        </w:r>
        <w:r w:rsidR="009F0215">
          <w:rPr>
            <w:rFonts w:cs="Arial"/>
            <w:noProof/>
            <w:webHidden/>
          </w:rPr>
          <w:t>5</w:t>
        </w:r>
        <w:r w:rsidRPr="00F13910">
          <w:rPr>
            <w:rFonts w:cs="Arial"/>
            <w:noProof/>
            <w:webHidden/>
          </w:rPr>
          <w:fldChar w:fldCharType="end"/>
        </w:r>
      </w:hyperlink>
    </w:p>
    <w:p w14:paraId="054434DC" w14:textId="662B481B" w:rsidR="00F13910" w:rsidRPr="00F13910" w:rsidRDefault="00BF11B8" w:rsidP="00F13910">
      <w:pPr>
        <w:pStyle w:val="TableofFigures"/>
        <w:tabs>
          <w:tab w:val="right" w:leader="dot" w:pos="9016"/>
        </w:tabs>
        <w:rPr>
          <w:rFonts w:cs="Arial"/>
          <w:noProof/>
        </w:rPr>
      </w:pPr>
      <w:hyperlink w:anchor="_Toc212048575" w:history="1">
        <w:r w:rsidR="00F13910" w:rsidRPr="00F13910">
          <w:rPr>
            <w:rStyle w:val="Hyperlink"/>
            <w:rFonts w:cs="Arial"/>
            <w:noProof/>
          </w:rPr>
          <w:t>Figure 2: UK Electric vehicle charging infrastructure</w:t>
        </w:r>
        <w:r w:rsidR="00F13910" w:rsidRPr="00F13910">
          <w:rPr>
            <w:rFonts w:cs="Arial"/>
            <w:noProof/>
            <w:webHidden/>
          </w:rPr>
          <w:tab/>
        </w:r>
        <w:r w:rsidR="00F13910" w:rsidRPr="00F13910">
          <w:rPr>
            <w:rFonts w:cs="Arial"/>
            <w:noProof/>
            <w:webHidden/>
          </w:rPr>
          <w:fldChar w:fldCharType="begin"/>
        </w:r>
        <w:r w:rsidR="00F13910" w:rsidRPr="00F13910">
          <w:rPr>
            <w:rFonts w:cs="Arial"/>
            <w:noProof/>
            <w:webHidden/>
          </w:rPr>
          <w:instrText xml:space="preserve"> PAGEREF _Toc212048575 \h </w:instrText>
        </w:r>
        <w:r w:rsidR="00F13910" w:rsidRPr="00F13910">
          <w:rPr>
            <w:rFonts w:cs="Arial"/>
            <w:noProof/>
            <w:webHidden/>
          </w:rPr>
        </w:r>
        <w:r w:rsidR="00F13910" w:rsidRPr="00F13910">
          <w:rPr>
            <w:rFonts w:cs="Arial"/>
            <w:noProof/>
            <w:webHidden/>
          </w:rPr>
          <w:fldChar w:fldCharType="separate"/>
        </w:r>
        <w:r w:rsidR="009F0215">
          <w:rPr>
            <w:rFonts w:cs="Arial"/>
            <w:noProof/>
            <w:webHidden/>
          </w:rPr>
          <w:t>6</w:t>
        </w:r>
        <w:r w:rsidR="00F13910" w:rsidRPr="00F13910">
          <w:rPr>
            <w:rFonts w:cs="Arial"/>
            <w:noProof/>
            <w:webHidden/>
          </w:rPr>
          <w:fldChar w:fldCharType="end"/>
        </w:r>
      </w:hyperlink>
    </w:p>
    <w:p w14:paraId="24AC8CDA" w14:textId="5ACE5869" w:rsidR="00F13910" w:rsidRPr="00F13910" w:rsidRDefault="00BF11B8" w:rsidP="00F13910">
      <w:pPr>
        <w:pStyle w:val="TableofFigures"/>
        <w:tabs>
          <w:tab w:val="right" w:leader="dot" w:pos="9016"/>
        </w:tabs>
        <w:rPr>
          <w:rFonts w:cs="Arial"/>
          <w:noProof/>
        </w:rPr>
      </w:pPr>
      <w:hyperlink w:anchor="_Toc212048576" w:history="1">
        <w:r w:rsidR="00F13910" w:rsidRPr="00F13910">
          <w:rPr>
            <w:rStyle w:val="Hyperlink"/>
            <w:rFonts w:cs="Arial"/>
            <w:noProof/>
          </w:rPr>
          <w:t>Figure 3: Robotaxi by Tesla</w:t>
        </w:r>
        <w:r w:rsidR="00F13910" w:rsidRPr="00F13910">
          <w:rPr>
            <w:rFonts w:cs="Arial"/>
            <w:noProof/>
            <w:webHidden/>
          </w:rPr>
          <w:tab/>
        </w:r>
        <w:r w:rsidR="00F13910" w:rsidRPr="00F13910">
          <w:rPr>
            <w:rFonts w:cs="Arial"/>
            <w:noProof/>
            <w:webHidden/>
          </w:rPr>
          <w:fldChar w:fldCharType="begin"/>
        </w:r>
        <w:r w:rsidR="00F13910" w:rsidRPr="00F13910">
          <w:rPr>
            <w:rFonts w:cs="Arial"/>
            <w:noProof/>
            <w:webHidden/>
          </w:rPr>
          <w:instrText xml:space="preserve"> PAGEREF _Toc212048576 \h </w:instrText>
        </w:r>
        <w:r w:rsidR="00F13910" w:rsidRPr="00F13910">
          <w:rPr>
            <w:rFonts w:cs="Arial"/>
            <w:noProof/>
            <w:webHidden/>
          </w:rPr>
        </w:r>
        <w:r w:rsidR="00F13910" w:rsidRPr="00F13910">
          <w:rPr>
            <w:rFonts w:cs="Arial"/>
            <w:noProof/>
            <w:webHidden/>
          </w:rPr>
          <w:fldChar w:fldCharType="separate"/>
        </w:r>
        <w:r w:rsidR="009F0215">
          <w:rPr>
            <w:rFonts w:cs="Arial"/>
            <w:noProof/>
            <w:webHidden/>
          </w:rPr>
          <w:t>7</w:t>
        </w:r>
        <w:r w:rsidR="00F13910" w:rsidRPr="00F13910">
          <w:rPr>
            <w:rFonts w:cs="Arial"/>
            <w:noProof/>
            <w:webHidden/>
          </w:rPr>
          <w:fldChar w:fldCharType="end"/>
        </w:r>
      </w:hyperlink>
    </w:p>
    <w:p w14:paraId="0AA45221" w14:textId="7D99AF1F" w:rsidR="00F13910" w:rsidRPr="00F13910" w:rsidRDefault="00BF11B8" w:rsidP="00F13910">
      <w:pPr>
        <w:pStyle w:val="TableofFigures"/>
        <w:tabs>
          <w:tab w:val="right" w:leader="dot" w:pos="9016"/>
        </w:tabs>
        <w:rPr>
          <w:rFonts w:cs="Arial"/>
          <w:noProof/>
        </w:rPr>
      </w:pPr>
      <w:hyperlink w:anchor="_Toc212048577" w:history="1">
        <w:r w:rsidR="00F13910" w:rsidRPr="00F13910">
          <w:rPr>
            <w:rStyle w:val="Hyperlink"/>
            <w:rFonts w:cs="Arial"/>
            <w:noProof/>
          </w:rPr>
          <w:t>Figure 4: Tesla sales decline in the European EV market</w:t>
        </w:r>
        <w:r w:rsidR="00F13910" w:rsidRPr="00F13910">
          <w:rPr>
            <w:rFonts w:cs="Arial"/>
            <w:noProof/>
            <w:webHidden/>
          </w:rPr>
          <w:tab/>
        </w:r>
        <w:r w:rsidR="00F13910" w:rsidRPr="00F13910">
          <w:rPr>
            <w:rFonts w:cs="Arial"/>
            <w:noProof/>
            <w:webHidden/>
          </w:rPr>
          <w:fldChar w:fldCharType="begin"/>
        </w:r>
        <w:r w:rsidR="00F13910" w:rsidRPr="00F13910">
          <w:rPr>
            <w:rFonts w:cs="Arial"/>
            <w:noProof/>
            <w:webHidden/>
          </w:rPr>
          <w:instrText xml:space="preserve"> PAGEREF _Toc212048577 \h </w:instrText>
        </w:r>
        <w:r w:rsidR="00F13910" w:rsidRPr="00F13910">
          <w:rPr>
            <w:rFonts w:cs="Arial"/>
            <w:noProof/>
            <w:webHidden/>
          </w:rPr>
        </w:r>
        <w:r w:rsidR="00F13910" w:rsidRPr="00F13910">
          <w:rPr>
            <w:rFonts w:cs="Arial"/>
            <w:noProof/>
            <w:webHidden/>
          </w:rPr>
          <w:fldChar w:fldCharType="separate"/>
        </w:r>
        <w:r w:rsidR="009F0215">
          <w:rPr>
            <w:rFonts w:cs="Arial"/>
            <w:noProof/>
            <w:webHidden/>
          </w:rPr>
          <w:t>8</w:t>
        </w:r>
        <w:r w:rsidR="00F13910" w:rsidRPr="00F13910">
          <w:rPr>
            <w:rFonts w:cs="Arial"/>
            <w:noProof/>
            <w:webHidden/>
          </w:rPr>
          <w:fldChar w:fldCharType="end"/>
        </w:r>
      </w:hyperlink>
    </w:p>
    <w:p w14:paraId="5CEF61AD" w14:textId="3264B041" w:rsidR="00F13910" w:rsidRPr="00F13910" w:rsidRDefault="00BF11B8" w:rsidP="00F13910">
      <w:pPr>
        <w:pStyle w:val="TableofFigures"/>
        <w:tabs>
          <w:tab w:val="right" w:leader="dot" w:pos="9016"/>
        </w:tabs>
        <w:rPr>
          <w:rFonts w:cs="Arial"/>
          <w:noProof/>
        </w:rPr>
      </w:pPr>
      <w:hyperlink w:anchor="_Toc212048578" w:history="1">
        <w:r w:rsidR="00F13910" w:rsidRPr="00F13910">
          <w:rPr>
            <w:rStyle w:val="Hyperlink"/>
            <w:rFonts w:cs="Arial"/>
            <w:noProof/>
          </w:rPr>
          <w:t>Figure 5: Enactment of the ZEV mandate</w:t>
        </w:r>
        <w:r w:rsidR="00F13910" w:rsidRPr="00F13910">
          <w:rPr>
            <w:rFonts w:cs="Arial"/>
            <w:noProof/>
            <w:webHidden/>
          </w:rPr>
          <w:tab/>
        </w:r>
        <w:r w:rsidR="00F13910" w:rsidRPr="00F13910">
          <w:rPr>
            <w:rFonts w:cs="Arial"/>
            <w:noProof/>
            <w:webHidden/>
          </w:rPr>
          <w:fldChar w:fldCharType="begin"/>
        </w:r>
        <w:r w:rsidR="00F13910" w:rsidRPr="00F13910">
          <w:rPr>
            <w:rFonts w:cs="Arial"/>
            <w:noProof/>
            <w:webHidden/>
          </w:rPr>
          <w:instrText xml:space="preserve"> PAGEREF _Toc212048578 \h </w:instrText>
        </w:r>
        <w:r w:rsidR="00F13910" w:rsidRPr="00F13910">
          <w:rPr>
            <w:rFonts w:cs="Arial"/>
            <w:noProof/>
            <w:webHidden/>
          </w:rPr>
        </w:r>
        <w:r w:rsidR="00F13910" w:rsidRPr="00F13910">
          <w:rPr>
            <w:rFonts w:cs="Arial"/>
            <w:noProof/>
            <w:webHidden/>
          </w:rPr>
          <w:fldChar w:fldCharType="separate"/>
        </w:r>
        <w:r w:rsidR="009F0215">
          <w:rPr>
            <w:rFonts w:cs="Arial"/>
            <w:noProof/>
            <w:webHidden/>
          </w:rPr>
          <w:t>9</w:t>
        </w:r>
        <w:r w:rsidR="00F13910" w:rsidRPr="00F13910">
          <w:rPr>
            <w:rFonts w:cs="Arial"/>
            <w:noProof/>
            <w:webHidden/>
          </w:rPr>
          <w:fldChar w:fldCharType="end"/>
        </w:r>
      </w:hyperlink>
    </w:p>
    <w:p w14:paraId="668311B2" w14:textId="01A776BE" w:rsidR="00F13910" w:rsidRPr="00F13910" w:rsidRDefault="00BF11B8" w:rsidP="00F13910">
      <w:pPr>
        <w:pStyle w:val="TableofFigures"/>
        <w:tabs>
          <w:tab w:val="right" w:leader="dot" w:pos="9016"/>
        </w:tabs>
        <w:rPr>
          <w:rFonts w:cs="Arial"/>
          <w:noProof/>
        </w:rPr>
      </w:pPr>
      <w:hyperlink w:anchor="_Toc212048579" w:history="1">
        <w:r w:rsidR="00F13910" w:rsidRPr="00F13910">
          <w:rPr>
            <w:rStyle w:val="Hyperlink"/>
            <w:rFonts w:cs="Arial"/>
            <w:noProof/>
          </w:rPr>
          <w:t>Figure 6: Threats faced by General Motors</w:t>
        </w:r>
        <w:r w:rsidR="00F13910" w:rsidRPr="00F13910">
          <w:rPr>
            <w:rFonts w:cs="Arial"/>
            <w:noProof/>
            <w:webHidden/>
          </w:rPr>
          <w:tab/>
        </w:r>
        <w:r w:rsidR="00F13910" w:rsidRPr="00F13910">
          <w:rPr>
            <w:rFonts w:cs="Arial"/>
            <w:noProof/>
            <w:webHidden/>
          </w:rPr>
          <w:fldChar w:fldCharType="begin"/>
        </w:r>
        <w:r w:rsidR="00F13910" w:rsidRPr="00F13910">
          <w:rPr>
            <w:rFonts w:cs="Arial"/>
            <w:noProof/>
            <w:webHidden/>
          </w:rPr>
          <w:instrText xml:space="preserve"> PAGEREF _Toc212048579 \h </w:instrText>
        </w:r>
        <w:r w:rsidR="00F13910" w:rsidRPr="00F13910">
          <w:rPr>
            <w:rFonts w:cs="Arial"/>
            <w:noProof/>
            <w:webHidden/>
          </w:rPr>
        </w:r>
        <w:r w:rsidR="00F13910" w:rsidRPr="00F13910">
          <w:rPr>
            <w:rFonts w:cs="Arial"/>
            <w:noProof/>
            <w:webHidden/>
          </w:rPr>
          <w:fldChar w:fldCharType="separate"/>
        </w:r>
        <w:r w:rsidR="009F0215">
          <w:rPr>
            <w:rFonts w:cs="Arial"/>
            <w:noProof/>
            <w:webHidden/>
          </w:rPr>
          <w:t>10</w:t>
        </w:r>
        <w:r w:rsidR="00F13910" w:rsidRPr="00F13910">
          <w:rPr>
            <w:rFonts w:cs="Arial"/>
            <w:noProof/>
            <w:webHidden/>
          </w:rPr>
          <w:fldChar w:fldCharType="end"/>
        </w:r>
      </w:hyperlink>
    </w:p>
    <w:p w14:paraId="4D4AD06D" w14:textId="0D6A8B5C" w:rsidR="00F13910" w:rsidRPr="00F13910" w:rsidRDefault="00BF11B8" w:rsidP="00F13910">
      <w:pPr>
        <w:pStyle w:val="TableofFigures"/>
        <w:tabs>
          <w:tab w:val="right" w:leader="dot" w:pos="9016"/>
        </w:tabs>
        <w:rPr>
          <w:rFonts w:cs="Arial"/>
          <w:noProof/>
        </w:rPr>
      </w:pPr>
      <w:hyperlink w:anchor="_Toc212048580" w:history="1">
        <w:r w:rsidR="00F13910" w:rsidRPr="00F13910">
          <w:rPr>
            <w:rStyle w:val="Hyperlink"/>
            <w:rFonts w:cs="Arial"/>
            <w:noProof/>
          </w:rPr>
          <w:t>Figure 7: Vehicle-to-Grid technology of Nissan</w:t>
        </w:r>
        <w:r w:rsidR="00F13910" w:rsidRPr="00F13910">
          <w:rPr>
            <w:rFonts w:cs="Arial"/>
            <w:noProof/>
            <w:webHidden/>
          </w:rPr>
          <w:tab/>
        </w:r>
        <w:r w:rsidR="00F13910" w:rsidRPr="00F13910">
          <w:rPr>
            <w:rFonts w:cs="Arial"/>
            <w:noProof/>
            <w:webHidden/>
          </w:rPr>
          <w:fldChar w:fldCharType="begin"/>
        </w:r>
        <w:r w:rsidR="00F13910" w:rsidRPr="00F13910">
          <w:rPr>
            <w:rFonts w:cs="Arial"/>
            <w:noProof/>
            <w:webHidden/>
          </w:rPr>
          <w:instrText xml:space="preserve"> PAGEREF _Toc212048580 \h </w:instrText>
        </w:r>
        <w:r w:rsidR="00F13910" w:rsidRPr="00F13910">
          <w:rPr>
            <w:rFonts w:cs="Arial"/>
            <w:noProof/>
            <w:webHidden/>
          </w:rPr>
        </w:r>
        <w:r w:rsidR="00F13910" w:rsidRPr="00F13910">
          <w:rPr>
            <w:rFonts w:cs="Arial"/>
            <w:noProof/>
            <w:webHidden/>
          </w:rPr>
          <w:fldChar w:fldCharType="separate"/>
        </w:r>
        <w:r w:rsidR="009F0215">
          <w:rPr>
            <w:rFonts w:cs="Arial"/>
            <w:noProof/>
            <w:webHidden/>
          </w:rPr>
          <w:t>12</w:t>
        </w:r>
        <w:r w:rsidR="00F13910" w:rsidRPr="00F13910">
          <w:rPr>
            <w:rFonts w:cs="Arial"/>
            <w:noProof/>
            <w:webHidden/>
          </w:rPr>
          <w:fldChar w:fldCharType="end"/>
        </w:r>
      </w:hyperlink>
    </w:p>
    <w:p w14:paraId="3452FD18" w14:textId="4A2ABB9D" w:rsidR="00F13910" w:rsidRDefault="00F13910" w:rsidP="00F13910">
      <w:pPr>
        <w:rPr>
          <w:rFonts w:cs="Arial"/>
          <w:b/>
          <w:sz w:val="28"/>
          <w:szCs w:val="28"/>
        </w:rPr>
      </w:pPr>
      <w:r w:rsidRPr="00F13910">
        <w:rPr>
          <w:rFonts w:cs="Arial"/>
        </w:rPr>
        <w:fldChar w:fldCharType="end"/>
      </w:r>
      <w:r>
        <w:rPr>
          <w:rFonts w:cs="Arial"/>
        </w:rPr>
        <w:br w:type="page"/>
      </w:r>
    </w:p>
    <w:p w14:paraId="69CEBE9D" w14:textId="6AB17143" w:rsidR="00132579" w:rsidRPr="008F4F6D" w:rsidRDefault="00EA6A99">
      <w:pPr>
        <w:pStyle w:val="Heading1"/>
        <w:rPr>
          <w:rFonts w:cs="Arial"/>
        </w:rPr>
      </w:pPr>
      <w:bookmarkStart w:id="1" w:name="_Toc212056491"/>
      <w:r w:rsidRPr="008F4F6D">
        <w:rPr>
          <w:rFonts w:cs="Arial"/>
        </w:rPr>
        <w:lastRenderedPageBreak/>
        <w:t>1.0 Introduction</w:t>
      </w:r>
      <w:bookmarkEnd w:id="1"/>
    </w:p>
    <w:p w14:paraId="3B736C92" w14:textId="77777777" w:rsidR="00132579" w:rsidRPr="008F4F6D" w:rsidRDefault="00EA6A99">
      <w:pPr>
        <w:rPr>
          <w:rFonts w:cs="Arial"/>
        </w:rPr>
      </w:pPr>
      <w:r w:rsidRPr="008F4F6D">
        <w:rPr>
          <w:rFonts w:cs="Arial"/>
        </w:rPr>
        <w:t xml:space="preserve">The macro-marketing environment can be defined as the external parameters that govern the marketing decisions of an organisation. Concerning strategic marketing management, critical evaluation of the macro-environment facilitates an organisation to forecast challenges, recognise opportunities, and eradicate threats (Priporas </w:t>
      </w:r>
      <w:r w:rsidRPr="008F4F6D">
        <w:rPr>
          <w:rFonts w:cs="Arial"/>
          <w:i/>
        </w:rPr>
        <w:t>et al.,</w:t>
      </w:r>
      <w:r w:rsidRPr="008F4F6D">
        <w:rPr>
          <w:rFonts w:cs="Arial"/>
        </w:rPr>
        <w:t xml:space="preserve"> 2020). The core aspects encompassed within the macro marketing are </w:t>
      </w:r>
      <w:r w:rsidRPr="008F4F6D">
        <w:rPr>
          <w:rFonts w:cs="Arial"/>
          <w:b/>
          <w:i/>
        </w:rPr>
        <w:t>“Economic”, “Demographic”, “Technological”, “Natural”, Political”</w:t>
      </w:r>
      <w:r w:rsidRPr="008F4F6D">
        <w:rPr>
          <w:rFonts w:cs="Arial"/>
        </w:rPr>
        <w:t xml:space="preserve">, and </w:t>
      </w:r>
      <w:r w:rsidRPr="008F4F6D">
        <w:rPr>
          <w:rFonts w:cs="Arial"/>
          <w:b/>
          <w:i/>
        </w:rPr>
        <w:t>“Cultural”</w:t>
      </w:r>
      <w:r w:rsidRPr="008F4F6D">
        <w:rPr>
          <w:rFonts w:cs="Arial"/>
        </w:rPr>
        <w:t>. Assessment of these parameters authorises the marketers to correspond their tactics to the environmental forces, which validates the accomplishment of a competitive edge in the long term.</w:t>
      </w:r>
    </w:p>
    <w:p w14:paraId="5618E738" w14:textId="77777777" w:rsidR="00132579" w:rsidRPr="008F4F6D" w:rsidRDefault="00EA6A99">
      <w:pPr>
        <w:rPr>
          <w:rFonts w:cs="Arial"/>
        </w:rPr>
      </w:pPr>
      <w:r w:rsidRPr="008F4F6D">
        <w:rPr>
          <w:rFonts w:cs="Arial"/>
        </w:rPr>
        <w:t xml:space="preserve">The marketing actors are perceived in a different manner by the pioneers and the follower companies in the market. As per Giachetti and Pira (2022), </w:t>
      </w:r>
      <w:r w:rsidRPr="008F4F6D">
        <w:rPr>
          <w:rFonts w:cs="Arial"/>
          <w:b/>
          <w:i/>
        </w:rPr>
        <w:t>pioneers</w:t>
      </w:r>
      <w:r w:rsidRPr="008F4F6D">
        <w:rPr>
          <w:rFonts w:cs="Arial"/>
        </w:rPr>
        <w:t xml:space="preserve"> refer to the organisations that instigate an innovation, service, or product into the market, and therefore accomplish a competitive edge by means of customer loyalty and brand recognition. Consequently, </w:t>
      </w:r>
      <w:r w:rsidRPr="008F4F6D">
        <w:rPr>
          <w:rFonts w:cs="Arial"/>
          <w:b/>
          <w:i/>
        </w:rPr>
        <w:t xml:space="preserve">followers </w:t>
      </w:r>
      <w:r w:rsidRPr="008F4F6D">
        <w:rPr>
          <w:rFonts w:cs="Arial"/>
        </w:rPr>
        <w:t>enter the market in the later phase by acquiring experiences from the pioneers. Although they acquire benefits like reduced cost and risk, product differentiation remains a major obstacle, which hampers the competitive advantage in the long term.</w:t>
      </w:r>
    </w:p>
    <w:p w14:paraId="146B2271" w14:textId="77777777" w:rsidR="00132579" w:rsidRPr="008F4F6D" w:rsidRDefault="00EA6A99">
      <w:pPr>
        <w:rPr>
          <w:rFonts w:cs="Arial"/>
        </w:rPr>
      </w:pPr>
      <w:r w:rsidRPr="008F4F6D">
        <w:rPr>
          <w:rFonts w:cs="Arial"/>
        </w:rPr>
        <w:t xml:space="preserve">The main aim of the report will be to assess the threats and opportunities generated by the actors on the pioneer and follower companies within the Electric Vehicle industry. The two actors that are selected for assessment are </w:t>
      </w:r>
      <w:r w:rsidRPr="008F4F6D">
        <w:rPr>
          <w:rFonts w:cs="Arial"/>
          <w:b/>
          <w:i/>
        </w:rPr>
        <w:t>“Technological factor”</w:t>
      </w:r>
      <w:r w:rsidRPr="008F4F6D">
        <w:rPr>
          <w:rFonts w:cs="Arial"/>
        </w:rPr>
        <w:t xml:space="preserve"> and </w:t>
      </w:r>
      <w:r w:rsidRPr="008F4F6D">
        <w:rPr>
          <w:rFonts w:cs="Arial"/>
          <w:b/>
          <w:i/>
        </w:rPr>
        <w:t>“Political factor”</w:t>
      </w:r>
      <w:r w:rsidRPr="008F4F6D">
        <w:rPr>
          <w:rFonts w:cs="Arial"/>
        </w:rPr>
        <w:t xml:space="preserve">. The latter part of the report will emphasise the response of the companies operating within the Electric Vehicle industry to the macro-marketing actors, and it governs their competitive advantage. </w:t>
      </w:r>
    </w:p>
    <w:p w14:paraId="6D150D62" w14:textId="77777777" w:rsidR="00132579" w:rsidRPr="008F4F6D" w:rsidRDefault="00EA6A99">
      <w:pPr>
        <w:pStyle w:val="Heading1"/>
        <w:rPr>
          <w:rFonts w:cs="Arial"/>
        </w:rPr>
      </w:pPr>
      <w:bookmarkStart w:id="2" w:name="_6ihvutdqodz6" w:colFirst="0" w:colLast="0"/>
      <w:bookmarkStart w:id="3" w:name="_Toc212056492"/>
      <w:bookmarkEnd w:id="2"/>
      <w:r w:rsidRPr="008F4F6D">
        <w:rPr>
          <w:rFonts w:cs="Arial"/>
        </w:rPr>
        <w:t>2.0 Overview of the Electric Vehicles Industry</w:t>
      </w:r>
      <w:bookmarkEnd w:id="3"/>
    </w:p>
    <w:p w14:paraId="7C9B5C82" w14:textId="77777777" w:rsidR="00062E37" w:rsidRDefault="00EA6A99">
      <w:pPr>
        <w:rPr>
          <w:rFonts w:cs="Arial"/>
        </w:rPr>
      </w:pPr>
      <w:r w:rsidRPr="008F4F6D">
        <w:rPr>
          <w:rFonts w:cs="Arial"/>
        </w:rPr>
        <w:t xml:space="preserve">​The Electric Vehicles industry confines electric cars, buses, trucks, and two-wheelers with electric power instead of fossil fuels, which is a promising sustainable technology in the transport industry (Sanguesa </w:t>
      </w:r>
      <w:r w:rsidRPr="008F4F6D">
        <w:rPr>
          <w:rFonts w:cs="Arial"/>
          <w:i/>
        </w:rPr>
        <w:t>et al.,</w:t>
      </w:r>
      <w:r w:rsidRPr="008F4F6D">
        <w:rPr>
          <w:rFonts w:cs="Arial"/>
        </w:rPr>
        <w:t xml:space="preserve"> 2021). ​​This industry is incredibly adaptable to the macro-environmental analysis, as the growth of this industry is very high, and the factors discussed, including political, economic, social, technological, environmental, and legal factors, have a major impact on this industry. ​To illustrate, the total EV sales in the world will reach up to </w:t>
      </w:r>
      <w:r w:rsidRPr="008F4F6D">
        <w:rPr>
          <w:rFonts w:cs="Arial"/>
          <w:b/>
          <w:i/>
        </w:rPr>
        <w:t>“21.3 million”</w:t>
      </w:r>
      <w:r w:rsidRPr="008F4F6D">
        <w:rPr>
          <w:rFonts w:cs="Arial"/>
        </w:rPr>
        <w:t xml:space="preserve"> units by the end of 2025, </w:t>
      </w:r>
      <w:r w:rsidRPr="008F4F6D">
        <w:rPr>
          <w:rFonts w:cs="Arial"/>
        </w:rPr>
        <w:lastRenderedPageBreak/>
        <w:t xml:space="preserve">which will be equivalent to </w:t>
      </w:r>
      <w:r w:rsidRPr="008F4F6D">
        <w:rPr>
          <w:rFonts w:cs="Arial"/>
          <w:b/>
          <w:i/>
        </w:rPr>
        <w:t>24%</w:t>
      </w:r>
      <w:r w:rsidRPr="008F4F6D">
        <w:rPr>
          <w:rFonts w:cs="Arial"/>
        </w:rPr>
        <w:t xml:space="preserve"> market share, as compared to the scheduled 2024 sales at </w:t>
      </w:r>
      <w:r w:rsidRPr="008F4F6D">
        <w:rPr>
          <w:rFonts w:cs="Arial"/>
          <w:b/>
          <w:i/>
        </w:rPr>
        <w:t xml:space="preserve">“17.8 million units” </w:t>
      </w:r>
      <w:r w:rsidRPr="008F4F6D">
        <w:rPr>
          <w:rFonts w:cs="Arial"/>
        </w:rPr>
        <w:t>(EV Volumes, 2025).</w:t>
      </w:r>
    </w:p>
    <w:p w14:paraId="5BAF5B9D" w14:textId="4BA1DD5A" w:rsidR="00132579" w:rsidRPr="008F4F6D" w:rsidRDefault="00EA6A99">
      <w:pPr>
        <w:rPr>
          <w:rFonts w:cs="Arial"/>
        </w:rPr>
      </w:pPr>
      <w:r w:rsidRPr="008F4F6D">
        <w:rPr>
          <w:rFonts w:cs="Arial"/>
        </w:rPr>
        <w:t xml:space="preserve">In the year 2024, the size of the market of EVs was estimated to at </w:t>
      </w:r>
      <w:r w:rsidRPr="008F4F6D">
        <w:rPr>
          <w:rFonts w:cs="Arial"/>
          <w:b/>
          <w:i/>
        </w:rPr>
        <w:t>USD 1,328.08 billion,</w:t>
      </w:r>
      <w:r w:rsidRPr="008F4F6D">
        <w:rPr>
          <w:rFonts w:cs="Arial"/>
        </w:rPr>
        <w:t xml:space="preserve"> and it is estimated that by the year 2025, the market size of EVs will hit </w:t>
      </w:r>
      <w:r w:rsidRPr="008F4F6D">
        <w:rPr>
          <w:rFonts w:cs="Arial"/>
          <w:b/>
          <w:i/>
        </w:rPr>
        <w:t xml:space="preserve">USD 993.0 billion </w:t>
      </w:r>
      <w:r w:rsidRPr="008F4F6D">
        <w:rPr>
          <w:rFonts w:cs="Arial"/>
        </w:rPr>
        <w:t>(Grand View Research, 2025).</w:t>
      </w:r>
      <w:r w:rsidR="006973BC">
        <w:rPr>
          <w:rFonts w:cs="Arial"/>
        </w:rPr>
        <w:t xml:space="preserve"> </w:t>
      </w:r>
      <w:r w:rsidRPr="008F4F6D">
        <w:rPr>
          <w:rFonts w:cs="Arial"/>
        </w:rPr>
        <w:t xml:space="preserve">​This is due to the rising levels of environmental concerns, government stimulus, and battery technology (Sanguesa </w:t>
      </w:r>
      <w:r w:rsidRPr="008F4F6D">
        <w:rPr>
          <w:rFonts w:cs="Arial"/>
          <w:i/>
        </w:rPr>
        <w:t>et al.,</w:t>
      </w:r>
      <w:r w:rsidRPr="008F4F6D">
        <w:rPr>
          <w:rFonts w:cs="Arial"/>
        </w:rPr>
        <w:t xml:space="preserve"> 2021). Hence, different actors encapsulated within the aspect of macro-marketing govern the growth of this industry, and thus it will be beneficial to assess the threats and opportunities generated by the actors in the industry, along with their strategic reactions.</w:t>
      </w:r>
    </w:p>
    <w:p w14:paraId="6092C006" w14:textId="77777777" w:rsidR="00715E30" w:rsidRDefault="00EA6A99" w:rsidP="00A71EC5">
      <w:pPr>
        <w:jc w:val="center"/>
      </w:pPr>
      <w:r w:rsidRPr="008F4F6D">
        <w:rPr>
          <w:noProof/>
          <w:lang w:val="en-US"/>
        </w:rPr>
        <w:drawing>
          <wp:inline distT="114300" distB="114300" distL="114300" distR="114300" wp14:anchorId="582870CA" wp14:editId="6581AC9E">
            <wp:extent cx="5299516" cy="2880360"/>
            <wp:effectExtent l="19050" t="19050" r="15875" b="1524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324280" cy="2893820"/>
                    </a:xfrm>
                    <a:prstGeom prst="rect">
                      <a:avLst/>
                    </a:prstGeom>
                    <a:ln w="25400">
                      <a:solidFill>
                        <a:srgbClr val="000000"/>
                      </a:solidFill>
                      <a:prstDash val="solid"/>
                    </a:ln>
                  </pic:spPr>
                </pic:pic>
              </a:graphicData>
            </a:graphic>
          </wp:inline>
        </w:drawing>
      </w:r>
    </w:p>
    <w:p w14:paraId="715A8F57" w14:textId="7C4A02E3" w:rsidR="00132579" w:rsidRPr="00715E30" w:rsidRDefault="00715E30" w:rsidP="00A71EC5">
      <w:pPr>
        <w:jc w:val="center"/>
        <w:rPr>
          <w:b/>
          <w:bCs/>
          <w:i/>
          <w:iCs/>
        </w:rPr>
      </w:pPr>
      <w:bookmarkStart w:id="4" w:name="_Toc212048574"/>
      <w:r w:rsidRPr="00715E30">
        <w:rPr>
          <w:b/>
          <w:bCs/>
        </w:rPr>
        <w:t xml:space="preserve">Figure </w:t>
      </w:r>
      <w:r w:rsidRPr="00715E30">
        <w:rPr>
          <w:b/>
          <w:bCs/>
          <w:i/>
          <w:iCs/>
        </w:rPr>
        <w:fldChar w:fldCharType="begin"/>
      </w:r>
      <w:r w:rsidRPr="00715E30">
        <w:rPr>
          <w:b/>
          <w:bCs/>
        </w:rPr>
        <w:instrText xml:space="preserve"> SEQ Figure \* ARABIC </w:instrText>
      </w:r>
      <w:r w:rsidRPr="00715E30">
        <w:rPr>
          <w:b/>
          <w:bCs/>
          <w:i/>
          <w:iCs/>
        </w:rPr>
        <w:fldChar w:fldCharType="separate"/>
      </w:r>
      <w:r w:rsidR="00674CFD">
        <w:rPr>
          <w:b/>
          <w:bCs/>
          <w:noProof/>
        </w:rPr>
        <w:t>1</w:t>
      </w:r>
      <w:r w:rsidRPr="00715E30">
        <w:rPr>
          <w:b/>
          <w:bCs/>
          <w:i/>
          <w:iCs/>
        </w:rPr>
        <w:fldChar w:fldCharType="end"/>
      </w:r>
      <w:r w:rsidRPr="00715E30">
        <w:rPr>
          <w:b/>
          <w:bCs/>
        </w:rPr>
        <w:t>: Electric Vehicle Market forecast</w:t>
      </w:r>
      <w:bookmarkEnd w:id="4"/>
    </w:p>
    <w:p w14:paraId="5E147DFA" w14:textId="77777777" w:rsidR="00132579" w:rsidRPr="008F4F6D" w:rsidRDefault="00EA6A99" w:rsidP="00A71EC5">
      <w:pPr>
        <w:jc w:val="center"/>
      </w:pPr>
      <w:r w:rsidRPr="008F4F6D">
        <w:t>(Source: Grand View Research, 2025)</w:t>
      </w:r>
    </w:p>
    <w:p w14:paraId="5331BFE1" w14:textId="77777777" w:rsidR="00132579" w:rsidRPr="008F4F6D" w:rsidRDefault="00EA6A99">
      <w:pPr>
        <w:pStyle w:val="Heading1"/>
        <w:rPr>
          <w:rFonts w:cs="Arial"/>
        </w:rPr>
      </w:pPr>
      <w:bookmarkStart w:id="5" w:name="_too77xsppi7y" w:colFirst="0" w:colLast="0"/>
      <w:bookmarkStart w:id="6" w:name="_Toc212056493"/>
      <w:bookmarkEnd w:id="5"/>
      <w:r w:rsidRPr="008F4F6D">
        <w:rPr>
          <w:rFonts w:cs="Arial"/>
        </w:rPr>
        <w:t>3.0 Critical Assessment of Macro Marketing Actor (Technological)</w:t>
      </w:r>
      <w:bookmarkEnd w:id="6"/>
    </w:p>
    <w:p w14:paraId="369AEF55" w14:textId="77777777" w:rsidR="00132579" w:rsidRPr="008F4F6D" w:rsidRDefault="00EA6A99">
      <w:pPr>
        <w:pStyle w:val="Heading2"/>
        <w:rPr>
          <w:rFonts w:cs="Arial"/>
        </w:rPr>
      </w:pPr>
      <w:bookmarkStart w:id="7" w:name="_c4zuzodivhda" w:colFirst="0" w:colLast="0"/>
      <w:bookmarkStart w:id="8" w:name="_Toc212056494"/>
      <w:bookmarkEnd w:id="7"/>
      <w:r w:rsidRPr="008F4F6D">
        <w:rPr>
          <w:rFonts w:cs="Arial"/>
        </w:rPr>
        <w:t>3.1 Overview of Technological Environment</w:t>
      </w:r>
      <w:bookmarkEnd w:id="8"/>
    </w:p>
    <w:p w14:paraId="70DC6C7D" w14:textId="77777777" w:rsidR="00132579" w:rsidRPr="008F4F6D" w:rsidRDefault="00EA6A99">
      <w:pPr>
        <w:rPr>
          <w:rFonts w:cs="Arial"/>
        </w:rPr>
      </w:pPr>
      <w:r w:rsidRPr="008F4F6D">
        <w:rPr>
          <w:rFonts w:cs="Arial"/>
        </w:rPr>
        <w:t xml:space="preserve">The technological aspects have been a critical driver of success for the Electric Vehicle industry in the UK, assisting in accomplishing significant market growth (YEUNG, 2025). In 2024, the electric vehicle sales in the UK rose to 381,970 units, characterising a market share of approximately 19.6% across all the new vehicles registered (S&amp;P Global, 2025). As per reports, the revenue of the EV market in the UK is forecasted to accomplish </w:t>
      </w:r>
      <w:r w:rsidRPr="008F4F6D">
        <w:rPr>
          <w:rFonts w:cs="Arial"/>
          <w:b/>
          <w:i/>
        </w:rPr>
        <w:t>USD 40.9 billion</w:t>
      </w:r>
      <w:r w:rsidRPr="008F4F6D">
        <w:rPr>
          <w:rFonts w:cs="Arial"/>
        </w:rPr>
        <w:t xml:space="preserve"> by the end of 2025 (Statista, 2025). The </w:t>
      </w:r>
      <w:r w:rsidRPr="008F4F6D">
        <w:rPr>
          <w:rFonts w:cs="Arial"/>
        </w:rPr>
        <w:lastRenderedPageBreak/>
        <w:t>charging infrastructure is also expanding in the UK, making adopting an electric vehicle feasible among users. It has been reported that in the future, widespread changes are expected within the EV industry in the UK, through technological advancements (Eocharging, 2025).</w:t>
      </w:r>
    </w:p>
    <w:p w14:paraId="6035DA93" w14:textId="77777777" w:rsidR="00715E30" w:rsidRDefault="00EA6A99" w:rsidP="00715E30">
      <w:pPr>
        <w:keepNext/>
        <w:jc w:val="center"/>
      </w:pPr>
      <w:r w:rsidRPr="008F4F6D">
        <w:rPr>
          <w:rFonts w:cs="Arial"/>
          <w:noProof/>
          <w:lang w:val="en-US"/>
        </w:rPr>
        <w:drawing>
          <wp:inline distT="114300" distB="114300" distL="114300" distR="114300" wp14:anchorId="03F1A210" wp14:editId="67E2F05D">
            <wp:extent cx="4852988" cy="2870907"/>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852988" cy="2870907"/>
                    </a:xfrm>
                    <a:prstGeom prst="rect">
                      <a:avLst/>
                    </a:prstGeom>
                    <a:ln w="25400">
                      <a:solidFill>
                        <a:srgbClr val="000000"/>
                      </a:solidFill>
                      <a:prstDash val="solid"/>
                    </a:ln>
                  </pic:spPr>
                </pic:pic>
              </a:graphicData>
            </a:graphic>
          </wp:inline>
        </w:drawing>
      </w:r>
    </w:p>
    <w:p w14:paraId="533AE4BB" w14:textId="2E54BC6F" w:rsidR="00132579" w:rsidRPr="00715E30" w:rsidRDefault="00715E30" w:rsidP="00715E30">
      <w:pPr>
        <w:pStyle w:val="Caption"/>
        <w:jc w:val="center"/>
        <w:rPr>
          <w:rFonts w:cs="Arial"/>
          <w:b/>
          <w:bCs/>
          <w:i w:val="0"/>
          <w:iCs w:val="0"/>
          <w:color w:val="000000" w:themeColor="text1"/>
          <w:sz w:val="24"/>
          <w:szCs w:val="24"/>
        </w:rPr>
      </w:pPr>
      <w:bookmarkStart w:id="9" w:name="_Toc212048575"/>
      <w:r w:rsidRPr="00715E30">
        <w:rPr>
          <w:rFonts w:cs="Arial"/>
          <w:b/>
          <w:bCs/>
          <w:i w:val="0"/>
          <w:iCs w:val="0"/>
          <w:color w:val="000000" w:themeColor="text1"/>
          <w:sz w:val="24"/>
          <w:szCs w:val="24"/>
        </w:rPr>
        <w:t xml:space="preserve">Figure </w:t>
      </w:r>
      <w:r w:rsidRPr="00715E30">
        <w:rPr>
          <w:rFonts w:cs="Arial"/>
          <w:b/>
          <w:bCs/>
          <w:i w:val="0"/>
          <w:iCs w:val="0"/>
          <w:color w:val="000000" w:themeColor="text1"/>
          <w:sz w:val="24"/>
          <w:szCs w:val="24"/>
        </w:rPr>
        <w:fldChar w:fldCharType="begin"/>
      </w:r>
      <w:r w:rsidRPr="00715E30">
        <w:rPr>
          <w:rFonts w:cs="Arial"/>
          <w:b/>
          <w:bCs/>
          <w:i w:val="0"/>
          <w:iCs w:val="0"/>
          <w:color w:val="000000" w:themeColor="text1"/>
          <w:sz w:val="24"/>
          <w:szCs w:val="24"/>
        </w:rPr>
        <w:instrText xml:space="preserve"> SEQ Figure \* ARABIC </w:instrText>
      </w:r>
      <w:r w:rsidRPr="00715E30">
        <w:rPr>
          <w:rFonts w:cs="Arial"/>
          <w:b/>
          <w:bCs/>
          <w:i w:val="0"/>
          <w:iCs w:val="0"/>
          <w:color w:val="000000" w:themeColor="text1"/>
          <w:sz w:val="24"/>
          <w:szCs w:val="24"/>
        </w:rPr>
        <w:fldChar w:fldCharType="separate"/>
      </w:r>
      <w:r w:rsidR="00674CFD">
        <w:rPr>
          <w:rFonts w:cs="Arial"/>
          <w:b/>
          <w:bCs/>
          <w:i w:val="0"/>
          <w:iCs w:val="0"/>
          <w:noProof/>
          <w:color w:val="000000" w:themeColor="text1"/>
          <w:sz w:val="24"/>
          <w:szCs w:val="24"/>
        </w:rPr>
        <w:t>2</w:t>
      </w:r>
      <w:r w:rsidRPr="00715E30">
        <w:rPr>
          <w:rFonts w:cs="Arial"/>
          <w:b/>
          <w:bCs/>
          <w:i w:val="0"/>
          <w:iCs w:val="0"/>
          <w:color w:val="000000" w:themeColor="text1"/>
          <w:sz w:val="24"/>
          <w:szCs w:val="24"/>
        </w:rPr>
        <w:fldChar w:fldCharType="end"/>
      </w:r>
      <w:r w:rsidRPr="00715E30">
        <w:rPr>
          <w:rFonts w:cs="Arial"/>
          <w:b/>
          <w:bCs/>
          <w:i w:val="0"/>
          <w:iCs w:val="0"/>
          <w:color w:val="000000" w:themeColor="text1"/>
          <w:sz w:val="24"/>
          <w:szCs w:val="24"/>
        </w:rPr>
        <w:t>: UK Electric vehicle charging infrastructure</w:t>
      </w:r>
      <w:bookmarkEnd w:id="9"/>
    </w:p>
    <w:p w14:paraId="79C58390" w14:textId="77777777" w:rsidR="00132579" w:rsidRPr="008F4F6D" w:rsidRDefault="00EA6A99">
      <w:pPr>
        <w:jc w:val="center"/>
        <w:rPr>
          <w:rFonts w:cs="Arial"/>
        </w:rPr>
      </w:pPr>
      <w:r w:rsidRPr="008F4F6D">
        <w:rPr>
          <w:rFonts w:cs="Arial"/>
        </w:rPr>
        <w:t>(Source: IMARC, 2025)</w:t>
      </w:r>
    </w:p>
    <w:p w14:paraId="29553076" w14:textId="77777777" w:rsidR="00132579" w:rsidRPr="008F4F6D" w:rsidRDefault="00EA6A99">
      <w:pPr>
        <w:pStyle w:val="Heading2"/>
        <w:rPr>
          <w:rFonts w:cs="Arial"/>
        </w:rPr>
      </w:pPr>
      <w:bookmarkStart w:id="10" w:name="_8weuebjjy75a" w:colFirst="0" w:colLast="0"/>
      <w:bookmarkStart w:id="11" w:name="_Toc212056495"/>
      <w:bookmarkEnd w:id="10"/>
      <w:r w:rsidRPr="008F4F6D">
        <w:rPr>
          <w:rFonts w:cs="Arial"/>
        </w:rPr>
        <w:t>3.2 Opportunities for Pioneers</w:t>
      </w:r>
      <w:bookmarkEnd w:id="11"/>
    </w:p>
    <w:p w14:paraId="4430F02A" w14:textId="07A00C9A" w:rsidR="00132579" w:rsidRPr="008F4F6D" w:rsidRDefault="00EA6A99">
      <w:pPr>
        <w:rPr>
          <w:rFonts w:cs="Arial"/>
        </w:rPr>
      </w:pPr>
      <w:r w:rsidRPr="008F4F6D">
        <w:rPr>
          <w:rFonts w:cs="Arial"/>
        </w:rPr>
        <w:t xml:space="preserve">The technological actors present significant opportunities for pioneers within the EV industry, like </w:t>
      </w:r>
      <w:r w:rsidRPr="00715E30">
        <w:rPr>
          <w:rFonts w:cs="Arial"/>
          <w:b/>
          <w:bCs/>
          <w:i/>
          <w:iCs/>
        </w:rPr>
        <w:t>Tesla</w:t>
      </w:r>
      <w:r w:rsidRPr="008F4F6D">
        <w:rPr>
          <w:rFonts w:cs="Arial"/>
        </w:rPr>
        <w:t xml:space="preserve">, and they have enacted modern technologies to sustain their competitive advantage. Different opportunities are gained by </w:t>
      </w:r>
      <w:r w:rsidRPr="00715E30">
        <w:rPr>
          <w:rFonts w:cs="Arial"/>
          <w:b/>
          <w:bCs/>
          <w:i/>
          <w:iCs/>
        </w:rPr>
        <w:t>Tesla</w:t>
      </w:r>
      <w:r w:rsidRPr="008F4F6D">
        <w:rPr>
          <w:rFonts w:cs="Arial"/>
        </w:rPr>
        <w:t xml:space="preserve"> through the enactment of “ecosystem-scale investments” and innovation leadership. Recently, Tesla inaugurated a next-generation AI voice assistant by forming partnerships with </w:t>
      </w:r>
      <w:r w:rsidRPr="00715E30">
        <w:rPr>
          <w:rFonts w:cs="Arial"/>
          <w:b/>
          <w:bCs/>
          <w:i/>
          <w:iCs/>
        </w:rPr>
        <w:t>DeepSeek Technologies</w:t>
      </w:r>
      <w:r w:rsidRPr="008F4F6D">
        <w:rPr>
          <w:rFonts w:cs="Arial"/>
        </w:rPr>
        <w:t xml:space="preserve"> </w:t>
      </w:r>
      <w:r w:rsidR="00715E30" w:rsidRPr="008F4F6D">
        <w:rPr>
          <w:rFonts w:cs="Arial"/>
        </w:rPr>
        <w:t xml:space="preserve">and </w:t>
      </w:r>
      <w:r w:rsidR="00715E30" w:rsidRPr="00715E30">
        <w:rPr>
          <w:rFonts w:cs="Arial"/>
          <w:b/>
          <w:bCs/>
          <w:i/>
          <w:iCs/>
        </w:rPr>
        <w:t>ByteDance</w:t>
      </w:r>
      <w:r w:rsidRPr="00715E30">
        <w:rPr>
          <w:rFonts w:cs="Arial"/>
          <w:b/>
          <w:bCs/>
          <w:i/>
          <w:iCs/>
        </w:rPr>
        <w:t xml:space="preserve"> Ltd</w:t>
      </w:r>
      <w:r w:rsidRPr="008F4F6D">
        <w:rPr>
          <w:rFonts w:cs="Arial"/>
        </w:rPr>
        <w:t xml:space="preserve"> in China, characterising deeper engagement within the smart-vehicle software (Bloomberg, 2025). Moreover, Tesla also made a progression towards autonomous mobility through the </w:t>
      </w:r>
      <w:r w:rsidRPr="00715E30">
        <w:rPr>
          <w:rFonts w:cs="Arial"/>
          <w:b/>
          <w:bCs/>
          <w:i/>
          <w:iCs/>
        </w:rPr>
        <w:t>robotaxi test rides</w:t>
      </w:r>
      <w:r w:rsidRPr="008F4F6D">
        <w:rPr>
          <w:rFonts w:cs="Arial"/>
        </w:rPr>
        <w:t xml:space="preserve"> recently carried out in Austin. This will present a modern service-based business model for Tesla besides car sales (CNBC, 2025). These progressions assist in generating opportunities concerning new revenue streams, differentiation, and cementing the “first-mover advantage”.</w:t>
      </w:r>
    </w:p>
    <w:p w14:paraId="5D530F3D" w14:textId="77777777" w:rsidR="0088405F" w:rsidRDefault="00EA6A99" w:rsidP="0088405F">
      <w:pPr>
        <w:keepNext/>
        <w:jc w:val="center"/>
      </w:pPr>
      <w:r w:rsidRPr="008F4F6D">
        <w:rPr>
          <w:rFonts w:cs="Arial"/>
          <w:noProof/>
          <w:lang w:val="en-US"/>
        </w:rPr>
        <w:lastRenderedPageBreak/>
        <w:drawing>
          <wp:inline distT="114300" distB="114300" distL="114300" distR="114300" wp14:anchorId="082C149A" wp14:editId="38E08D1B">
            <wp:extent cx="5309616" cy="3063240"/>
            <wp:effectExtent l="19050" t="19050" r="24765" b="2286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312151" cy="3064703"/>
                    </a:xfrm>
                    <a:prstGeom prst="rect">
                      <a:avLst/>
                    </a:prstGeom>
                    <a:ln w="25400">
                      <a:solidFill>
                        <a:srgbClr val="000000"/>
                      </a:solidFill>
                      <a:prstDash val="solid"/>
                    </a:ln>
                  </pic:spPr>
                </pic:pic>
              </a:graphicData>
            </a:graphic>
          </wp:inline>
        </w:drawing>
      </w:r>
    </w:p>
    <w:p w14:paraId="247A582C" w14:textId="2769CCBC" w:rsidR="00132579" w:rsidRPr="0088405F" w:rsidRDefault="0088405F" w:rsidP="0088405F">
      <w:pPr>
        <w:pStyle w:val="Caption"/>
        <w:jc w:val="center"/>
        <w:rPr>
          <w:rFonts w:cs="Arial"/>
          <w:b/>
          <w:bCs/>
          <w:i w:val="0"/>
          <w:iCs w:val="0"/>
          <w:color w:val="000000" w:themeColor="text1"/>
          <w:sz w:val="24"/>
          <w:szCs w:val="24"/>
        </w:rPr>
      </w:pPr>
      <w:bookmarkStart w:id="12" w:name="_Toc212048576"/>
      <w:r w:rsidRPr="0088405F">
        <w:rPr>
          <w:rFonts w:cs="Arial"/>
          <w:b/>
          <w:bCs/>
          <w:i w:val="0"/>
          <w:iCs w:val="0"/>
          <w:color w:val="000000" w:themeColor="text1"/>
          <w:sz w:val="24"/>
          <w:szCs w:val="24"/>
        </w:rPr>
        <w:t xml:space="preserve">Figure </w:t>
      </w:r>
      <w:r w:rsidRPr="0088405F">
        <w:rPr>
          <w:rFonts w:cs="Arial"/>
          <w:b/>
          <w:bCs/>
          <w:i w:val="0"/>
          <w:iCs w:val="0"/>
          <w:color w:val="000000" w:themeColor="text1"/>
          <w:sz w:val="24"/>
          <w:szCs w:val="24"/>
        </w:rPr>
        <w:fldChar w:fldCharType="begin"/>
      </w:r>
      <w:r w:rsidRPr="0088405F">
        <w:rPr>
          <w:rFonts w:cs="Arial"/>
          <w:b/>
          <w:bCs/>
          <w:i w:val="0"/>
          <w:iCs w:val="0"/>
          <w:color w:val="000000" w:themeColor="text1"/>
          <w:sz w:val="24"/>
          <w:szCs w:val="24"/>
        </w:rPr>
        <w:instrText xml:space="preserve"> SEQ Figure \* ARABIC </w:instrText>
      </w:r>
      <w:r w:rsidRPr="0088405F">
        <w:rPr>
          <w:rFonts w:cs="Arial"/>
          <w:b/>
          <w:bCs/>
          <w:i w:val="0"/>
          <w:iCs w:val="0"/>
          <w:color w:val="000000" w:themeColor="text1"/>
          <w:sz w:val="24"/>
          <w:szCs w:val="24"/>
        </w:rPr>
        <w:fldChar w:fldCharType="separate"/>
      </w:r>
      <w:r w:rsidR="00674CFD">
        <w:rPr>
          <w:rFonts w:cs="Arial"/>
          <w:b/>
          <w:bCs/>
          <w:i w:val="0"/>
          <w:iCs w:val="0"/>
          <w:noProof/>
          <w:color w:val="000000" w:themeColor="text1"/>
          <w:sz w:val="24"/>
          <w:szCs w:val="24"/>
        </w:rPr>
        <w:t>3</w:t>
      </w:r>
      <w:r w:rsidRPr="0088405F">
        <w:rPr>
          <w:rFonts w:cs="Arial"/>
          <w:b/>
          <w:bCs/>
          <w:i w:val="0"/>
          <w:iCs w:val="0"/>
          <w:color w:val="000000" w:themeColor="text1"/>
          <w:sz w:val="24"/>
          <w:szCs w:val="24"/>
        </w:rPr>
        <w:fldChar w:fldCharType="end"/>
      </w:r>
      <w:r w:rsidRPr="0088405F">
        <w:rPr>
          <w:rFonts w:cs="Arial"/>
          <w:b/>
          <w:bCs/>
          <w:i w:val="0"/>
          <w:iCs w:val="0"/>
          <w:color w:val="000000" w:themeColor="text1"/>
          <w:sz w:val="24"/>
          <w:szCs w:val="24"/>
        </w:rPr>
        <w:t>: Robotaxi by Tesla</w:t>
      </w:r>
      <w:bookmarkEnd w:id="12"/>
    </w:p>
    <w:p w14:paraId="6EA2C804" w14:textId="77777777" w:rsidR="00132579" w:rsidRPr="008F4F6D" w:rsidRDefault="00EA6A99">
      <w:pPr>
        <w:jc w:val="center"/>
        <w:rPr>
          <w:rFonts w:cs="Arial"/>
        </w:rPr>
      </w:pPr>
      <w:r w:rsidRPr="008F4F6D">
        <w:rPr>
          <w:rFonts w:cs="Arial"/>
        </w:rPr>
        <w:t>(Source: Dipert, 2024)</w:t>
      </w:r>
    </w:p>
    <w:p w14:paraId="75E04566" w14:textId="77777777" w:rsidR="00132579" w:rsidRPr="008F4F6D" w:rsidRDefault="00EA6A99">
      <w:pPr>
        <w:pStyle w:val="Heading2"/>
        <w:rPr>
          <w:rFonts w:cs="Arial"/>
        </w:rPr>
      </w:pPr>
      <w:bookmarkStart w:id="13" w:name="_qxh2qj9jnnyh" w:colFirst="0" w:colLast="0"/>
      <w:bookmarkStart w:id="14" w:name="_Toc212056496"/>
      <w:bookmarkEnd w:id="13"/>
      <w:r w:rsidRPr="008F4F6D">
        <w:rPr>
          <w:rFonts w:cs="Arial"/>
        </w:rPr>
        <w:t>3.3 Threats for Pioneers</w:t>
      </w:r>
      <w:bookmarkEnd w:id="14"/>
    </w:p>
    <w:p w14:paraId="37D35550" w14:textId="77777777" w:rsidR="00132579" w:rsidRPr="008F4F6D" w:rsidRDefault="00EA6A99">
      <w:pPr>
        <w:rPr>
          <w:rFonts w:cs="Arial"/>
        </w:rPr>
      </w:pPr>
      <w:r w:rsidRPr="008F4F6D">
        <w:rPr>
          <w:rFonts w:cs="Arial"/>
        </w:rPr>
        <w:t xml:space="preserve">Besides gaining an advantage, Tesla has also encountered threats from technological factors. The emergence of new forms like BYD is causing issues for Tesla, as they are offering advanced driver-assisted systems at an affordable price with the enactment of Lidar sensors (The Times of India, 2025). The inauguration of advanced batteries that get charged within a few minutes is also gaining attention from the market. This is causing their market share to decline in regions like China and Europe, as Tesla observed a </w:t>
      </w:r>
      <w:r w:rsidRPr="008F4F6D">
        <w:rPr>
          <w:rFonts w:cs="Arial"/>
          <w:b/>
          <w:i/>
        </w:rPr>
        <w:t>38%</w:t>
      </w:r>
      <w:r w:rsidRPr="008F4F6D">
        <w:rPr>
          <w:rFonts w:cs="Arial"/>
        </w:rPr>
        <w:t xml:space="preserve"> decline in market share in Europe (Reuters, 2025).</w:t>
      </w:r>
    </w:p>
    <w:p w14:paraId="311142AB" w14:textId="77777777" w:rsidR="0088405F" w:rsidRDefault="00EA6A99" w:rsidP="0088405F">
      <w:pPr>
        <w:keepNext/>
        <w:jc w:val="center"/>
      </w:pPr>
      <w:r w:rsidRPr="008F4F6D">
        <w:rPr>
          <w:rFonts w:cs="Arial"/>
          <w:noProof/>
          <w:lang w:val="en-US"/>
        </w:rPr>
        <w:lastRenderedPageBreak/>
        <w:drawing>
          <wp:inline distT="114300" distB="114300" distL="114300" distR="114300" wp14:anchorId="290B9424" wp14:editId="72E70879">
            <wp:extent cx="4145280" cy="3262219"/>
            <wp:effectExtent l="19050" t="19050" r="26670" b="14605"/>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159149" cy="3273133"/>
                    </a:xfrm>
                    <a:prstGeom prst="rect">
                      <a:avLst/>
                    </a:prstGeom>
                    <a:ln w="25400">
                      <a:solidFill>
                        <a:srgbClr val="000000"/>
                      </a:solidFill>
                      <a:prstDash val="solid"/>
                    </a:ln>
                  </pic:spPr>
                </pic:pic>
              </a:graphicData>
            </a:graphic>
          </wp:inline>
        </w:drawing>
      </w:r>
    </w:p>
    <w:p w14:paraId="417CB042" w14:textId="7F1940B2" w:rsidR="00132579" w:rsidRPr="0088405F" w:rsidRDefault="0088405F" w:rsidP="0088405F">
      <w:pPr>
        <w:pStyle w:val="Caption"/>
        <w:jc w:val="center"/>
        <w:rPr>
          <w:rFonts w:cs="Arial"/>
          <w:b/>
          <w:bCs/>
          <w:i w:val="0"/>
          <w:iCs w:val="0"/>
          <w:color w:val="000000" w:themeColor="text1"/>
          <w:sz w:val="24"/>
          <w:szCs w:val="24"/>
        </w:rPr>
      </w:pPr>
      <w:bookmarkStart w:id="15" w:name="_Toc212048577"/>
      <w:r w:rsidRPr="0088405F">
        <w:rPr>
          <w:rFonts w:cs="Arial"/>
          <w:b/>
          <w:bCs/>
          <w:i w:val="0"/>
          <w:iCs w:val="0"/>
          <w:color w:val="000000" w:themeColor="text1"/>
          <w:sz w:val="24"/>
          <w:szCs w:val="24"/>
        </w:rPr>
        <w:t xml:space="preserve">Figure </w:t>
      </w:r>
      <w:r w:rsidRPr="0088405F">
        <w:rPr>
          <w:rFonts w:cs="Arial"/>
          <w:b/>
          <w:bCs/>
          <w:i w:val="0"/>
          <w:iCs w:val="0"/>
          <w:color w:val="000000" w:themeColor="text1"/>
          <w:sz w:val="24"/>
          <w:szCs w:val="24"/>
        </w:rPr>
        <w:fldChar w:fldCharType="begin"/>
      </w:r>
      <w:r w:rsidRPr="0088405F">
        <w:rPr>
          <w:rFonts w:cs="Arial"/>
          <w:b/>
          <w:bCs/>
          <w:i w:val="0"/>
          <w:iCs w:val="0"/>
          <w:color w:val="000000" w:themeColor="text1"/>
          <w:sz w:val="24"/>
          <w:szCs w:val="24"/>
        </w:rPr>
        <w:instrText xml:space="preserve"> SEQ Figure \* ARABIC </w:instrText>
      </w:r>
      <w:r w:rsidRPr="0088405F">
        <w:rPr>
          <w:rFonts w:cs="Arial"/>
          <w:b/>
          <w:bCs/>
          <w:i w:val="0"/>
          <w:iCs w:val="0"/>
          <w:color w:val="000000" w:themeColor="text1"/>
          <w:sz w:val="24"/>
          <w:szCs w:val="24"/>
        </w:rPr>
        <w:fldChar w:fldCharType="separate"/>
      </w:r>
      <w:r w:rsidR="00674CFD">
        <w:rPr>
          <w:rFonts w:cs="Arial"/>
          <w:b/>
          <w:bCs/>
          <w:i w:val="0"/>
          <w:iCs w:val="0"/>
          <w:noProof/>
          <w:color w:val="000000" w:themeColor="text1"/>
          <w:sz w:val="24"/>
          <w:szCs w:val="24"/>
        </w:rPr>
        <w:t>4</w:t>
      </w:r>
      <w:r w:rsidRPr="0088405F">
        <w:rPr>
          <w:rFonts w:cs="Arial"/>
          <w:b/>
          <w:bCs/>
          <w:i w:val="0"/>
          <w:iCs w:val="0"/>
          <w:color w:val="000000" w:themeColor="text1"/>
          <w:sz w:val="24"/>
          <w:szCs w:val="24"/>
        </w:rPr>
        <w:fldChar w:fldCharType="end"/>
      </w:r>
      <w:r w:rsidRPr="0088405F">
        <w:rPr>
          <w:rFonts w:cs="Arial"/>
          <w:b/>
          <w:bCs/>
          <w:i w:val="0"/>
          <w:iCs w:val="0"/>
          <w:color w:val="000000" w:themeColor="text1"/>
          <w:sz w:val="24"/>
          <w:szCs w:val="24"/>
        </w:rPr>
        <w:t>: Tesla sales decline in the European EV market</w:t>
      </w:r>
      <w:bookmarkEnd w:id="15"/>
    </w:p>
    <w:p w14:paraId="1CD14B66" w14:textId="77777777" w:rsidR="00132579" w:rsidRPr="008F4F6D" w:rsidRDefault="00EA6A99">
      <w:pPr>
        <w:jc w:val="center"/>
        <w:rPr>
          <w:rFonts w:cs="Arial"/>
        </w:rPr>
      </w:pPr>
      <w:r w:rsidRPr="008F4F6D">
        <w:rPr>
          <w:rFonts w:cs="Arial"/>
        </w:rPr>
        <w:t>(Source: Richter, 2025)</w:t>
      </w:r>
    </w:p>
    <w:p w14:paraId="2446566F" w14:textId="77777777" w:rsidR="00132579" w:rsidRPr="008F4F6D" w:rsidRDefault="00EA6A99">
      <w:pPr>
        <w:pStyle w:val="Heading2"/>
        <w:rPr>
          <w:rFonts w:cs="Arial"/>
        </w:rPr>
      </w:pPr>
      <w:bookmarkStart w:id="16" w:name="_v7ghv77mfz4m" w:colFirst="0" w:colLast="0"/>
      <w:bookmarkStart w:id="17" w:name="_Toc212056497"/>
      <w:bookmarkEnd w:id="16"/>
      <w:r w:rsidRPr="008F4F6D">
        <w:rPr>
          <w:rFonts w:cs="Arial"/>
        </w:rPr>
        <w:t>3.4 Opportunities for Followers</w:t>
      </w:r>
      <w:bookmarkEnd w:id="17"/>
    </w:p>
    <w:p w14:paraId="396E93A7" w14:textId="77777777" w:rsidR="00132579" w:rsidRPr="008F4F6D" w:rsidRDefault="00EA6A99">
      <w:pPr>
        <w:rPr>
          <w:rFonts w:cs="Arial"/>
        </w:rPr>
      </w:pPr>
      <w:r w:rsidRPr="008F4F6D">
        <w:rPr>
          <w:rFonts w:cs="Arial"/>
        </w:rPr>
        <w:t xml:space="preserve">Technological factors and advancements also provide opportunities for the follower companies within the electric vehicle industry. As an example, advancement in battery technology, like reduction of cost, augmented energy density, and speeding up the charging procedures, allows the follower companies to take advantage of these without making an investment in Research on new technologies (Dickinson, Ooi and Stringwell, 2025). Moreover, the emergence of other technologies like </w:t>
      </w:r>
      <w:r w:rsidRPr="008F4F6D">
        <w:rPr>
          <w:rFonts w:cs="Arial"/>
          <w:b/>
          <w:i/>
        </w:rPr>
        <w:t>“over-the-air software updates”</w:t>
      </w:r>
      <w:r w:rsidRPr="008F4F6D">
        <w:rPr>
          <w:rFonts w:cs="Arial"/>
        </w:rPr>
        <w:t xml:space="preserve"> and the deployment of smart-grid technologies facilitates the follower companies to avoid the traditional ICE technologies and incorporate modern technologies to gain a competitive edge (Dickinson, Ooi and Stringwell, 2025).</w:t>
      </w:r>
    </w:p>
    <w:p w14:paraId="62233167" w14:textId="77777777" w:rsidR="00132579" w:rsidRPr="008F4F6D" w:rsidRDefault="00EA6A99">
      <w:pPr>
        <w:pStyle w:val="Heading2"/>
        <w:rPr>
          <w:rFonts w:cs="Arial"/>
        </w:rPr>
      </w:pPr>
      <w:bookmarkStart w:id="18" w:name="_572go6grfhin" w:colFirst="0" w:colLast="0"/>
      <w:bookmarkStart w:id="19" w:name="_Toc212056498"/>
      <w:bookmarkEnd w:id="18"/>
      <w:r w:rsidRPr="008F4F6D">
        <w:rPr>
          <w:rFonts w:cs="Arial"/>
        </w:rPr>
        <w:t>3.5 Threats for Followers</w:t>
      </w:r>
      <w:bookmarkEnd w:id="19"/>
    </w:p>
    <w:p w14:paraId="7B2B1E0C" w14:textId="18D0C6F4" w:rsidR="00132579" w:rsidRPr="008F4F6D" w:rsidRDefault="00EA6A99">
      <w:pPr>
        <w:rPr>
          <w:rFonts w:cs="Arial"/>
        </w:rPr>
      </w:pPr>
      <w:r w:rsidRPr="008F4F6D">
        <w:rPr>
          <w:rFonts w:cs="Arial"/>
        </w:rPr>
        <w:t xml:space="preserve">Changes in technological aspects pose a huge threat to the follower companies within the EV industry. With the progression of advanced battery chemistries, software-driven vehicles, and autonomous driving, the follower companies face obstacles concerning being locked with traditional architecture, and failure to adapt to the pace of innovation enacted by the pioneer firms (Hossain </w:t>
      </w:r>
      <w:r w:rsidRPr="008F4F6D">
        <w:rPr>
          <w:rFonts w:cs="Arial"/>
          <w:i/>
        </w:rPr>
        <w:t>et al.,</w:t>
      </w:r>
      <w:r w:rsidRPr="008F4F6D">
        <w:rPr>
          <w:rFonts w:cs="Arial"/>
        </w:rPr>
        <w:t xml:space="preserve"> 2022). For example, one such firm is </w:t>
      </w:r>
      <w:r w:rsidRPr="008F4F6D">
        <w:rPr>
          <w:rFonts w:cs="Arial"/>
          <w:b/>
          <w:i/>
        </w:rPr>
        <w:t>Rivian Automotive Inc,</w:t>
      </w:r>
      <w:r w:rsidRPr="008F4F6D">
        <w:rPr>
          <w:rFonts w:cs="Arial"/>
        </w:rPr>
        <w:t xml:space="preserve"> which faces a significant threat from rapid </w:t>
      </w:r>
      <w:r w:rsidR="00CD2C9D" w:rsidRPr="008F4F6D">
        <w:rPr>
          <w:rFonts w:cs="Arial"/>
        </w:rPr>
        <w:t>technological</w:t>
      </w:r>
      <w:r w:rsidRPr="008F4F6D">
        <w:rPr>
          <w:rFonts w:cs="Arial"/>
        </w:rPr>
        <w:t xml:space="preserve"> </w:t>
      </w:r>
      <w:r w:rsidRPr="008F4F6D">
        <w:rPr>
          <w:rFonts w:cs="Arial"/>
        </w:rPr>
        <w:lastRenderedPageBreak/>
        <w:t>advancement, and thus they are facing the issue of product differentiation and loss of market share and profitability (Investing, 2025).</w:t>
      </w:r>
    </w:p>
    <w:p w14:paraId="402CA633" w14:textId="77777777" w:rsidR="00132579" w:rsidRPr="008F4F6D" w:rsidRDefault="00EA6A99">
      <w:pPr>
        <w:pStyle w:val="Heading1"/>
        <w:rPr>
          <w:rFonts w:cs="Arial"/>
        </w:rPr>
      </w:pPr>
      <w:bookmarkStart w:id="20" w:name="_cbl1grmyabhd" w:colFirst="0" w:colLast="0"/>
      <w:bookmarkStart w:id="21" w:name="_Toc212056499"/>
      <w:bookmarkEnd w:id="20"/>
      <w:r w:rsidRPr="008F4F6D">
        <w:rPr>
          <w:rFonts w:cs="Arial"/>
        </w:rPr>
        <w:t>4.0 Critical Assessment of Macro Marketing Actor (Political)</w:t>
      </w:r>
      <w:bookmarkEnd w:id="21"/>
    </w:p>
    <w:p w14:paraId="0BF0C57A" w14:textId="77777777" w:rsidR="00132579" w:rsidRPr="008F4F6D" w:rsidRDefault="00EA6A99">
      <w:pPr>
        <w:pStyle w:val="Heading2"/>
        <w:rPr>
          <w:rFonts w:cs="Arial"/>
        </w:rPr>
      </w:pPr>
      <w:bookmarkStart w:id="22" w:name="_pj3i9sbp9cqq" w:colFirst="0" w:colLast="0"/>
      <w:bookmarkStart w:id="23" w:name="_Toc212056500"/>
      <w:bookmarkEnd w:id="22"/>
      <w:r w:rsidRPr="008F4F6D">
        <w:rPr>
          <w:rFonts w:cs="Arial"/>
        </w:rPr>
        <w:t>4.1 Overview of Political Environment</w:t>
      </w:r>
      <w:bookmarkEnd w:id="23"/>
    </w:p>
    <w:p w14:paraId="2ED48FB8" w14:textId="77777777" w:rsidR="00132579" w:rsidRPr="008F4F6D" w:rsidRDefault="00EA6A99">
      <w:pPr>
        <w:rPr>
          <w:rFonts w:cs="Arial"/>
        </w:rPr>
      </w:pPr>
      <w:r w:rsidRPr="008F4F6D">
        <w:rPr>
          <w:rFonts w:cs="Arial"/>
        </w:rPr>
        <w:t xml:space="preserve">The </w:t>
      </w:r>
      <w:r w:rsidRPr="008F4F6D">
        <w:rPr>
          <w:rFonts w:cs="Arial"/>
          <w:b/>
          <w:i/>
        </w:rPr>
        <w:t>Electric Vehicle</w:t>
      </w:r>
      <w:r w:rsidRPr="008F4F6D">
        <w:rPr>
          <w:rFonts w:cs="Arial"/>
        </w:rPr>
        <w:t xml:space="preserve"> market is largely affected by the political environment, whose effect differs in different countries. ​The 2024 presidential election may drastically alter the policies of clean energy and manufacturing cars in the US (Nolan, 2024). ​An example of this is that the Trump administration could attempt to discontinue regulations and subsidies that render EVs cheap because it will counteract the goal of decarbonising transport (Nuccitelli, 2025). ​The cancellation of federal EV tax credits, including the </w:t>
      </w:r>
      <w:r w:rsidRPr="008F4F6D">
        <w:rPr>
          <w:rFonts w:cs="Arial"/>
          <w:b/>
          <w:i/>
        </w:rPr>
        <w:t>$7,500</w:t>
      </w:r>
      <w:r w:rsidRPr="008F4F6D">
        <w:rPr>
          <w:rFonts w:cs="Arial"/>
        </w:rPr>
        <w:t xml:space="preserve"> incentive, can significantly decrease EV demand and sales, and one of the studies estimates the decline in demand and sales by </w:t>
      </w:r>
      <w:r w:rsidRPr="008F4F6D">
        <w:rPr>
          <w:rFonts w:cs="Arial"/>
          <w:b/>
          <w:i/>
        </w:rPr>
        <w:t>20%</w:t>
      </w:r>
      <w:r w:rsidRPr="008F4F6D">
        <w:rPr>
          <w:rFonts w:cs="Arial"/>
        </w:rPr>
        <w:t xml:space="preserve"> by 2035 (Electric Vehicle Association, 2025). </w:t>
      </w:r>
    </w:p>
    <w:p w14:paraId="2B9A5ABD" w14:textId="77777777" w:rsidR="00132579" w:rsidRPr="008F4F6D" w:rsidRDefault="00EA6A99">
      <w:pPr>
        <w:rPr>
          <w:rFonts w:cs="Arial"/>
        </w:rPr>
      </w:pPr>
      <w:r w:rsidRPr="008F4F6D">
        <w:rPr>
          <w:rFonts w:cs="Arial"/>
        </w:rPr>
        <w:t xml:space="preserve">On the contrary, the EV sales in the UK are doubling with the progression of time. By May 2025, the number of electric cars on the UK roads was recorded as 1.5 million, accounting a 4.5% of the total cars in the UK (Evision, 2025). This growth can be attributed to the enactment of the mandate concerning the </w:t>
      </w:r>
      <w:r w:rsidRPr="008F4F6D">
        <w:rPr>
          <w:rFonts w:cs="Arial"/>
          <w:b/>
          <w:i/>
        </w:rPr>
        <w:t>“Zero Emission Vehicle”</w:t>
      </w:r>
      <w:r w:rsidRPr="008F4F6D">
        <w:rPr>
          <w:rFonts w:cs="Arial"/>
        </w:rPr>
        <w:t>, and the incorporation of a new subsidy for the lower-priced vehicles has also caused the sales of electric vehicles to be augmented (Walker, 2025).</w:t>
      </w:r>
    </w:p>
    <w:p w14:paraId="32848D51" w14:textId="77777777" w:rsidR="0088405F" w:rsidRDefault="00EA6A99" w:rsidP="0088405F">
      <w:pPr>
        <w:keepNext/>
        <w:jc w:val="center"/>
      </w:pPr>
      <w:r w:rsidRPr="008F4F6D">
        <w:rPr>
          <w:rFonts w:cs="Arial"/>
          <w:noProof/>
          <w:lang w:val="en-US"/>
        </w:rPr>
        <w:drawing>
          <wp:inline distT="114300" distB="114300" distL="114300" distR="114300" wp14:anchorId="53D95729" wp14:editId="5F2E8771">
            <wp:extent cx="5781675" cy="2536784"/>
            <wp:effectExtent l="38100" t="38100" r="28575" b="3556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796791" cy="2543417"/>
                    </a:xfrm>
                    <a:prstGeom prst="rect">
                      <a:avLst/>
                    </a:prstGeom>
                    <a:ln w="25400">
                      <a:solidFill>
                        <a:srgbClr val="000000"/>
                      </a:solidFill>
                      <a:prstDash val="solid"/>
                    </a:ln>
                  </pic:spPr>
                </pic:pic>
              </a:graphicData>
            </a:graphic>
          </wp:inline>
        </w:drawing>
      </w:r>
    </w:p>
    <w:p w14:paraId="5B97D6C8" w14:textId="3E41856E" w:rsidR="00132579" w:rsidRPr="0088405F" w:rsidRDefault="0088405F" w:rsidP="0088405F">
      <w:pPr>
        <w:pStyle w:val="Caption"/>
        <w:jc w:val="center"/>
        <w:rPr>
          <w:rFonts w:cs="Arial"/>
          <w:b/>
          <w:bCs/>
          <w:i w:val="0"/>
          <w:iCs w:val="0"/>
          <w:color w:val="000000" w:themeColor="text1"/>
          <w:sz w:val="24"/>
          <w:szCs w:val="24"/>
        </w:rPr>
      </w:pPr>
      <w:bookmarkStart w:id="24" w:name="_Toc212048578"/>
      <w:r w:rsidRPr="0088405F">
        <w:rPr>
          <w:rFonts w:cs="Arial"/>
          <w:b/>
          <w:bCs/>
          <w:i w:val="0"/>
          <w:iCs w:val="0"/>
          <w:color w:val="000000" w:themeColor="text1"/>
          <w:sz w:val="24"/>
          <w:szCs w:val="24"/>
        </w:rPr>
        <w:t xml:space="preserve">Figure </w:t>
      </w:r>
      <w:r w:rsidRPr="0088405F">
        <w:rPr>
          <w:rFonts w:cs="Arial"/>
          <w:b/>
          <w:bCs/>
          <w:i w:val="0"/>
          <w:iCs w:val="0"/>
          <w:color w:val="000000" w:themeColor="text1"/>
          <w:sz w:val="24"/>
          <w:szCs w:val="24"/>
        </w:rPr>
        <w:fldChar w:fldCharType="begin"/>
      </w:r>
      <w:r w:rsidRPr="0088405F">
        <w:rPr>
          <w:rFonts w:cs="Arial"/>
          <w:b/>
          <w:bCs/>
          <w:i w:val="0"/>
          <w:iCs w:val="0"/>
          <w:color w:val="000000" w:themeColor="text1"/>
          <w:sz w:val="24"/>
          <w:szCs w:val="24"/>
        </w:rPr>
        <w:instrText xml:space="preserve"> SEQ Figure \* ARABIC </w:instrText>
      </w:r>
      <w:r w:rsidRPr="0088405F">
        <w:rPr>
          <w:rFonts w:cs="Arial"/>
          <w:b/>
          <w:bCs/>
          <w:i w:val="0"/>
          <w:iCs w:val="0"/>
          <w:color w:val="000000" w:themeColor="text1"/>
          <w:sz w:val="24"/>
          <w:szCs w:val="24"/>
        </w:rPr>
        <w:fldChar w:fldCharType="separate"/>
      </w:r>
      <w:r w:rsidR="00674CFD">
        <w:rPr>
          <w:rFonts w:cs="Arial"/>
          <w:b/>
          <w:bCs/>
          <w:i w:val="0"/>
          <w:iCs w:val="0"/>
          <w:noProof/>
          <w:color w:val="000000" w:themeColor="text1"/>
          <w:sz w:val="24"/>
          <w:szCs w:val="24"/>
        </w:rPr>
        <w:t>5</w:t>
      </w:r>
      <w:r w:rsidRPr="0088405F">
        <w:rPr>
          <w:rFonts w:cs="Arial"/>
          <w:b/>
          <w:bCs/>
          <w:i w:val="0"/>
          <w:iCs w:val="0"/>
          <w:color w:val="000000" w:themeColor="text1"/>
          <w:sz w:val="24"/>
          <w:szCs w:val="24"/>
        </w:rPr>
        <w:fldChar w:fldCharType="end"/>
      </w:r>
      <w:r w:rsidRPr="0088405F">
        <w:rPr>
          <w:rFonts w:cs="Arial"/>
          <w:b/>
          <w:bCs/>
          <w:i w:val="0"/>
          <w:iCs w:val="0"/>
          <w:color w:val="000000" w:themeColor="text1"/>
          <w:sz w:val="24"/>
          <w:szCs w:val="24"/>
        </w:rPr>
        <w:t>: Enactment of the ZEV mandate</w:t>
      </w:r>
      <w:bookmarkEnd w:id="24"/>
    </w:p>
    <w:p w14:paraId="028224A4" w14:textId="77777777" w:rsidR="00132579" w:rsidRPr="008F4F6D" w:rsidRDefault="00EA6A99">
      <w:pPr>
        <w:jc w:val="center"/>
        <w:rPr>
          <w:rFonts w:cs="Arial"/>
        </w:rPr>
      </w:pPr>
      <w:r w:rsidRPr="008F4F6D">
        <w:rPr>
          <w:rFonts w:cs="Arial"/>
        </w:rPr>
        <w:t>(Source: Patrick, 2024)</w:t>
      </w:r>
    </w:p>
    <w:p w14:paraId="55C44F5D" w14:textId="77777777" w:rsidR="00132579" w:rsidRPr="008F4F6D" w:rsidRDefault="00EA6A99">
      <w:pPr>
        <w:pStyle w:val="Heading2"/>
        <w:rPr>
          <w:rFonts w:cs="Arial"/>
        </w:rPr>
      </w:pPr>
      <w:bookmarkStart w:id="25" w:name="_iaequyvk8vl6" w:colFirst="0" w:colLast="0"/>
      <w:bookmarkStart w:id="26" w:name="_Toc212056501"/>
      <w:bookmarkEnd w:id="25"/>
      <w:r w:rsidRPr="008F4F6D">
        <w:rPr>
          <w:rFonts w:cs="Arial"/>
        </w:rPr>
        <w:lastRenderedPageBreak/>
        <w:t>4.2 Opportunities for Pioneers</w:t>
      </w:r>
      <w:bookmarkEnd w:id="26"/>
    </w:p>
    <w:p w14:paraId="67258DEF" w14:textId="303C93FB" w:rsidR="00132579" w:rsidRPr="008F4F6D" w:rsidRDefault="00EA6A99">
      <w:pPr>
        <w:rPr>
          <w:rFonts w:cs="Arial"/>
        </w:rPr>
      </w:pPr>
      <w:r w:rsidRPr="008F4F6D">
        <w:rPr>
          <w:rFonts w:cs="Arial"/>
        </w:rPr>
        <w:t xml:space="preserve">Modifications in the political landscape open different opportunities for pioneering companies within the EV industry. As an example, the aspect of Stellantis in Spain can be identified, which received a grant </w:t>
      </w:r>
      <w:r w:rsidR="0088405F" w:rsidRPr="008F4F6D">
        <w:rPr>
          <w:rFonts w:cs="Arial"/>
        </w:rPr>
        <w:t xml:space="preserve">of </w:t>
      </w:r>
      <w:r w:rsidR="0088405F" w:rsidRPr="0088405F">
        <w:rPr>
          <w:rFonts w:cs="Arial"/>
          <w:b/>
          <w:bCs/>
          <w:i/>
          <w:iCs/>
        </w:rPr>
        <w:t>£</w:t>
      </w:r>
      <w:r w:rsidRPr="008F4F6D">
        <w:rPr>
          <w:rFonts w:cs="Arial"/>
          <w:b/>
          <w:i/>
        </w:rPr>
        <w:t>133 million</w:t>
      </w:r>
      <w:r w:rsidRPr="008F4F6D">
        <w:rPr>
          <w:rFonts w:cs="Arial"/>
        </w:rPr>
        <w:t xml:space="preserve"> from the government to develop a gigafactory for making its electric vehicle leadership more sustainable by forming a partnership with CATL (Rajagopal, 2024). Moreover, the incentives in Europe concerning EV purchase allow the companies to capitalise on supply chain advantages and other advancements. </w:t>
      </w:r>
    </w:p>
    <w:p w14:paraId="26C2F0ED" w14:textId="77777777" w:rsidR="00132579" w:rsidRPr="008F4F6D" w:rsidRDefault="00EA6A99">
      <w:pPr>
        <w:pStyle w:val="Heading2"/>
        <w:rPr>
          <w:rFonts w:cs="Arial"/>
        </w:rPr>
      </w:pPr>
      <w:bookmarkStart w:id="27" w:name="_gf7z0j91wgsq" w:colFirst="0" w:colLast="0"/>
      <w:bookmarkStart w:id="28" w:name="_Toc212056502"/>
      <w:bookmarkEnd w:id="27"/>
      <w:r w:rsidRPr="008F4F6D">
        <w:rPr>
          <w:rFonts w:cs="Arial"/>
        </w:rPr>
        <w:t>4.3 Threats for Pioneers</w:t>
      </w:r>
      <w:bookmarkEnd w:id="28"/>
    </w:p>
    <w:p w14:paraId="1FA18B8B" w14:textId="77777777" w:rsidR="00132579" w:rsidRPr="008F4F6D" w:rsidRDefault="00EA6A99">
      <w:pPr>
        <w:rPr>
          <w:rFonts w:cs="Arial"/>
        </w:rPr>
      </w:pPr>
      <w:r w:rsidRPr="008F4F6D">
        <w:rPr>
          <w:rFonts w:cs="Arial"/>
        </w:rPr>
        <w:t xml:space="preserve">Changes in the political factors pose different threats for the pioneering companies within the Electric vehicles industry. As an example, the situation of </w:t>
      </w:r>
      <w:r w:rsidRPr="008F4F6D">
        <w:rPr>
          <w:rFonts w:cs="Arial"/>
          <w:b/>
          <w:i/>
        </w:rPr>
        <w:t>General Motors</w:t>
      </w:r>
      <w:r w:rsidRPr="008F4F6D">
        <w:rPr>
          <w:rFonts w:cs="Arial"/>
        </w:rPr>
        <w:t xml:space="preserve"> can be considered, and the organisation encountered a financial issue of $1.6 billion in response to the termination of the electric vehicle tax credits by the US government (Chapman, 2025). Moreover, the emission rules have been eased by the </w:t>
      </w:r>
      <w:r w:rsidRPr="008F4F6D">
        <w:rPr>
          <w:rFonts w:cs="Arial"/>
          <w:b/>
          <w:i/>
        </w:rPr>
        <w:t>Environmental Protection Agency</w:t>
      </w:r>
      <w:r w:rsidRPr="008F4F6D">
        <w:rPr>
          <w:rFonts w:cs="Arial"/>
        </w:rPr>
        <w:t xml:space="preserve"> during the administration of Trump, characterising a broader shift in policies. The shift also encompasses opposition to the EV charging infrastructure and the ban on gas vehicle sales (Wile, 2025). This has raised complications for General Motors, and sales decline has been observed compared to different rivals within the sector.</w:t>
      </w:r>
    </w:p>
    <w:p w14:paraId="6BAB9C7E" w14:textId="77777777" w:rsidR="00674CFD" w:rsidRDefault="00EA6A99" w:rsidP="00674CFD">
      <w:pPr>
        <w:keepNext/>
        <w:jc w:val="center"/>
      </w:pPr>
      <w:bookmarkStart w:id="29" w:name="_GoBack"/>
      <w:r w:rsidRPr="008F4F6D">
        <w:rPr>
          <w:rFonts w:cs="Arial"/>
          <w:noProof/>
          <w:lang w:val="en-US"/>
        </w:rPr>
        <w:drawing>
          <wp:inline distT="114300" distB="114300" distL="114300" distR="114300" wp14:anchorId="783EA079" wp14:editId="464AA5F2">
            <wp:extent cx="4183380" cy="2350528"/>
            <wp:effectExtent l="19050" t="19050" r="26670" b="12065"/>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4191259" cy="2354955"/>
                    </a:xfrm>
                    <a:prstGeom prst="rect">
                      <a:avLst/>
                    </a:prstGeom>
                    <a:ln w="25400">
                      <a:solidFill>
                        <a:srgbClr val="000000"/>
                      </a:solidFill>
                      <a:prstDash val="solid"/>
                    </a:ln>
                  </pic:spPr>
                </pic:pic>
              </a:graphicData>
            </a:graphic>
          </wp:inline>
        </w:drawing>
      </w:r>
      <w:bookmarkEnd w:id="29"/>
    </w:p>
    <w:p w14:paraId="13730600" w14:textId="40A20306" w:rsidR="00132579" w:rsidRPr="00674CFD" w:rsidRDefault="00674CFD" w:rsidP="00674CFD">
      <w:pPr>
        <w:pStyle w:val="Caption"/>
        <w:jc w:val="center"/>
        <w:rPr>
          <w:rFonts w:cs="Arial"/>
          <w:b/>
          <w:bCs/>
          <w:i w:val="0"/>
          <w:iCs w:val="0"/>
          <w:color w:val="000000" w:themeColor="text1"/>
          <w:sz w:val="24"/>
          <w:szCs w:val="24"/>
        </w:rPr>
      </w:pPr>
      <w:bookmarkStart w:id="30" w:name="_Toc212048579"/>
      <w:r w:rsidRPr="00674CFD">
        <w:rPr>
          <w:rFonts w:cs="Arial"/>
          <w:b/>
          <w:bCs/>
          <w:i w:val="0"/>
          <w:iCs w:val="0"/>
          <w:color w:val="000000" w:themeColor="text1"/>
          <w:sz w:val="24"/>
          <w:szCs w:val="24"/>
        </w:rPr>
        <w:t xml:space="preserve">Figure </w:t>
      </w:r>
      <w:r w:rsidRPr="00674CFD">
        <w:rPr>
          <w:rFonts w:cs="Arial"/>
          <w:b/>
          <w:bCs/>
          <w:i w:val="0"/>
          <w:iCs w:val="0"/>
          <w:color w:val="000000" w:themeColor="text1"/>
          <w:sz w:val="24"/>
          <w:szCs w:val="24"/>
        </w:rPr>
        <w:fldChar w:fldCharType="begin"/>
      </w:r>
      <w:r w:rsidRPr="00674CFD">
        <w:rPr>
          <w:rFonts w:cs="Arial"/>
          <w:b/>
          <w:bCs/>
          <w:i w:val="0"/>
          <w:iCs w:val="0"/>
          <w:color w:val="000000" w:themeColor="text1"/>
          <w:sz w:val="24"/>
          <w:szCs w:val="24"/>
        </w:rPr>
        <w:instrText xml:space="preserve"> SEQ Figure \* ARABIC </w:instrText>
      </w:r>
      <w:r w:rsidRPr="00674CFD">
        <w:rPr>
          <w:rFonts w:cs="Arial"/>
          <w:b/>
          <w:bCs/>
          <w:i w:val="0"/>
          <w:iCs w:val="0"/>
          <w:color w:val="000000" w:themeColor="text1"/>
          <w:sz w:val="24"/>
          <w:szCs w:val="24"/>
        </w:rPr>
        <w:fldChar w:fldCharType="separate"/>
      </w:r>
      <w:r>
        <w:rPr>
          <w:rFonts w:cs="Arial"/>
          <w:b/>
          <w:bCs/>
          <w:i w:val="0"/>
          <w:iCs w:val="0"/>
          <w:noProof/>
          <w:color w:val="000000" w:themeColor="text1"/>
          <w:sz w:val="24"/>
          <w:szCs w:val="24"/>
        </w:rPr>
        <w:t>6</w:t>
      </w:r>
      <w:r w:rsidRPr="00674CFD">
        <w:rPr>
          <w:rFonts w:cs="Arial"/>
          <w:b/>
          <w:bCs/>
          <w:i w:val="0"/>
          <w:iCs w:val="0"/>
          <w:color w:val="000000" w:themeColor="text1"/>
          <w:sz w:val="24"/>
          <w:szCs w:val="24"/>
        </w:rPr>
        <w:fldChar w:fldCharType="end"/>
      </w:r>
      <w:r w:rsidRPr="00674CFD">
        <w:rPr>
          <w:rFonts w:cs="Arial"/>
          <w:b/>
          <w:bCs/>
          <w:i w:val="0"/>
          <w:iCs w:val="0"/>
          <w:color w:val="000000" w:themeColor="text1"/>
          <w:sz w:val="24"/>
          <w:szCs w:val="24"/>
        </w:rPr>
        <w:t>: Threats faced by General Motors</w:t>
      </w:r>
      <w:bookmarkEnd w:id="30"/>
    </w:p>
    <w:p w14:paraId="7E7E7ACC" w14:textId="77777777" w:rsidR="00132579" w:rsidRPr="008F4F6D" w:rsidRDefault="00EA6A99">
      <w:pPr>
        <w:jc w:val="center"/>
        <w:rPr>
          <w:rFonts w:cs="Arial"/>
        </w:rPr>
      </w:pPr>
      <w:r w:rsidRPr="008F4F6D">
        <w:rPr>
          <w:rFonts w:cs="Arial"/>
        </w:rPr>
        <w:t>(Source: Wile, 2025)</w:t>
      </w:r>
    </w:p>
    <w:p w14:paraId="5539D3D4" w14:textId="77777777" w:rsidR="00132579" w:rsidRPr="008F4F6D" w:rsidRDefault="00EA6A99">
      <w:pPr>
        <w:pStyle w:val="Heading2"/>
        <w:rPr>
          <w:rFonts w:cs="Arial"/>
        </w:rPr>
      </w:pPr>
      <w:bookmarkStart w:id="31" w:name="_d6q35plirkuz" w:colFirst="0" w:colLast="0"/>
      <w:bookmarkStart w:id="32" w:name="_Toc212056503"/>
      <w:bookmarkEnd w:id="31"/>
      <w:r w:rsidRPr="008F4F6D">
        <w:rPr>
          <w:rFonts w:cs="Arial"/>
        </w:rPr>
        <w:lastRenderedPageBreak/>
        <w:t>4.4 Opportunities for Followers</w:t>
      </w:r>
      <w:bookmarkEnd w:id="32"/>
    </w:p>
    <w:p w14:paraId="26803F43" w14:textId="77777777" w:rsidR="00132579" w:rsidRPr="008F4F6D" w:rsidRDefault="00EA6A99">
      <w:pPr>
        <w:rPr>
          <w:rFonts w:cs="Arial"/>
        </w:rPr>
      </w:pPr>
      <w:r w:rsidRPr="008F4F6D">
        <w:rPr>
          <w:rFonts w:cs="Arial"/>
        </w:rPr>
        <w:t xml:space="preserve">Changes in political aspects can generate a significant opportunity for the follower companies within the Electric Vehicle industry. As an example, the aspect of </w:t>
      </w:r>
      <w:r w:rsidRPr="008F4F6D">
        <w:rPr>
          <w:rFonts w:cs="Arial"/>
          <w:b/>
          <w:i/>
        </w:rPr>
        <w:t>Ford</w:t>
      </w:r>
      <w:r w:rsidRPr="008F4F6D">
        <w:rPr>
          <w:rFonts w:cs="Arial"/>
        </w:rPr>
        <w:t xml:space="preserve"> can be identified, which is returning market entry to India because of the favourable political landscape in the country (Economic Times, 2024). The Government of India’s inclination towards electric mobility, encompassing infrastructure development, is corroborated for with the plan of </w:t>
      </w:r>
      <w:r w:rsidRPr="008F4F6D">
        <w:rPr>
          <w:rFonts w:cs="Arial"/>
          <w:b/>
          <w:i/>
        </w:rPr>
        <w:t>Ford</w:t>
      </w:r>
      <w:r w:rsidRPr="008F4F6D">
        <w:rPr>
          <w:rFonts w:cs="Arial"/>
        </w:rPr>
        <w:t xml:space="preserve"> to resume their business successfully (Economic Times, 2024). </w:t>
      </w:r>
    </w:p>
    <w:p w14:paraId="2107BF9D" w14:textId="77777777" w:rsidR="00132579" w:rsidRPr="008F4F6D" w:rsidRDefault="00EA6A99">
      <w:pPr>
        <w:pStyle w:val="Heading2"/>
        <w:rPr>
          <w:rFonts w:cs="Arial"/>
        </w:rPr>
      </w:pPr>
      <w:bookmarkStart w:id="33" w:name="_z0mq7hsvi3pz" w:colFirst="0" w:colLast="0"/>
      <w:bookmarkStart w:id="34" w:name="_Toc212056504"/>
      <w:bookmarkEnd w:id="33"/>
      <w:r w:rsidRPr="008F4F6D">
        <w:rPr>
          <w:rFonts w:cs="Arial"/>
        </w:rPr>
        <w:t>4.5 Threats for Followers</w:t>
      </w:r>
      <w:bookmarkEnd w:id="34"/>
    </w:p>
    <w:p w14:paraId="414EAE72" w14:textId="7802CD09" w:rsidR="00132579" w:rsidRPr="008F4F6D" w:rsidRDefault="00EA6A99">
      <w:pPr>
        <w:rPr>
          <w:rFonts w:cs="Arial"/>
        </w:rPr>
      </w:pPr>
      <w:r w:rsidRPr="008F4F6D">
        <w:rPr>
          <w:rFonts w:cs="Arial"/>
        </w:rPr>
        <w:t>Modifications in the political factors can develop threats for the follower companies within the EV industry. As an example, changes in the policies of the government on subsidies, import tariffs and emission regulations may have a disproportionate impact on followers of cheaper production or later entry into the market (Auto</w:t>
      </w:r>
      <w:r w:rsidR="00C7449A">
        <w:rPr>
          <w:rFonts w:cs="Arial"/>
        </w:rPr>
        <w:t xml:space="preserve"> </w:t>
      </w:r>
      <w:r w:rsidRPr="008F4F6D">
        <w:rPr>
          <w:rFonts w:cs="Arial"/>
        </w:rPr>
        <w:t>Pacific, 2024). An abrupt decline or discontinuation of EV incentives in major markets, including the United States or Europe, may create high costs of production and lower demand by consumers, which may not allow follower companies such as</w:t>
      </w:r>
      <w:r w:rsidRPr="008F4F6D">
        <w:rPr>
          <w:rFonts w:cs="Arial"/>
          <w:b/>
          <w:i/>
        </w:rPr>
        <w:t xml:space="preserve"> Lucid Motors</w:t>
      </w:r>
      <w:r w:rsidRPr="008F4F6D">
        <w:rPr>
          <w:rFonts w:cs="Arial"/>
        </w:rPr>
        <w:t xml:space="preserve"> or </w:t>
      </w:r>
      <w:r w:rsidRPr="008F4F6D">
        <w:rPr>
          <w:rFonts w:cs="Arial"/>
          <w:b/>
          <w:i/>
        </w:rPr>
        <w:t>Fisker Inc.</w:t>
      </w:r>
      <w:r w:rsidRPr="008F4F6D">
        <w:rPr>
          <w:rFonts w:cs="Arial"/>
        </w:rPr>
        <w:t xml:space="preserve"> to compete successfully (Auto</w:t>
      </w:r>
      <w:r w:rsidR="00C9281D">
        <w:rPr>
          <w:rFonts w:cs="Arial"/>
        </w:rPr>
        <w:t xml:space="preserve"> </w:t>
      </w:r>
      <w:r w:rsidRPr="008F4F6D">
        <w:rPr>
          <w:rFonts w:cs="Arial"/>
        </w:rPr>
        <w:t>Pacific, 2024). Moreover, there will be protectionist measures which give preference to the domestic pioneers and restrict the market accessibility and expansion of the followers.</w:t>
      </w:r>
    </w:p>
    <w:p w14:paraId="02871F0A" w14:textId="77777777" w:rsidR="00132579" w:rsidRPr="008F4F6D" w:rsidRDefault="00EA6A99">
      <w:pPr>
        <w:pStyle w:val="Heading1"/>
        <w:rPr>
          <w:rFonts w:cs="Arial"/>
        </w:rPr>
      </w:pPr>
      <w:bookmarkStart w:id="35" w:name="_e2u6h3guv362" w:colFirst="0" w:colLast="0"/>
      <w:bookmarkStart w:id="36" w:name="_Toc212056505"/>
      <w:bookmarkEnd w:id="35"/>
      <w:r w:rsidRPr="008F4F6D">
        <w:rPr>
          <w:rFonts w:cs="Arial"/>
        </w:rPr>
        <w:t>5.0 Evaluation of Strategic Response to the External Factors 1000</w:t>
      </w:r>
      <w:bookmarkEnd w:id="36"/>
    </w:p>
    <w:p w14:paraId="14BE6B06" w14:textId="77777777" w:rsidR="00132579" w:rsidRPr="008F4F6D" w:rsidRDefault="00EA6A99">
      <w:pPr>
        <w:pStyle w:val="Heading2"/>
        <w:rPr>
          <w:rFonts w:cs="Arial"/>
        </w:rPr>
      </w:pPr>
      <w:bookmarkStart w:id="37" w:name="_inf9hsqdu108" w:colFirst="0" w:colLast="0"/>
      <w:bookmarkStart w:id="38" w:name="_Toc212056506"/>
      <w:bookmarkEnd w:id="37"/>
      <w:r w:rsidRPr="008F4F6D">
        <w:rPr>
          <w:rFonts w:cs="Arial"/>
        </w:rPr>
        <w:t>5.1 Identification of Response to the Technological Aspects</w:t>
      </w:r>
      <w:bookmarkEnd w:id="38"/>
    </w:p>
    <w:p w14:paraId="681C74FC" w14:textId="77777777" w:rsidR="00132579" w:rsidRPr="008F4F6D" w:rsidRDefault="00EA6A99">
      <w:pPr>
        <w:rPr>
          <w:rFonts w:cs="Arial"/>
        </w:rPr>
      </w:pPr>
      <w:r w:rsidRPr="008F4F6D">
        <w:rPr>
          <w:rFonts w:cs="Arial"/>
        </w:rPr>
        <w:t xml:space="preserve">Electric vehicle industry pioneer and follower organisations are strategic in responding to technological aspects to stay competitive. </w:t>
      </w:r>
      <w:r w:rsidRPr="008F4F6D">
        <w:rPr>
          <w:rFonts w:cs="Arial"/>
          <w:b/>
          <w:i/>
        </w:rPr>
        <w:t>Pioneers</w:t>
      </w:r>
      <w:r w:rsidRPr="008F4F6D">
        <w:rPr>
          <w:rFonts w:cs="Arial"/>
        </w:rPr>
        <w:t xml:space="preserve"> such as </w:t>
      </w:r>
      <w:r w:rsidRPr="008F4F6D">
        <w:rPr>
          <w:rFonts w:cs="Arial"/>
          <w:b/>
          <w:i/>
        </w:rPr>
        <w:t>Nissan</w:t>
      </w:r>
      <w:r w:rsidRPr="008F4F6D">
        <w:rPr>
          <w:rFonts w:cs="Arial"/>
        </w:rPr>
        <w:t xml:space="preserve"> use innovation to create a note of difference, and </w:t>
      </w:r>
      <w:r w:rsidRPr="008F4F6D">
        <w:rPr>
          <w:rFonts w:cs="Arial"/>
          <w:b/>
          <w:i/>
        </w:rPr>
        <w:t>followers</w:t>
      </w:r>
      <w:r w:rsidRPr="008F4F6D">
        <w:rPr>
          <w:rFonts w:cs="Arial"/>
        </w:rPr>
        <w:t xml:space="preserve"> are using the new technologies to improve their products.</w:t>
      </w:r>
    </w:p>
    <w:p w14:paraId="26C0D40B" w14:textId="77777777" w:rsidR="00132579" w:rsidRPr="008F4F6D" w:rsidRDefault="00EA6A99">
      <w:pPr>
        <w:rPr>
          <w:rFonts w:cs="Arial"/>
        </w:rPr>
      </w:pPr>
      <w:r w:rsidRPr="008F4F6D">
        <w:rPr>
          <w:rFonts w:cs="Arial"/>
          <w:b/>
          <w:i/>
        </w:rPr>
        <w:t>Nissan</w:t>
      </w:r>
      <w:r w:rsidRPr="008F4F6D">
        <w:rPr>
          <w:rFonts w:cs="Arial"/>
        </w:rPr>
        <w:t xml:space="preserve">, as an early developer of EVs, has been leading the way in incorporating the use of advanced technology in its vehicles. In 2025, Nissan released the </w:t>
      </w:r>
      <w:r w:rsidRPr="008F4F6D">
        <w:rPr>
          <w:rFonts w:cs="Arial"/>
          <w:b/>
          <w:i/>
        </w:rPr>
        <w:t>second-generation</w:t>
      </w:r>
      <w:r w:rsidRPr="008F4F6D">
        <w:rPr>
          <w:rFonts w:cs="Arial"/>
        </w:rPr>
        <w:t xml:space="preserve"> </w:t>
      </w:r>
      <w:r w:rsidRPr="008F4F6D">
        <w:rPr>
          <w:rFonts w:cs="Arial"/>
          <w:b/>
          <w:i/>
        </w:rPr>
        <w:t>Leaf</w:t>
      </w:r>
      <w:r w:rsidRPr="008F4F6D">
        <w:rPr>
          <w:rFonts w:cs="Arial"/>
        </w:rPr>
        <w:t xml:space="preserve">, which has a greater range and allows quicker charging (Nissan, 2025b). The car has high driver-assistance technology, including </w:t>
      </w:r>
      <w:r w:rsidRPr="008F4F6D">
        <w:rPr>
          <w:rFonts w:cs="Arial"/>
          <w:b/>
          <w:i/>
        </w:rPr>
        <w:t>Level 3 technology</w:t>
      </w:r>
      <w:r w:rsidRPr="008F4F6D">
        <w:rPr>
          <w:rFonts w:cs="Arial"/>
        </w:rPr>
        <w:t xml:space="preserve"> of autonomous driving, which makes Nissan an EV technology leader. Moreover, the e-Power hybrid technology that is utilised by Nissan to stay pertinent, in which the </w:t>
      </w:r>
      <w:r w:rsidRPr="008F4F6D">
        <w:rPr>
          <w:rFonts w:cs="Arial"/>
        </w:rPr>
        <w:lastRenderedPageBreak/>
        <w:t>electric motor is powered by a gasoline engine to produce electricity, helps to deliver a modern and advanced driving experience and has the side effect of increasing the range of the vehicle (Kageyama, 2025).</w:t>
      </w:r>
    </w:p>
    <w:p w14:paraId="4E93846F" w14:textId="77777777" w:rsidR="00132579" w:rsidRPr="008F4F6D" w:rsidRDefault="00EA6A99">
      <w:pPr>
        <w:rPr>
          <w:rFonts w:cs="Arial"/>
        </w:rPr>
      </w:pPr>
      <w:r w:rsidRPr="008F4F6D">
        <w:rPr>
          <w:rFonts w:cs="Arial"/>
        </w:rPr>
        <w:t xml:space="preserve">However, Nissan has issues with the developing market of EVs. Nissan has announced its plan to stop selling the </w:t>
      </w:r>
      <w:r w:rsidRPr="008F4F6D">
        <w:rPr>
          <w:rFonts w:cs="Arial"/>
          <w:b/>
          <w:i/>
        </w:rPr>
        <w:t>Ariya electric SUV</w:t>
      </w:r>
      <w:r w:rsidRPr="008F4F6D">
        <w:rPr>
          <w:rFonts w:cs="Arial"/>
        </w:rPr>
        <w:t xml:space="preserve"> in the U.S. market since the year 2026, based on the dropping sales trend and trade tariffs (Fitzgerald, 2025). Such a strategic change will permit Nissan to redistribute resources, prioritise cheaper EV cars, and emphasise </w:t>
      </w:r>
      <w:r w:rsidRPr="008F4F6D">
        <w:rPr>
          <w:rFonts w:cs="Arial"/>
          <w:b/>
          <w:i/>
        </w:rPr>
        <w:t xml:space="preserve">“vehicle-to-Grid technology” </w:t>
      </w:r>
      <w:r w:rsidRPr="008F4F6D">
        <w:rPr>
          <w:rFonts w:cs="Arial"/>
        </w:rPr>
        <w:t>for a sustained competitive edge from 2026 (Nissan, 2025a).</w:t>
      </w:r>
    </w:p>
    <w:p w14:paraId="6C6792E2" w14:textId="77777777" w:rsidR="00674CFD" w:rsidRDefault="00EA6A99" w:rsidP="00674CFD">
      <w:pPr>
        <w:keepNext/>
        <w:jc w:val="center"/>
      </w:pPr>
      <w:r w:rsidRPr="008F4F6D">
        <w:rPr>
          <w:rFonts w:cs="Arial"/>
          <w:noProof/>
          <w:lang w:val="en-US"/>
        </w:rPr>
        <w:drawing>
          <wp:inline distT="114300" distB="114300" distL="114300" distR="114300" wp14:anchorId="1794E945" wp14:editId="46C5C2F3">
            <wp:extent cx="5176838" cy="2687973"/>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176838" cy="2687973"/>
                    </a:xfrm>
                    <a:prstGeom prst="rect">
                      <a:avLst/>
                    </a:prstGeom>
                    <a:ln w="25400">
                      <a:solidFill>
                        <a:srgbClr val="000000"/>
                      </a:solidFill>
                      <a:prstDash val="solid"/>
                    </a:ln>
                  </pic:spPr>
                </pic:pic>
              </a:graphicData>
            </a:graphic>
          </wp:inline>
        </w:drawing>
      </w:r>
    </w:p>
    <w:p w14:paraId="0C4C7962" w14:textId="23D58F1B" w:rsidR="00132579" w:rsidRPr="00674CFD" w:rsidRDefault="00674CFD" w:rsidP="00674CFD">
      <w:pPr>
        <w:pStyle w:val="Caption"/>
        <w:jc w:val="center"/>
        <w:rPr>
          <w:rFonts w:cs="Arial"/>
          <w:b/>
          <w:bCs/>
          <w:i w:val="0"/>
          <w:iCs w:val="0"/>
          <w:color w:val="000000" w:themeColor="text1"/>
          <w:sz w:val="24"/>
          <w:szCs w:val="24"/>
        </w:rPr>
      </w:pPr>
      <w:bookmarkStart w:id="39" w:name="_Toc212048580"/>
      <w:r w:rsidRPr="00674CFD">
        <w:rPr>
          <w:rFonts w:cs="Arial"/>
          <w:b/>
          <w:bCs/>
          <w:i w:val="0"/>
          <w:iCs w:val="0"/>
          <w:color w:val="000000" w:themeColor="text1"/>
          <w:sz w:val="24"/>
          <w:szCs w:val="24"/>
        </w:rPr>
        <w:t xml:space="preserve">Figure </w:t>
      </w:r>
      <w:r w:rsidRPr="00674CFD">
        <w:rPr>
          <w:rFonts w:cs="Arial"/>
          <w:b/>
          <w:bCs/>
          <w:i w:val="0"/>
          <w:iCs w:val="0"/>
          <w:color w:val="000000" w:themeColor="text1"/>
          <w:sz w:val="24"/>
          <w:szCs w:val="24"/>
        </w:rPr>
        <w:fldChar w:fldCharType="begin"/>
      </w:r>
      <w:r w:rsidRPr="00674CFD">
        <w:rPr>
          <w:rFonts w:cs="Arial"/>
          <w:b/>
          <w:bCs/>
          <w:i w:val="0"/>
          <w:iCs w:val="0"/>
          <w:color w:val="000000" w:themeColor="text1"/>
          <w:sz w:val="24"/>
          <w:szCs w:val="24"/>
        </w:rPr>
        <w:instrText xml:space="preserve"> SEQ Figure \* ARABIC </w:instrText>
      </w:r>
      <w:r w:rsidRPr="00674CFD">
        <w:rPr>
          <w:rFonts w:cs="Arial"/>
          <w:b/>
          <w:bCs/>
          <w:i w:val="0"/>
          <w:iCs w:val="0"/>
          <w:color w:val="000000" w:themeColor="text1"/>
          <w:sz w:val="24"/>
          <w:szCs w:val="24"/>
        </w:rPr>
        <w:fldChar w:fldCharType="separate"/>
      </w:r>
      <w:r w:rsidRPr="00674CFD">
        <w:rPr>
          <w:rFonts w:cs="Arial"/>
          <w:b/>
          <w:bCs/>
          <w:i w:val="0"/>
          <w:iCs w:val="0"/>
          <w:noProof/>
          <w:color w:val="000000" w:themeColor="text1"/>
          <w:sz w:val="24"/>
          <w:szCs w:val="24"/>
        </w:rPr>
        <w:t>7</w:t>
      </w:r>
      <w:r w:rsidRPr="00674CFD">
        <w:rPr>
          <w:rFonts w:cs="Arial"/>
          <w:b/>
          <w:bCs/>
          <w:i w:val="0"/>
          <w:iCs w:val="0"/>
          <w:color w:val="000000" w:themeColor="text1"/>
          <w:sz w:val="24"/>
          <w:szCs w:val="24"/>
        </w:rPr>
        <w:fldChar w:fldCharType="end"/>
      </w:r>
      <w:r w:rsidRPr="00674CFD">
        <w:rPr>
          <w:rFonts w:cs="Arial"/>
          <w:b/>
          <w:bCs/>
          <w:i w:val="0"/>
          <w:iCs w:val="0"/>
          <w:color w:val="000000" w:themeColor="text1"/>
          <w:sz w:val="24"/>
          <w:szCs w:val="24"/>
        </w:rPr>
        <w:t>:</w:t>
      </w:r>
      <w:r>
        <w:rPr>
          <w:rFonts w:cs="Arial"/>
          <w:b/>
          <w:bCs/>
          <w:i w:val="0"/>
          <w:iCs w:val="0"/>
          <w:color w:val="000000" w:themeColor="text1"/>
          <w:sz w:val="24"/>
          <w:szCs w:val="24"/>
        </w:rPr>
        <w:t xml:space="preserve"> </w:t>
      </w:r>
      <w:r w:rsidRPr="00674CFD">
        <w:rPr>
          <w:rFonts w:cs="Arial"/>
          <w:b/>
          <w:bCs/>
          <w:i w:val="0"/>
          <w:iCs w:val="0"/>
          <w:color w:val="000000" w:themeColor="text1"/>
          <w:sz w:val="24"/>
          <w:szCs w:val="24"/>
        </w:rPr>
        <w:t>Vehicle-to-Grid technology of Nissan</w:t>
      </w:r>
      <w:bookmarkEnd w:id="39"/>
    </w:p>
    <w:p w14:paraId="69D28066" w14:textId="77777777" w:rsidR="00132579" w:rsidRPr="008F4F6D" w:rsidRDefault="00EA6A99">
      <w:pPr>
        <w:jc w:val="center"/>
        <w:rPr>
          <w:rFonts w:cs="Arial"/>
        </w:rPr>
      </w:pPr>
      <w:r w:rsidRPr="008F4F6D">
        <w:rPr>
          <w:rFonts w:cs="Arial"/>
        </w:rPr>
        <w:t>(Source: Nissan, 2025a)</w:t>
      </w:r>
    </w:p>
    <w:p w14:paraId="4B94C55C" w14:textId="4AEA8AAF" w:rsidR="00132579" w:rsidRPr="008F4F6D" w:rsidRDefault="00EA6A99">
      <w:pPr>
        <w:rPr>
          <w:rFonts w:cs="Arial"/>
        </w:rPr>
      </w:pPr>
      <w:r w:rsidRPr="008F4F6D">
        <w:rPr>
          <w:rFonts w:cs="Arial"/>
          <w:b/>
          <w:i/>
        </w:rPr>
        <w:t>Li Auto</w:t>
      </w:r>
      <w:r w:rsidRPr="008F4F6D">
        <w:rPr>
          <w:rFonts w:cs="Arial"/>
        </w:rPr>
        <w:t xml:space="preserve"> is a low-tech company in the EV industry that has become a follower of innovative technologies to improve its products. </w:t>
      </w:r>
      <w:r w:rsidRPr="008F4F6D">
        <w:rPr>
          <w:rFonts w:cs="Arial"/>
          <w:b/>
          <w:i/>
        </w:rPr>
        <w:t>Li Auto</w:t>
      </w:r>
      <w:r w:rsidRPr="008F4F6D">
        <w:rPr>
          <w:rFonts w:cs="Arial"/>
        </w:rPr>
        <w:t xml:space="preserve"> has launched two fully electric SUVs, the i6 and i8, in 2025 in a bid to increase its electric vehicles and serve a wider audience (Global</w:t>
      </w:r>
      <w:r w:rsidR="00FD48B4">
        <w:rPr>
          <w:rFonts w:cs="Arial"/>
        </w:rPr>
        <w:t xml:space="preserve"> C</w:t>
      </w:r>
      <w:r w:rsidRPr="008F4F6D">
        <w:rPr>
          <w:rFonts w:cs="Arial"/>
        </w:rPr>
        <w:t>hina</w:t>
      </w:r>
      <w:r w:rsidR="00FD48B4">
        <w:rPr>
          <w:rFonts w:cs="Arial"/>
        </w:rPr>
        <w:t xml:space="preserve"> EV</w:t>
      </w:r>
      <w:r w:rsidRPr="008F4F6D">
        <w:rPr>
          <w:rFonts w:cs="Arial"/>
        </w:rPr>
        <w:t xml:space="preserve">, 2025). Another way in which the company is concentrating is on focusing on </w:t>
      </w:r>
      <w:r w:rsidRPr="008F4F6D">
        <w:rPr>
          <w:rFonts w:cs="Arial"/>
          <w:b/>
          <w:i/>
        </w:rPr>
        <w:t>Level 3 autonomous driving</w:t>
      </w:r>
      <w:r w:rsidRPr="008F4F6D">
        <w:rPr>
          <w:rFonts w:cs="Arial"/>
        </w:rPr>
        <w:t xml:space="preserve"> tech-enabled vehicles, which would further improve the safety and convenience of its vehicles (Gasgoo, 2024).</w:t>
      </w:r>
    </w:p>
    <w:p w14:paraId="25644160" w14:textId="03CE22A7" w:rsidR="00132579" w:rsidRPr="008F4F6D" w:rsidRDefault="00EA6A99">
      <w:pPr>
        <w:rPr>
          <w:rFonts w:cs="Arial"/>
        </w:rPr>
      </w:pPr>
      <w:r w:rsidRPr="008F4F6D">
        <w:rPr>
          <w:rFonts w:cs="Arial"/>
        </w:rPr>
        <w:t xml:space="preserve">The strategic position of </w:t>
      </w:r>
      <w:r w:rsidRPr="008F4F6D">
        <w:rPr>
          <w:rFonts w:cs="Arial"/>
          <w:b/>
          <w:i/>
        </w:rPr>
        <w:t>Li Auto</w:t>
      </w:r>
      <w:r w:rsidRPr="008F4F6D">
        <w:rPr>
          <w:rFonts w:cs="Arial"/>
        </w:rPr>
        <w:t xml:space="preserve"> is to explore the available technologies to enhance its vehicles without necessarily spending a lot of money on research and development, as it would cost them in-house (Business</w:t>
      </w:r>
      <w:r w:rsidR="00D33D7E">
        <w:rPr>
          <w:rFonts w:cs="Arial"/>
        </w:rPr>
        <w:t xml:space="preserve"> W</w:t>
      </w:r>
      <w:r w:rsidRPr="008F4F6D">
        <w:rPr>
          <w:rFonts w:cs="Arial"/>
        </w:rPr>
        <w:t xml:space="preserve">ire, 2025). </w:t>
      </w:r>
      <w:r w:rsidRPr="008F4F6D">
        <w:rPr>
          <w:rFonts w:cs="Arial"/>
          <w:b/>
          <w:i/>
        </w:rPr>
        <w:t xml:space="preserve">Li Auto </w:t>
      </w:r>
      <w:r w:rsidRPr="008F4F6D">
        <w:rPr>
          <w:rFonts w:cs="Arial"/>
        </w:rPr>
        <w:t xml:space="preserve">has a chance to </w:t>
      </w:r>
      <w:r w:rsidRPr="008F4F6D">
        <w:rPr>
          <w:rFonts w:cs="Arial"/>
        </w:rPr>
        <w:lastRenderedPageBreak/>
        <w:t>compete in the trend of the EV market by successfully entering and adopting established technologies, focusing on user comfort, and satisfying the rising demand of EVs.</w:t>
      </w:r>
    </w:p>
    <w:p w14:paraId="122CC962" w14:textId="77777777" w:rsidR="00132579" w:rsidRPr="008F4F6D" w:rsidRDefault="00EA6A99">
      <w:pPr>
        <w:rPr>
          <w:rFonts w:cs="Arial"/>
        </w:rPr>
      </w:pPr>
      <w:r w:rsidRPr="008F4F6D">
        <w:rPr>
          <w:rFonts w:cs="Arial"/>
        </w:rPr>
        <w:t>Therefore, pioneering and follower organisations within the EV industry respond to technological factors in a strategic manner to be competitive. The innovators, like Nissan, invest in new productive technologies to make their products take a different shape, whereas the followers, such as Li Auto, implement the innovative solutions to develop their products and compete successfully in the market.</w:t>
      </w:r>
    </w:p>
    <w:p w14:paraId="5B366F58" w14:textId="77777777" w:rsidR="00132579" w:rsidRPr="008F4F6D" w:rsidRDefault="00EA6A99">
      <w:pPr>
        <w:pStyle w:val="Heading2"/>
        <w:rPr>
          <w:rFonts w:cs="Arial"/>
        </w:rPr>
      </w:pPr>
      <w:bookmarkStart w:id="40" w:name="_g2o9jy2y8l8t" w:colFirst="0" w:colLast="0"/>
      <w:bookmarkStart w:id="41" w:name="_Toc212056507"/>
      <w:bookmarkEnd w:id="40"/>
      <w:r w:rsidRPr="008F4F6D">
        <w:rPr>
          <w:rFonts w:cs="Arial"/>
        </w:rPr>
        <w:t>5.2 Identification of Response to the Political Aspects</w:t>
      </w:r>
      <w:bookmarkEnd w:id="41"/>
    </w:p>
    <w:p w14:paraId="525A6C64" w14:textId="77777777" w:rsidR="00132579" w:rsidRPr="008F4F6D" w:rsidRDefault="00EA6A99">
      <w:pPr>
        <w:rPr>
          <w:rFonts w:cs="Arial"/>
        </w:rPr>
      </w:pPr>
      <w:r w:rsidRPr="008F4F6D">
        <w:rPr>
          <w:rFonts w:cs="Arial"/>
        </w:rPr>
        <w:t xml:space="preserve">The political factors play a great role in the strategic decision-making of both the </w:t>
      </w:r>
      <w:r w:rsidRPr="008F4F6D">
        <w:rPr>
          <w:rFonts w:cs="Arial"/>
          <w:b/>
          <w:i/>
        </w:rPr>
        <w:t>pioneer</w:t>
      </w:r>
      <w:r w:rsidRPr="008F4F6D">
        <w:rPr>
          <w:rFonts w:cs="Arial"/>
        </w:rPr>
        <w:t xml:space="preserve"> and the </w:t>
      </w:r>
      <w:r w:rsidRPr="008F4F6D">
        <w:rPr>
          <w:rFonts w:cs="Arial"/>
          <w:b/>
          <w:i/>
        </w:rPr>
        <w:t>follower</w:t>
      </w:r>
      <w:r w:rsidRPr="008F4F6D">
        <w:rPr>
          <w:rFonts w:cs="Arial"/>
        </w:rPr>
        <w:t xml:space="preserve"> companies in the </w:t>
      </w:r>
      <w:r w:rsidRPr="008F4F6D">
        <w:rPr>
          <w:rFonts w:cs="Arial"/>
          <w:b/>
          <w:i/>
        </w:rPr>
        <w:t>Electric Vehicle</w:t>
      </w:r>
      <w:r w:rsidRPr="008F4F6D">
        <w:rPr>
          <w:rFonts w:cs="Arial"/>
        </w:rPr>
        <w:t xml:space="preserve"> industry since government policies directly affect the production costs, the provision of markets and consumer incentives. </w:t>
      </w:r>
    </w:p>
    <w:p w14:paraId="71FD27F8" w14:textId="77777777" w:rsidR="00132579" w:rsidRPr="008F4F6D" w:rsidRDefault="00EA6A99">
      <w:pPr>
        <w:rPr>
          <w:rFonts w:cs="Arial"/>
        </w:rPr>
      </w:pPr>
      <w:r w:rsidRPr="008F4F6D">
        <w:rPr>
          <w:rFonts w:cs="Arial"/>
        </w:rPr>
        <w:t xml:space="preserve">Pioneering organisations like </w:t>
      </w:r>
      <w:r w:rsidRPr="008F4F6D">
        <w:rPr>
          <w:rFonts w:cs="Arial"/>
          <w:b/>
          <w:i/>
        </w:rPr>
        <w:t>Toyota</w:t>
      </w:r>
      <w:r w:rsidRPr="008F4F6D">
        <w:rPr>
          <w:rFonts w:cs="Arial"/>
        </w:rPr>
        <w:t xml:space="preserve"> position themselves in strategic manner to their operations in relation to favourable political environments to ensure that they are competitive. An example is the case of </w:t>
      </w:r>
      <w:r w:rsidRPr="008F4F6D">
        <w:rPr>
          <w:rFonts w:cs="Arial"/>
          <w:b/>
          <w:i/>
        </w:rPr>
        <w:t>Toyota,</w:t>
      </w:r>
      <w:r w:rsidRPr="008F4F6D">
        <w:rPr>
          <w:rFonts w:cs="Arial"/>
        </w:rPr>
        <w:t xml:space="preserve"> which has made an active investment in EV and hybrid technology, expecting policy decarbonisation on the global level (Ochoa, 2024). Government grants and subsidies, including those for zero-emission vehicles, have also been used by the company to increase the number of its EV production facilities in Europe, and it has been using strategic partnerships with its battery suppliers to gain advantages in the supply chain. Moreover, </w:t>
      </w:r>
      <w:r w:rsidRPr="008F4F6D">
        <w:rPr>
          <w:rFonts w:cs="Arial"/>
          <w:b/>
          <w:i/>
        </w:rPr>
        <w:t>Toyota</w:t>
      </w:r>
      <w:r w:rsidRPr="008F4F6D">
        <w:rPr>
          <w:rFonts w:cs="Arial"/>
        </w:rPr>
        <w:t xml:space="preserve"> also participates in lobbying and advocating for policies that would facilitate enabling regulatory environments so that there is always be availability of incentives, charging stations, and emission credits (Robinson, 2024). Distributing its manufacturing capacity to politically sound countries with leading EV policies would also help </w:t>
      </w:r>
      <w:r w:rsidRPr="008F4F6D">
        <w:rPr>
          <w:rFonts w:cs="Arial"/>
          <w:b/>
          <w:i/>
        </w:rPr>
        <w:t>Toyota</w:t>
      </w:r>
      <w:r w:rsidRPr="008F4F6D">
        <w:rPr>
          <w:rFonts w:cs="Arial"/>
        </w:rPr>
        <w:t xml:space="preserve"> to reduce the risk of policy changes, including the extension of tax credits in the U.S., which would help achieve stability in demand and dominate the market even in the face of political undoing.</w:t>
      </w:r>
    </w:p>
    <w:p w14:paraId="17F347A9" w14:textId="46EA402A" w:rsidR="00132579" w:rsidRPr="008F4F6D" w:rsidRDefault="00EA6A99">
      <w:pPr>
        <w:rPr>
          <w:rFonts w:cs="Arial"/>
        </w:rPr>
      </w:pPr>
      <w:r w:rsidRPr="008F4F6D">
        <w:rPr>
          <w:rFonts w:cs="Arial"/>
        </w:rPr>
        <w:t xml:space="preserve">In contrast to that, the follower companies, such as </w:t>
      </w:r>
      <w:r w:rsidRPr="008F4F6D">
        <w:rPr>
          <w:rFonts w:cs="Arial"/>
          <w:b/>
          <w:i/>
        </w:rPr>
        <w:t>Wuling</w:t>
      </w:r>
      <w:r w:rsidRPr="008F4F6D">
        <w:rPr>
          <w:rFonts w:cs="Arial"/>
        </w:rPr>
        <w:t xml:space="preserve">, which in most cases are late entrants to the market and create cheaper passenger vehicles, have a different collection of strategic issues. Their entry to the market and survival in the market are greatly influenced by political factors, including subsidies, tariffs on imports, and EV </w:t>
      </w:r>
      <w:r w:rsidRPr="008F4F6D">
        <w:rPr>
          <w:rFonts w:cs="Arial"/>
        </w:rPr>
        <w:lastRenderedPageBreak/>
        <w:t>requirements (Vietnam</w:t>
      </w:r>
      <w:r w:rsidR="000935BD">
        <w:rPr>
          <w:rFonts w:cs="Arial"/>
        </w:rPr>
        <w:t xml:space="preserve"> N</w:t>
      </w:r>
      <w:r w:rsidRPr="008F4F6D">
        <w:rPr>
          <w:rFonts w:cs="Arial"/>
        </w:rPr>
        <w:t xml:space="preserve">ews, 2025). </w:t>
      </w:r>
      <w:r w:rsidRPr="008F4F6D">
        <w:rPr>
          <w:rFonts w:cs="Arial"/>
          <w:b/>
          <w:i/>
        </w:rPr>
        <w:t>Wuling</w:t>
      </w:r>
      <w:r w:rsidRPr="008F4F6D">
        <w:rPr>
          <w:rFonts w:cs="Arial"/>
        </w:rPr>
        <w:t xml:space="preserve"> has reacted effectively by exploring the potential of new markets that have favourable EV policies, like China and Southeast Asia, where the government offers incentives to purchase electric cars in large numbers (Feng, 2025). With the local policy structures, </w:t>
      </w:r>
      <w:r w:rsidRPr="008F4F6D">
        <w:rPr>
          <w:rFonts w:cs="Arial"/>
          <w:b/>
          <w:i/>
        </w:rPr>
        <w:t>Wuling</w:t>
      </w:r>
      <w:r w:rsidRPr="008F4F6D">
        <w:rPr>
          <w:rFonts w:cs="Arial"/>
        </w:rPr>
        <w:t xml:space="preserve"> can minimise the cost of production and quicken the process of entering the market. Besides, the company also enters into joint ventures with local manufacturers and suppliers as a way of adhering to local regulations, circumventing protectionist obstacles, and tapping into other incentives supported by the government (Rochim, Ilman and Ismail, 2025). This would offer </w:t>
      </w:r>
      <w:r w:rsidRPr="008F4F6D">
        <w:rPr>
          <w:rFonts w:cs="Arial"/>
          <w:b/>
          <w:i/>
        </w:rPr>
        <w:t>Wuling</w:t>
      </w:r>
      <w:r w:rsidRPr="008F4F6D">
        <w:rPr>
          <w:rFonts w:cs="Arial"/>
        </w:rPr>
        <w:t xml:space="preserve"> the chance to strategically align with positive political trends and live up to the competition with global pioneers regardless of the available resources.</w:t>
      </w:r>
    </w:p>
    <w:p w14:paraId="6B10EDE4" w14:textId="77777777" w:rsidR="00132579" w:rsidRPr="008F4F6D" w:rsidRDefault="00EA6A99">
      <w:pPr>
        <w:rPr>
          <w:rFonts w:cs="Arial"/>
        </w:rPr>
      </w:pPr>
      <w:r w:rsidRPr="008F4F6D">
        <w:rPr>
          <w:rFonts w:cs="Arial"/>
        </w:rPr>
        <w:t xml:space="preserve">However, innovators and followers have the weakness of being subject to sudden policy changes. The regulatory easing that faces </w:t>
      </w:r>
      <w:r w:rsidRPr="008F4F6D">
        <w:rPr>
          <w:rFonts w:cs="Arial"/>
          <w:b/>
          <w:i/>
        </w:rPr>
        <w:t>Toyota</w:t>
      </w:r>
      <w:r w:rsidRPr="008F4F6D">
        <w:rPr>
          <w:rFonts w:cs="Arial"/>
        </w:rPr>
        <w:t xml:space="preserve"> in some areas may lead to reduced financial payoffs of its investments, but the response of </w:t>
      </w:r>
      <w:r w:rsidRPr="008F4F6D">
        <w:rPr>
          <w:rFonts w:cs="Arial"/>
          <w:b/>
          <w:i/>
        </w:rPr>
        <w:t>Wuling</w:t>
      </w:r>
      <w:r w:rsidRPr="008F4F6D">
        <w:rPr>
          <w:rFonts w:cs="Arial"/>
        </w:rPr>
        <w:t xml:space="preserve"> may be limited by an abrupt cut in subsidies or addition of protectionist policies in favour of domestic innovators. </w:t>
      </w:r>
    </w:p>
    <w:p w14:paraId="03833952" w14:textId="77777777" w:rsidR="00132579" w:rsidRPr="008F4F6D" w:rsidRDefault="00EA6A99">
      <w:pPr>
        <w:pStyle w:val="Heading1"/>
        <w:rPr>
          <w:rFonts w:cs="Arial"/>
        </w:rPr>
      </w:pPr>
      <w:bookmarkStart w:id="42" w:name="_sq6unzsfep8s" w:colFirst="0" w:colLast="0"/>
      <w:bookmarkStart w:id="43" w:name="_Toc212056508"/>
      <w:bookmarkEnd w:id="42"/>
      <w:r w:rsidRPr="008F4F6D">
        <w:rPr>
          <w:rFonts w:cs="Arial"/>
        </w:rPr>
        <w:t>6.0 Conclusion</w:t>
      </w:r>
      <w:bookmarkEnd w:id="43"/>
    </w:p>
    <w:p w14:paraId="5C3AAB12" w14:textId="3E257896" w:rsidR="00132579" w:rsidRPr="008F4F6D" w:rsidRDefault="00EA6A99">
      <w:pPr>
        <w:rPr>
          <w:rFonts w:cs="Arial"/>
        </w:rPr>
      </w:pPr>
      <w:r w:rsidRPr="008F4F6D">
        <w:rPr>
          <w:rFonts w:cs="Arial"/>
        </w:rPr>
        <w:t xml:space="preserve">Finally, the electric vehicle sector has pioneer companies and followers in the market responding strategically to both political and technological influences to remain competitive. Innovators or </w:t>
      </w:r>
      <w:r w:rsidR="008F04A2" w:rsidRPr="008F4F6D">
        <w:rPr>
          <w:rFonts w:cs="Arial"/>
        </w:rPr>
        <w:t>Pioneers</w:t>
      </w:r>
      <w:r w:rsidRPr="008F4F6D">
        <w:rPr>
          <w:rFonts w:cs="Arial"/>
        </w:rPr>
        <w:t xml:space="preserve"> take advantage of government subsidies, lobbying activities and strategic alliances to increase production, gain supply chains and retain first-mover advantage even in situations of political uncertainty. On the other hand, the followers exploit favourable policy conditions in upcoming markets, enter into joint ventures and embrace existing technologies to venture into the market at low costs and compete with the world leaders. However, they are both susceptible to changes or shifts in policy without prior notice or regulatory changes that may affect profitability and position. Hence, being aligned to macro-environmental actors is still a major parameter of long-term resilience and competitive power in the swiftly changing EV industry.</w:t>
      </w:r>
    </w:p>
    <w:p w14:paraId="45E1D667" w14:textId="03EAFF78" w:rsidR="00A11F67" w:rsidRPr="008F4F6D" w:rsidRDefault="00A11F67">
      <w:pPr>
        <w:rPr>
          <w:rFonts w:cs="Arial"/>
        </w:rPr>
      </w:pPr>
      <w:r w:rsidRPr="008F4F6D">
        <w:rPr>
          <w:rFonts w:cs="Arial"/>
        </w:rPr>
        <w:br w:type="page"/>
      </w:r>
    </w:p>
    <w:p w14:paraId="69574E19" w14:textId="003622B6" w:rsidR="00A11F67" w:rsidRPr="008F4F6D" w:rsidRDefault="00A11F67" w:rsidP="00A11F67">
      <w:pPr>
        <w:pStyle w:val="Heading1"/>
        <w:rPr>
          <w:rFonts w:cs="Arial"/>
        </w:rPr>
      </w:pPr>
      <w:bookmarkStart w:id="44" w:name="_Toc212056509"/>
      <w:r w:rsidRPr="008F4F6D">
        <w:rPr>
          <w:rFonts w:cs="Arial"/>
        </w:rPr>
        <w:lastRenderedPageBreak/>
        <w:t>References</w:t>
      </w:r>
      <w:bookmarkEnd w:id="44"/>
    </w:p>
    <w:p w14:paraId="19A27794" w14:textId="77777777" w:rsidR="00226C33" w:rsidRPr="008F4F6D" w:rsidRDefault="00226C33" w:rsidP="00226C33">
      <w:pPr>
        <w:rPr>
          <w:rFonts w:cs="Arial"/>
        </w:rPr>
      </w:pPr>
      <w:r w:rsidRPr="008F4F6D">
        <w:rPr>
          <w:rFonts w:cs="Arial"/>
        </w:rPr>
        <w:t>Auto</w:t>
      </w:r>
      <w:r>
        <w:rPr>
          <w:rFonts w:cs="Arial"/>
        </w:rPr>
        <w:t xml:space="preserve"> </w:t>
      </w:r>
      <w:r w:rsidRPr="008F4F6D">
        <w:rPr>
          <w:rFonts w:cs="Arial"/>
        </w:rPr>
        <w:t xml:space="preserve">Pacific (2024). </w:t>
      </w:r>
      <w:r w:rsidRPr="008F4F6D">
        <w:rPr>
          <w:rFonts w:cs="Arial"/>
          <w:i/>
          <w:iCs/>
        </w:rPr>
        <w:t>Political Influence on Electric Vehicle Interest is Waning According to Auto</w:t>
      </w:r>
      <w:r>
        <w:rPr>
          <w:rFonts w:cs="Arial"/>
          <w:i/>
          <w:iCs/>
        </w:rPr>
        <w:t xml:space="preserve"> </w:t>
      </w:r>
      <w:r w:rsidRPr="008F4F6D">
        <w:rPr>
          <w:rFonts w:cs="Arial"/>
          <w:i/>
          <w:iCs/>
        </w:rPr>
        <w:t>Pacific Study</w:t>
      </w:r>
      <w:r w:rsidRPr="008F4F6D">
        <w:rPr>
          <w:rFonts w:cs="Arial"/>
        </w:rPr>
        <w:t xml:space="preserve">. Available at: </w:t>
      </w:r>
      <w:hyperlink r:id="rId15" w:history="1">
        <w:r w:rsidRPr="008F4F6D">
          <w:rPr>
            <w:rStyle w:val="Hyperlink"/>
            <w:rFonts w:cs="Arial"/>
          </w:rPr>
          <w:t>https://www.autopacific.com/autopacific-insights/2024/10/31/political-influence-on-electric-vehicle-interest-is-waning-according-to-autopacific-study</w:t>
        </w:r>
      </w:hyperlink>
      <w:r w:rsidRPr="008F4F6D">
        <w:rPr>
          <w:rFonts w:cs="Arial"/>
        </w:rPr>
        <w:t>. (Accessed: 13</w:t>
      </w:r>
      <w:r w:rsidRPr="008F4F6D">
        <w:rPr>
          <w:rFonts w:cs="Arial"/>
          <w:vertAlign w:val="superscript"/>
        </w:rPr>
        <w:t>th</w:t>
      </w:r>
      <w:r w:rsidRPr="008F4F6D">
        <w:rPr>
          <w:rFonts w:cs="Arial"/>
        </w:rPr>
        <w:t xml:space="preserve"> October 2025)</w:t>
      </w:r>
    </w:p>
    <w:p w14:paraId="08D21B0C" w14:textId="77777777" w:rsidR="00226C33" w:rsidRPr="008F4F6D" w:rsidRDefault="00226C33" w:rsidP="00226C33">
      <w:pPr>
        <w:rPr>
          <w:rFonts w:cs="Arial"/>
        </w:rPr>
      </w:pPr>
      <w:r w:rsidRPr="008F4F6D">
        <w:rPr>
          <w:rFonts w:cs="Arial"/>
        </w:rPr>
        <w:t xml:space="preserve">Bloomberg (2025). </w:t>
      </w:r>
      <w:r w:rsidRPr="008F4F6D">
        <w:rPr>
          <w:rFonts w:cs="Arial"/>
          <w:i/>
          <w:iCs/>
        </w:rPr>
        <w:t>Tesla to integrate Deepseek, Doubao AI voice controls in China</w:t>
      </w:r>
      <w:r w:rsidRPr="008F4F6D">
        <w:rPr>
          <w:rFonts w:cs="Arial"/>
        </w:rPr>
        <w:t xml:space="preserve">. Available at: </w:t>
      </w:r>
      <w:hyperlink r:id="rId16" w:history="1">
        <w:r w:rsidRPr="008F4F6D">
          <w:rPr>
            <w:rStyle w:val="Hyperlink"/>
            <w:rFonts w:cs="Arial"/>
          </w:rPr>
          <w:t>https://economictimes.indiatimes.com/tech/technology/tesla-to-integrate-deepseek-doubao-ai-voice-controls-in-china/articleshow/123450034.cms?from=mdr</w:t>
        </w:r>
      </w:hyperlink>
      <w:r w:rsidRPr="008F4F6D">
        <w:rPr>
          <w:rFonts w:cs="Arial"/>
        </w:rPr>
        <w:t xml:space="preserve"> (Accessed: 12</w:t>
      </w:r>
      <w:r w:rsidRPr="008F4F6D">
        <w:rPr>
          <w:rFonts w:cs="Arial"/>
          <w:vertAlign w:val="superscript"/>
        </w:rPr>
        <w:t>th</w:t>
      </w:r>
      <w:r w:rsidRPr="008F4F6D">
        <w:rPr>
          <w:rFonts w:cs="Arial"/>
        </w:rPr>
        <w:t xml:space="preserve"> October 2025)</w:t>
      </w:r>
    </w:p>
    <w:p w14:paraId="7F644A43" w14:textId="77777777" w:rsidR="00226C33" w:rsidRPr="008F4F6D" w:rsidRDefault="00226C33" w:rsidP="00226C33">
      <w:pPr>
        <w:rPr>
          <w:rFonts w:cs="Arial"/>
        </w:rPr>
      </w:pPr>
      <w:r w:rsidRPr="008F4F6D">
        <w:rPr>
          <w:rFonts w:cs="Arial"/>
        </w:rPr>
        <w:t>Business</w:t>
      </w:r>
      <w:r>
        <w:rPr>
          <w:rFonts w:cs="Arial"/>
        </w:rPr>
        <w:t xml:space="preserve"> W</w:t>
      </w:r>
      <w:r w:rsidRPr="008F4F6D">
        <w:rPr>
          <w:rFonts w:cs="Arial"/>
        </w:rPr>
        <w:t xml:space="preserve">ire (2025). </w:t>
      </w:r>
      <w:r w:rsidRPr="008F4F6D">
        <w:rPr>
          <w:rFonts w:cs="Arial"/>
          <w:i/>
          <w:iCs/>
        </w:rPr>
        <w:t>Global and China L3/L4 Autonomous Driving and Startups Research Report, 2025: Robotaxi Steps Towards Scaling During 2026-2030, L3 Personal Vehicles Open New Commercial Opportunities</w:t>
      </w:r>
      <w:r w:rsidRPr="008F4F6D">
        <w:rPr>
          <w:rFonts w:cs="Arial"/>
        </w:rPr>
        <w:t xml:space="preserve">. Available at: </w:t>
      </w:r>
      <w:hyperlink r:id="rId17" w:history="1">
        <w:r w:rsidRPr="008F4F6D">
          <w:rPr>
            <w:rStyle w:val="Hyperlink"/>
            <w:rFonts w:cs="Arial"/>
          </w:rPr>
          <w:t>https://www.businesswire.com/news/home/20250415369610/en/Global-and-China-L3L4-Autonomous-Driving-and-Startups-Research-Report-2025-Robotaxi-Steps-Towards-Scaling-During-2026-2030-L3-Personal-Vehicles-Open-New-Commercial-Opportunities---ResearchAndMarkets.com</w:t>
        </w:r>
      </w:hyperlink>
      <w:r w:rsidRPr="008F4F6D">
        <w:rPr>
          <w:rFonts w:cs="Arial"/>
        </w:rPr>
        <w:t>. (Accessed: 14</w:t>
      </w:r>
      <w:r w:rsidRPr="008F4F6D">
        <w:rPr>
          <w:rFonts w:cs="Arial"/>
          <w:vertAlign w:val="superscript"/>
        </w:rPr>
        <w:t>th</w:t>
      </w:r>
      <w:r w:rsidRPr="008F4F6D">
        <w:rPr>
          <w:rFonts w:cs="Arial"/>
        </w:rPr>
        <w:t xml:space="preserve"> October 2025)</w:t>
      </w:r>
    </w:p>
    <w:p w14:paraId="4581E14E" w14:textId="77777777" w:rsidR="00226C33" w:rsidRPr="008F4F6D" w:rsidRDefault="00226C33" w:rsidP="00226C33">
      <w:pPr>
        <w:rPr>
          <w:rFonts w:cs="Arial"/>
        </w:rPr>
      </w:pPr>
      <w:r w:rsidRPr="008F4F6D">
        <w:rPr>
          <w:rFonts w:cs="Arial"/>
        </w:rPr>
        <w:t xml:space="preserve">Chapman, M. (2025). </w:t>
      </w:r>
      <w:r w:rsidRPr="008F4F6D">
        <w:rPr>
          <w:rFonts w:cs="Arial"/>
          <w:i/>
          <w:iCs/>
        </w:rPr>
        <w:t>GM to take a $1.6 billion hit as tax incentives for EVs are slashed and emission rules ease</w:t>
      </w:r>
      <w:r w:rsidRPr="008F4F6D">
        <w:rPr>
          <w:rFonts w:cs="Arial"/>
        </w:rPr>
        <w:t xml:space="preserve">. Available at: </w:t>
      </w:r>
      <w:hyperlink r:id="rId18" w:history="1">
        <w:r w:rsidRPr="008F4F6D">
          <w:rPr>
            <w:rStyle w:val="Hyperlink"/>
            <w:rFonts w:cs="Arial"/>
          </w:rPr>
          <w:t>https://apnews.com/article/general-motors-gm-ev-emission-tax-2d2e43fd9dc0e12864e590a018be280f</w:t>
        </w:r>
      </w:hyperlink>
      <w:r w:rsidRPr="008F4F6D">
        <w:rPr>
          <w:rFonts w:cs="Arial"/>
        </w:rPr>
        <w:t>. (Accessed: 13</w:t>
      </w:r>
      <w:r w:rsidRPr="008F4F6D">
        <w:rPr>
          <w:rFonts w:cs="Arial"/>
          <w:vertAlign w:val="superscript"/>
        </w:rPr>
        <w:t>th</w:t>
      </w:r>
      <w:r w:rsidRPr="008F4F6D">
        <w:rPr>
          <w:rFonts w:cs="Arial"/>
        </w:rPr>
        <w:t xml:space="preserve"> October 2025)</w:t>
      </w:r>
    </w:p>
    <w:p w14:paraId="22AD35A5" w14:textId="77777777" w:rsidR="00226C33" w:rsidRPr="008F4F6D" w:rsidRDefault="00226C33" w:rsidP="00226C33">
      <w:pPr>
        <w:rPr>
          <w:rFonts w:cs="Arial"/>
        </w:rPr>
      </w:pPr>
      <w:r w:rsidRPr="008F4F6D">
        <w:rPr>
          <w:rFonts w:cs="Arial"/>
        </w:rPr>
        <w:t xml:space="preserve">CNBC (2025). </w:t>
      </w:r>
      <w:r w:rsidRPr="008F4F6D">
        <w:rPr>
          <w:rFonts w:cs="Arial"/>
          <w:i/>
          <w:iCs/>
        </w:rPr>
        <w:t>Tesla shares jump 10% as robotaxi pilot hits the streets of Austin</w:t>
      </w:r>
      <w:r w:rsidRPr="008F4F6D">
        <w:rPr>
          <w:rFonts w:cs="Arial"/>
        </w:rPr>
        <w:t xml:space="preserve">. Available at: </w:t>
      </w:r>
      <w:hyperlink r:id="rId19" w:history="1">
        <w:r w:rsidRPr="008F4F6D">
          <w:rPr>
            <w:rStyle w:val="Hyperlink"/>
            <w:rFonts w:cs="Arial"/>
          </w:rPr>
          <w:t>https://www.cnbctv18.com/market/tesla-stock-surges-robotaxi-service-launch-elon-musk-19625583.htm</w:t>
        </w:r>
      </w:hyperlink>
      <w:r w:rsidRPr="008F4F6D">
        <w:rPr>
          <w:rFonts w:cs="Arial"/>
        </w:rPr>
        <w:t xml:space="preserve"> (Accessed: 12</w:t>
      </w:r>
      <w:r w:rsidRPr="008F4F6D">
        <w:rPr>
          <w:rFonts w:cs="Arial"/>
          <w:vertAlign w:val="superscript"/>
        </w:rPr>
        <w:t>th</w:t>
      </w:r>
      <w:r w:rsidRPr="008F4F6D">
        <w:rPr>
          <w:rFonts w:cs="Arial"/>
        </w:rPr>
        <w:t xml:space="preserve"> October 2025)</w:t>
      </w:r>
    </w:p>
    <w:p w14:paraId="69EFB948" w14:textId="77777777" w:rsidR="00226C33" w:rsidRPr="008F4F6D" w:rsidRDefault="00226C33" w:rsidP="00226C33">
      <w:pPr>
        <w:rPr>
          <w:rFonts w:cs="Arial"/>
        </w:rPr>
      </w:pPr>
      <w:r w:rsidRPr="008F4F6D">
        <w:rPr>
          <w:rFonts w:cs="Arial"/>
        </w:rPr>
        <w:t xml:space="preserve">Dickinson, J., Ooi, B. and Stringwell, J. (2025). </w:t>
      </w:r>
      <w:r w:rsidRPr="008F4F6D">
        <w:rPr>
          <w:rFonts w:cs="Arial"/>
          <w:i/>
          <w:iCs/>
        </w:rPr>
        <w:t>How Technology Is Impacting the EV Industry</w:t>
      </w:r>
      <w:r w:rsidRPr="008F4F6D">
        <w:rPr>
          <w:rFonts w:cs="Arial"/>
        </w:rPr>
        <w:t xml:space="preserve">. Available at: </w:t>
      </w:r>
      <w:hyperlink r:id="rId20" w:history="1">
        <w:r w:rsidRPr="008F4F6D">
          <w:rPr>
            <w:rStyle w:val="Hyperlink"/>
            <w:rFonts w:cs="Arial"/>
          </w:rPr>
          <w:t>https://www.mackinnon-bruce.com/insights-hub/blog/how-technology-is-impacting-the-ev-industry/</w:t>
        </w:r>
      </w:hyperlink>
      <w:r w:rsidRPr="008F4F6D">
        <w:rPr>
          <w:rFonts w:cs="Arial"/>
        </w:rPr>
        <w:t xml:space="preserve"> (Accessed: 12</w:t>
      </w:r>
      <w:r w:rsidRPr="008F4F6D">
        <w:rPr>
          <w:rFonts w:cs="Arial"/>
          <w:vertAlign w:val="superscript"/>
        </w:rPr>
        <w:t>th</w:t>
      </w:r>
      <w:r w:rsidRPr="008F4F6D">
        <w:rPr>
          <w:rFonts w:cs="Arial"/>
        </w:rPr>
        <w:t xml:space="preserve"> October 2025)</w:t>
      </w:r>
    </w:p>
    <w:p w14:paraId="2CA3DDCB" w14:textId="77777777" w:rsidR="00226C33" w:rsidRPr="008F4F6D" w:rsidRDefault="00226C33" w:rsidP="00226C33">
      <w:pPr>
        <w:rPr>
          <w:rFonts w:cs="Arial"/>
        </w:rPr>
      </w:pPr>
      <w:r w:rsidRPr="008F4F6D">
        <w:rPr>
          <w:rFonts w:cs="Arial"/>
        </w:rPr>
        <w:t xml:space="preserve">Dipert, B. (2024). </w:t>
      </w:r>
      <w:r w:rsidRPr="008F4F6D">
        <w:rPr>
          <w:rFonts w:cs="Arial"/>
          <w:i/>
          <w:iCs/>
        </w:rPr>
        <w:t>Tesla’s Robotaxi Surprise: What You Need to Know - Edge AI and Vision Alliance</w:t>
      </w:r>
      <w:r w:rsidRPr="008F4F6D">
        <w:rPr>
          <w:rFonts w:cs="Arial"/>
        </w:rPr>
        <w:t xml:space="preserve">. Available at: </w:t>
      </w:r>
      <w:hyperlink r:id="rId21" w:history="1">
        <w:r w:rsidRPr="008F4F6D">
          <w:rPr>
            <w:rStyle w:val="Hyperlink"/>
            <w:rFonts w:cs="Arial"/>
          </w:rPr>
          <w:t>https://www.edge-ai-vision.com/2024/04/teslas-robotaxi-surprise-what-you-need-to-know/</w:t>
        </w:r>
      </w:hyperlink>
      <w:r w:rsidRPr="008F4F6D">
        <w:rPr>
          <w:rFonts w:cs="Arial"/>
        </w:rPr>
        <w:t>. (Accessed: 12</w:t>
      </w:r>
      <w:r w:rsidRPr="008F4F6D">
        <w:rPr>
          <w:rFonts w:cs="Arial"/>
          <w:vertAlign w:val="superscript"/>
        </w:rPr>
        <w:t>th</w:t>
      </w:r>
      <w:r w:rsidRPr="008F4F6D">
        <w:rPr>
          <w:rFonts w:cs="Arial"/>
        </w:rPr>
        <w:t xml:space="preserve"> October 2025)</w:t>
      </w:r>
    </w:p>
    <w:p w14:paraId="25807809" w14:textId="77777777" w:rsidR="00226C33" w:rsidRPr="008F4F6D" w:rsidRDefault="00226C33" w:rsidP="00226C33">
      <w:pPr>
        <w:rPr>
          <w:rFonts w:cs="Arial"/>
        </w:rPr>
      </w:pPr>
      <w:r w:rsidRPr="008F4F6D">
        <w:rPr>
          <w:rFonts w:cs="Arial"/>
        </w:rPr>
        <w:t xml:space="preserve">Economic Times (2024). Ford plans to re-enter India with focus on EVs: Report. </w:t>
      </w:r>
      <w:r w:rsidRPr="008F4F6D">
        <w:rPr>
          <w:rFonts w:cs="Arial"/>
          <w:i/>
          <w:iCs/>
        </w:rPr>
        <w:t>The Economic Times</w:t>
      </w:r>
      <w:r w:rsidRPr="008F4F6D">
        <w:rPr>
          <w:rFonts w:cs="Arial"/>
        </w:rPr>
        <w:t xml:space="preserve">. Available at: </w:t>
      </w:r>
      <w:hyperlink r:id="rId22" w:history="1">
        <w:r w:rsidRPr="008F4F6D">
          <w:rPr>
            <w:rStyle w:val="Hyperlink"/>
            <w:rFonts w:cs="Arial"/>
          </w:rPr>
          <w:t>https://economictimes.indiatimes.com/industry/renewables/ford-plans-to-re-enter-india-with-focus-on-evs-report/articleshow/108032852.cms?from=mdr</w:t>
        </w:r>
      </w:hyperlink>
      <w:r w:rsidRPr="008F4F6D">
        <w:rPr>
          <w:rFonts w:cs="Arial"/>
        </w:rPr>
        <w:t>. (Accessed: 13</w:t>
      </w:r>
      <w:r w:rsidRPr="008F4F6D">
        <w:rPr>
          <w:rFonts w:cs="Arial"/>
          <w:vertAlign w:val="superscript"/>
        </w:rPr>
        <w:t>th</w:t>
      </w:r>
      <w:r w:rsidRPr="008F4F6D">
        <w:rPr>
          <w:rFonts w:cs="Arial"/>
        </w:rPr>
        <w:t xml:space="preserve"> October 2025)</w:t>
      </w:r>
    </w:p>
    <w:p w14:paraId="4C89A917" w14:textId="77777777" w:rsidR="00226C33" w:rsidRPr="008F4F6D" w:rsidRDefault="00226C33" w:rsidP="00226C33">
      <w:pPr>
        <w:rPr>
          <w:rFonts w:cs="Arial"/>
        </w:rPr>
      </w:pPr>
      <w:r w:rsidRPr="008F4F6D">
        <w:rPr>
          <w:rFonts w:cs="Arial"/>
        </w:rPr>
        <w:t xml:space="preserve">Electric Vehicle Association (2025). </w:t>
      </w:r>
      <w:r w:rsidRPr="008F4F6D">
        <w:rPr>
          <w:rFonts w:cs="Arial"/>
          <w:i/>
          <w:iCs/>
        </w:rPr>
        <w:t>Understanding the Impact of Trump’s EV Policy Reversals</w:t>
      </w:r>
      <w:r w:rsidRPr="008F4F6D">
        <w:rPr>
          <w:rFonts w:cs="Arial"/>
        </w:rPr>
        <w:t xml:space="preserve">. Available at: </w:t>
      </w:r>
      <w:hyperlink r:id="rId23" w:history="1">
        <w:r w:rsidRPr="008F4F6D">
          <w:rPr>
            <w:rStyle w:val="Hyperlink"/>
            <w:rFonts w:cs="Arial"/>
          </w:rPr>
          <w:t>https://www.myeva.org/blog/understanding-the-impact-of-trumps-ev-policy-reversals</w:t>
        </w:r>
      </w:hyperlink>
      <w:r w:rsidRPr="008F4F6D">
        <w:rPr>
          <w:rFonts w:cs="Arial"/>
        </w:rPr>
        <w:t xml:space="preserve"> (Accessed: 13</w:t>
      </w:r>
      <w:r w:rsidRPr="008F4F6D">
        <w:rPr>
          <w:rFonts w:cs="Arial"/>
          <w:vertAlign w:val="superscript"/>
        </w:rPr>
        <w:t>th</w:t>
      </w:r>
      <w:r w:rsidRPr="008F4F6D">
        <w:rPr>
          <w:rFonts w:cs="Arial"/>
        </w:rPr>
        <w:t xml:space="preserve"> October 2025)</w:t>
      </w:r>
    </w:p>
    <w:p w14:paraId="5828BD8E" w14:textId="77777777" w:rsidR="00226C33" w:rsidRPr="008F4F6D" w:rsidRDefault="00226C33" w:rsidP="00226C33">
      <w:pPr>
        <w:rPr>
          <w:rFonts w:cs="Arial"/>
        </w:rPr>
      </w:pPr>
      <w:r w:rsidRPr="008F4F6D">
        <w:rPr>
          <w:rFonts w:cs="Arial"/>
        </w:rPr>
        <w:t xml:space="preserve">Eocharging (2025). </w:t>
      </w:r>
      <w:r w:rsidRPr="008F4F6D">
        <w:rPr>
          <w:rFonts w:cs="Arial"/>
          <w:i/>
          <w:iCs/>
        </w:rPr>
        <w:t>Driving the Future: Innovation and Growth in the UK EV Market in 2025</w:t>
      </w:r>
      <w:r w:rsidRPr="008F4F6D">
        <w:rPr>
          <w:rFonts w:cs="Arial"/>
        </w:rPr>
        <w:t xml:space="preserve">. Available at: </w:t>
      </w:r>
      <w:hyperlink r:id="rId24" w:history="1">
        <w:r w:rsidRPr="008F4F6D">
          <w:rPr>
            <w:rStyle w:val="Hyperlink"/>
            <w:rFonts w:cs="Arial"/>
          </w:rPr>
          <w:t>https://www.eocharging.com/stories/driving-the-future-innovation-and-growth-in-the-uk-ev-market-in-2025</w:t>
        </w:r>
      </w:hyperlink>
      <w:r w:rsidRPr="008F4F6D">
        <w:rPr>
          <w:rFonts w:cs="Arial"/>
        </w:rPr>
        <w:t xml:space="preserve"> (Accessed: 12</w:t>
      </w:r>
      <w:r w:rsidRPr="008F4F6D">
        <w:rPr>
          <w:rFonts w:cs="Arial"/>
          <w:vertAlign w:val="superscript"/>
        </w:rPr>
        <w:t>th</w:t>
      </w:r>
      <w:r w:rsidRPr="008F4F6D">
        <w:rPr>
          <w:rFonts w:cs="Arial"/>
        </w:rPr>
        <w:t xml:space="preserve"> October 2025)</w:t>
      </w:r>
    </w:p>
    <w:p w14:paraId="2DFCE780" w14:textId="77777777" w:rsidR="00226C33" w:rsidRPr="008F4F6D" w:rsidRDefault="00226C33" w:rsidP="00226C33">
      <w:pPr>
        <w:rPr>
          <w:rFonts w:cs="Arial"/>
        </w:rPr>
      </w:pPr>
      <w:r w:rsidRPr="008F4F6D">
        <w:rPr>
          <w:rFonts w:cs="Arial"/>
        </w:rPr>
        <w:t xml:space="preserve">EV Volumes (2025). </w:t>
      </w:r>
      <w:r w:rsidRPr="008F4F6D">
        <w:rPr>
          <w:rFonts w:cs="Arial"/>
          <w:i/>
          <w:iCs/>
        </w:rPr>
        <w:t>EV-Volumes - The Electric Vehicle World Sales Database</w:t>
      </w:r>
      <w:r w:rsidRPr="008F4F6D">
        <w:rPr>
          <w:rFonts w:cs="Arial"/>
        </w:rPr>
        <w:t xml:space="preserve">. Available at: </w:t>
      </w:r>
      <w:hyperlink r:id="rId25" w:history="1">
        <w:r w:rsidRPr="008F4F6D">
          <w:rPr>
            <w:rStyle w:val="Hyperlink"/>
            <w:rFonts w:cs="Arial"/>
          </w:rPr>
          <w:t>https://ev-volumes.com/</w:t>
        </w:r>
      </w:hyperlink>
      <w:r w:rsidRPr="008F4F6D">
        <w:rPr>
          <w:rFonts w:cs="Arial"/>
        </w:rPr>
        <w:t>. (Accessed: 12</w:t>
      </w:r>
      <w:r w:rsidRPr="008F4F6D">
        <w:rPr>
          <w:rFonts w:cs="Arial"/>
          <w:vertAlign w:val="superscript"/>
        </w:rPr>
        <w:t>th</w:t>
      </w:r>
      <w:r w:rsidRPr="008F4F6D">
        <w:rPr>
          <w:rFonts w:cs="Arial"/>
        </w:rPr>
        <w:t xml:space="preserve"> October 2025)</w:t>
      </w:r>
    </w:p>
    <w:p w14:paraId="5A49D717" w14:textId="77777777" w:rsidR="00226C33" w:rsidRPr="008F4F6D" w:rsidRDefault="00226C33" w:rsidP="00226C33">
      <w:pPr>
        <w:rPr>
          <w:rFonts w:cs="Arial"/>
        </w:rPr>
      </w:pPr>
      <w:r w:rsidRPr="008F4F6D">
        <w:rPr>
          <w:rFonts w:cs="Arial"/>
        </w:rPr>
        <w:t xml:space="preserve">Evision (2025). </w:t>
      </w:r>
      <w:r w:rsidRPr="008F4F6D">
        <w:rPr>
          <w:rFonts w:cs="Arial"/>
          <w:i/>
          <w:iCs/>
        </w:rPr>
        <w:t>EV Market Stats in 2025: Will You Swap to an EV? | EVision</w:t>
      </w:r>
      <w:r w:rsidRPr="008F4F6D">
        <w:rPr>
          <w:rFonts w:cs="Arial"/>
        </w:rPr>
        <w:t xml:space="preserve">. Available at: </w:t>
      </w:r>
      <w:hyperlink r:id="rId26" w:history="1">
        <w:r w:rsidRPr="008F4F6D">
          <w:rPr>
            <w:rStyle w:val="Hyperlink"/>
            <w:rFonts w:cs="Arial"/>
          </w:rPr>
          <w:t>https://www.evisionevs.co.uk/2025/07/17/ev-market-stats-in-2025-will-you-swap-to-an-ev/</w:t>
        </w:r>
      </w:hyperlink>
      <w:r w:rsidRPr="008F4F6D">
        <w:rPr>
          <w:rFonts w:cs="Arial"/>
        </w:rPr>
        <w:t xml:space="preserve"> (Accessed: 13</w:t>
      </w:r>
      <w:r w:rsidRPr="008F4F6D">
        <w:rPr>
          <w:rFonts w:cs="Arial"/>
          <w:vertAlign w:val="superscript"/>
        </w:rPr>
        <w:t>th</w:t>
      </w:r>
      <w:r w:rsidRPr="008F4F6D">
        <w:rPr>
          <w:rFonts w:cs="Arial"/>
        </w:rPr>
        <w:t xml:space="preserve"> October 2025)</w:t>
      </w:r>
    </w:p>
    <w:p w14:paraId="5DCD7308" w14:textId="77777777" w:rsidR="00226C33" w:rsidRPr="008F4F6D" w:rsidRDefault="00226C33" w:rsidP="00226C33">
      <w:pPr>
        <w:rPr>
          <w:rFonts w:cs="Arial"/>
        </w:rPr>
      </w:pPr>
      <w:r w:rsidRPr="008F4F6D">
        <w:rPr>
          <w:rFonts w:cs="Arial"/>
        </w:rPr>
        <w:t xml:space="preserve">Feng, Z. (2025). </w:t>
      </w:r>
      <w:r w:rsidRPr="008F4F6D">
        <w:rPr>
          <w:rFonts w:cs="Arial"/>
          <w:i/>
          <w:iCs/>
        </w:rPr>
        <w:t>How Chinese automakers are reshaping the EV landscape in Southeast Asia</w:t>
      </w:r>
      <w:r w:rsidRPr="008F4F6D">
        <w:rPr>
          <w:rFonts w:cs="Arial"/>
        </w:rPr>
        <w:t xml:space="preserve">. Available at: </w:t>
      </w:r>
      <w:hyperlink r:id="rId27" w:history="1">
        <w:r w:rsidRPr="008F4F6D">
          <w:rPr>
            <w:rStyle w:val="Hyperlink"/>
            <w:rFonts w:cs="Arial"/>
          </w:rPr>
          <w:t>https://globalvoices.org/2025/10/09/how-chinese-automakers-are-reshaping-the-ev-landscape-in-southeast-asia/</w:t>
        </w:r>
      </w:hyperlink>
      <w:r w:rsidRPr="008F4F6D">
        <w:rPr>
          <w:rFonts w:cs="Arial"/>
        </w:rPr>
        <w:t>. (Accessed: 14</w:t>
      </w:r>
      <w:r w:rsidRPr="008F4F6D">
        <w:rPr>
          <w:rFonts w:cs="Arial"/>
          <w:vertAlign w:val="superscript"/>
        </w:rPr>
        <w:t>th</w:t>
      </w:r>
      <w:r w:rsidRPr="008F4F6D">
        <w:rPr>
          <w:rFonts w:cs="Arial"/>
        </w:rPr>
        <w:t xml:space="preserve"> October 2025)</w:t>
      </w:r>
    </w:p>
    <w:p w14:paraId="2DC2E667" w14:textId="77777777" w:rsidR="00226C33" w:rsidRPr="008F4F6D" w:rsidRDefault="00226C33" w:rsidP="00226C33">
      <w:pPr>
        <w:rPr>
          <w:rFonts w:cs="Arial"/>
        </w:rPr>
      </w:pPr>
      <w:r w:rsidRPr="008F4F6D">
        <w:rPr>
          <w:rFonts w:cs="Arial"/>
        </w:rPr>
        <w:t xml:space="preserve">Fitzgerald, J. (2025). </w:t>
      </w:r>
      <w:r w:rsidRPr="008F4F6D">
        <w:rPr>
          <w:rFonts w:cs="Arial"/>
          <w:i/>
          <w:iCs/>
        </w:rPr>
        <w:t>Nissan Cancels Ariya Electric SUV from 2026 Model Year Onward</w:t>
      </w:r>
      <w:r w:rsidRPr="008F4F6D">
        <w:rPr>
          <w:rFonts w:cs="Arial"/>
        </w:rPr>
        <w:t xml:space="preserve">. Available at: </w:t>
      </w:r>
      <w:hyperlink r:id="rId28" w:history="1">
        <w:r w:rsidRPr="008F4F6D">
          <w:rPr>
            <w:rStyle w:val="Hyperlink"/>
            <w:rFonts w:cs="Arial"/>
          </w:rPr>
          <w:t>https://www.caranddriver.com/news/a67948305/nissan-ariya-canceled/</w:t>
        </w:r>
      </w:hyperlink>
      <w:r w:rsidRPr="008F4F6D">
        <w:rPr>
          <w:rFonts w:cs="Arial"/>
        </w:rPr>
        <w:t>. (Accessed: 13</w:t>
      </w:r>
      <w:r w:rsidRPr="008F4F6D">
        <w:rPr>
          <w:rFonts w:cs="Arial"/>
          <w:vertAlign w:val="superscript"/>
        </w:rPr>
        <w:t>th</w:t>
      </w:r>
      <w:r w:rsidRPr="008F4F6D">
        <w:rPr>
          <w:rFonts w:cs="Arial"/>
        </w:rPr>
        <w:t xml:space="preserve"> October 2025)</w:t>
      </w:r>
    </w:p>
    <w:p w14:paraId="290DD7DC" w14:textId="77777777" w:rsidR="00226C33" w:rsidRPr="008F4F6D" w:rsidRDefault="00226C33" w:rsidP="00226C33">
      <w:pPr>
        <w:rPr>
          <w:rFonts w:cs="Arial"/>
        </w:rPr>
      </w:pPr>
      <w:r w:rsidRPr="008F4F6D">
        <w:rPr>
          <w:rFonts w:cs="Arial"/>
        </w:rPr>
        <w:t xml:space="preserve">Gasgoo (2024). </w:t>
      </w:r>
      <w:r w:rsidRPr="008F4F6D">
        <w:rPr>
          <w:rFonts w:cs="Arial"/>
          <w:i/>
          <w:iCs/>
        </w:rPr>
        <w:t>Gasgoo Daily: Li Auto likely to realize L3 autonomous driving capabilities in 2025</w:t>
      </w:r>
      <w:r w:rsidRPr="008F4F6D">
        <w:rPr>
          <w:rFonts w:cs="Arial"/>
        </w:rPr>
        <w:t xml:space="preserve">. Available at: </w:t>
      </w:r>
      <w:hyperlink r:id="rId29" w:history="1">
        <w:r w:rsidRPr="008F4F6D">
          <w:rPr>
            <w:rStyle w:val="Hyperlink"/>
            <w:rFonts w:cs="Arial"/>
          </w:rPr>
          <w:t>https://autonews.gasgoo.com/china_news/70035547.html</w:t>
        </w:r>
      </w:hyperlink>
      <w:r w:rsidRPr="008F4F6D">
        <w:rPr>
          <w:rFonts w:cs="Arial"/>
        </w:rPr>
        <w:t xml:space="preserve"> (Accessed: 13</w:t>
      </w:r>
      <w:r w:rsidRPr="008F4F6D">
        <w:rPr>
          <w:rFonts w:cs="Arial"/>
          <w:vertAlign w:val="superscript"/>
        </w:rPr>
        <w:t>th</w:t>
      </w:r>
      <w:r w:rsidRPr="008F4F6D">
        <w:rPr>
          <w:rFonts w:cs="Arial"/>
        </w:rPr>
        <w:t xml:space="preserve"> October 2025)</w:t>
      </w:r>
    </w:p>
    <w:p w14:paraId="131ECF9E" w14:textId="77777777" w:rsidR="00226C33" w:rsidRPr="008F4F6D" w:rsidRDefault="00226C33" w:rsidP="00226C33">
      <w:pPr>
        <w:rPr>
          <w:rFonts w:cs="Arial"/>
        </w:rPr>
      </w:pPr>
      <w:r w:rsidRPr="008F4F6D">
        <w:rPr>
          <w:rFonts w:cs="Arial"/>
        </w:rPr>
        <w:t>Giachetti, C. and Pira, S.L. (2022) ‘Catching up with the market leader: Does it pay to rapidly imitate its innovations?’, </w:t>
      </w:r>
      <w:r w:rsidRPr="008F4F6D">
        <w:rPr>
          <w:rFonts w:cs="Arial"/>
          <w:i/>
          <w:iCs/>
        </w:rPr>
        <w:t>Research Policy</w:t>
      </w:r>
      <w:r w:rsidRPr="008F4F6D">
        <w:rPr>
          <w:rFonts w:cs="Arial"/>
        </w:rPr>
        <w:t>, </w:t>
      </w:r>
      <w:r w:rsidRPr="008F4F6D">
        <w:rPr>
          <w:rFonts w:cs="Arial"/>
          <w:i/>
          <w:iCs/>
        </w:rPr>
        <w:t>51</w:t>
      </w:r>
      <w:r w:rsidRPr="008F4F6D">
        <w:rPr>
          <w:rFonts w:cs="Arial"/>
        </w:rPr>
        <w:t xml:space="preserve">(5), p.104505. </w:t>
      </w:r>
      <w:hyperlink r:id="rId30" w:history="1">
        <w:r w:rsidRPr="008F4F6D">
          <w:rPr>
            <w:rStyle w:val="Hyperlink"/>
            <w:rFonts w:cs="Arial"/>
          </w:rPr>
          <w:t>http://doi.org/10.1016/j.respol.2022.104505</w:t>
        </w:r>
      </w:hyperlink>
      <w:r w:rsidRPr="008F4F6D">
        <w:rPr>
          <w:rFonts w:cs="Arial"/>
        </w:rPr>
        <w:t xml:space="preserve"> </w:t>
      </w:r>
    </w:p>
    <w:p w14:paraId="200F98D2" w14:textId="77777777" w:rsidR="00226C33" w:rsidRPr="008F4F6D" w:rsidRDefault="00226C33" w:rsidP="00226C33">
      <w:pPr>
        <w:rPr>
          <w:rFonts w:cs="Arial"/>
        </w:rPr>
      </w:pPr>
      <w:r w:rsidRPr="008F4F6D">
        <w:rPr>
          <w:rFonts w:cs="Arial"/>
        </w:rPr>
        <w:t>Global</w:t>
      </w:r>
      <w:r>
        <w:rPr>
          <w:rFonts w:cs="Arial"/>
        </w:rPr>
        <w:t xml:space="preserve"> C</w:t>
      </w:r>
      <w:r w:rsidRPr="008F4F6D">
        <w:rPr>
          <w:rFonts w:cs="Arial"/>
        </w:rPr>
        <w:t>hina</w:t>
      </w:r>
      <w:r>
        <w:rPr>
          <w:rFonts w:cs="Arial"/>
        </w:rPr>
        <w:t xml:space="preserve"> EV</w:t>
      </w:r>
      <w:r w:rsidRPr="008F4F6D">
        <w:rPr>
          <w:rFonts w:cs="Arial"/>
        </w:rPr>
        <w:t xml:space="preserve"> (2025). </w:t>
      </w:r>
      <w:r w:rsidRPr="008F4F6D">
        <w:rPr>
          <w:rFonts w:cs="Arial"/>
          <w:i/>
          <w:iCs/>
        </w:rPr>
        <w:t>Li Auto plans to release the i6 and i8 in 2025, two fully electric SUVs</w:t>
      </w:r>
      <w:r w:rsidRPr="008F4F6D">
        <w:rPr>
          <w:rFonts w:cs="Arial"/>
        </w:rPr>
        <w:t xml:space="preserve">. Available at: </w:t>
      </w:r>
      <w:hyperlink r:id="rId31" w:history="1">
        <w:r w:rsidRPr="008F4F6D">
          <w:rPr>
            <w:rStyle w:val="Hyperlink"/>
            <w:rFonts w:cs="Arial"/>
          </w:rPr>
          <w:t>https://globalchinaev.com/post/li-auto-plans-to-release-the-i6-and-i8-in-2025-two-fully-electric-suvs</w:t>
        </w:r>
      </w:hyperlink>
      <w:r w:rsidRPr="008F4F6D">
        <w:rPr>
          <w:rFonts w:cs="Arial"/>
        </w:rPr>
        <w:t xml:space="preserve"> (Accessed: 13</w:t>
      </w:r>
      <w:r w:rsidRPr="008F4F6D">
        <w:rPr>
          <w:rFonts w:cs="Arial"/>
          <w:vertAlign w:val="superscript"/>
        </w:rPr>
        <w:t>th</w:t>
      </w:r>
      <w:r w:rsidRPr="008F4F6D">
        <w:rPr>
          <w:rFonts w:cs="Arial"/>
        </w:rPr>
        <w:t xml:space="preserve"> October 2025)</w:t>
      </w:r>
    </w:p>
    <w:p w14:paraId="11668184" w14:textId="77777777" w:rsidR="00226C33" w:rsidRPr="008F4F6D" w:rsidRDefault="00226C33" w:rsidP="00226C33">
      <w:pPr>
        <w:rPr>
          <w:rFonts w:cs="Arial"/>
        </w:rPr>
      </w:pPr>
      <w:r w:rsidRPr="008F4F6D">
        <w:rPr>
          <w:rFonts w:cs="Arial"/>
        </w:rPr>
        <w:lastRenderedPageBreak/>
        <w:t xml:space="preserve">Grand View Research (2025). </w:t>
      </w:r>
      <w:r w:rsidRPr="008F4F6D">
        <w:rPr>
          <w:rFonts w:cs="Arial"/>
          <w:i/>
          <w:iCs/>
        </w:rPr>
        <w:t>EV Market Size &amp; Share | Global Electric Vehicles Industry Report, 2020</w:t>
      </w:r>
      <w:r w:rsidRPr="008F4F6D">
        <w:rPr>
          <w:rFonts w:cs="Arial"/>
        </w:rPr>
        <w:t xml:space="preserve">. Available at: </w:t>
      </w:r>
      <w:hyperlink r:id="rId32" w:history="1">
        <w:r w:rsidRPr="008F4F6D">
          <w:rPr>
            <w:rStyle w:val="Hyperlink"/>
            <w:rFonts w:cs="Arial"/>
          </w:rPr>
          <w:t>https://www.grandviewresearch.com/industry-analysis/electric-vehicles-ev-market</w:t>
        </w:r>
      </w:hyperlink>
      <w:r w:rsidRPr="008F4F6D">
        <w:rPr>
          <w:rFonts w:cs="Arial"/>
        </w:rPr>
        <w:t>. (Accessed: 12</w:t>
      </w:r>
      <w:r w:rsidRPr="008F4F6D">
        <w:rPr>
          <w:rFonts w:cs="Arial"/>
          <w:vertAlign w:val="superscript"/>
        </w:rPr>
        <w:t>th</w:t>
      </w:r>
      <w:r w:rsidRPr="008F4F6D">
        <w:rPr>
          <w:rFonts w:cs="Arial"/>
        </w:rPr>
        <w:t xml:space="preserve"> October 2025)</w:t>
      </w:r>
    </w:p>
    <w:p w14:paraId="24835489" w14:textId="77777777" w:rsidR="00226C33" w:rsidRPr="008F4F6D" w:rsidRDefault="00226C33" w:rsidP="00226C33">
      <w:pPr>
        <w:rPr>
          <w:rFonts w:cs="Arial"/>
        </w:rPr>
      </w:pPr>
      <w:r w:rsidRPr="008F4F6D">
        <w:rPr>
          <w:rFonts w:cs="Arial"/>
        </w:rPr>
        <w:t xml:space="preserve">Hossain, M.S., Kumar, L., El Haj Assad, M. and Alayi, R. (2022) ‘Advancements and future prospects of electric vehicle technologies: a comprehensive review’, </w:t>
      </w:r>
      <w:r w:rsidRPr="008F4F6D">
        <w:rPr>
          <w:rFonts w:cs="Arial"/>
          <w:i/>
          <w:iCs/>
        </w:rPr>
        <w:t>Complexity</w:t>
      </w:r>
      <w:r w:rsidRPr="008F4F6D">
        <w:rPr>
          <w:rFonts w:cs="Arial"/>
        </w:rPr>
        <w:t>, </w:t>
      </w:r>
      <w:r w:rsidRPr="008F4F6D">
        <w:rPr>
          <w:rFonts w:cs="Arial"/>
          <w:i/>
          <w:iCs/>
        </w:rPr>
        <w:t>2022</w:t>
      </w:r>
      <w:r w:rsidRPr="008F4F6D">
        <w:rPr>
          <w:rFonts w:cs="Arial"/>
        </w:rPr>
        <w:t xml:space="preserve">(1), p.3304796. </w:t>
      </w:r>
      <w:hyperlink r:id="rId33" w:history="1">
        <w:r w:rsidRPr="008F4F6D">
          <w:rPr>
            <w:rStyle w:val="Hyperlink"/>
            <w:rFonts w:cs="Arial"/>
          </w:rPr>
          <w:t>https://doi.org/10.1155/2022/3304796</w:t>
        </w:r>
      </w:hyperlink>
      <w:r w:rsidRPr="008F4F6D">
        <w:rPr>
          <w:rFonts w:cs="Arial"/>
        </w:rPr>
        <w:t xml:space="preserve"> </w:t>
      </w:r>
    </w:p>
    <w:p w14:paraId="5D4ECC5B" w14:textId="77777777" w:rsidR="00226C33" w:rsidRPr="008F4F6D" w:rsidRDefault="00226C33" w:rsidP="00226C33">
      <w:pPr>
        <w:rPr>
          <w:rFonts w:cs="Arial"/>
        </w:rPr>
      </w:pPr>
      <w:r w:rsidRPr="008F4F6D">
        <w:rPr>
          <w:rFonts w:cs="Arial"/>
        </w:rPr>
        <w:t xml:space="preserve">IMARC (2025). </w:t>
      </w:r>
      <w:r w:rsidRPr="008F4F6D">
        <w:rPr>
          <w:rFonts w:cs="Arial"/>
          <w:i/>
          <w:iCs/>
        </w:rPr>
        <w:t>UK Electric Vehicle Charging Market Size &amp; Forecast 2033</w:t>
      </w:r>
      <w:r w:rsidRPr="008F4F6D">
        <w:rPr>
          <w:rFonts w:cs="Arial"/>
        </w:rPr>
        <w:t xml:space="preserve">. Available at: </w:t>
      </w:r>
      <w:hyperlink r:id="rId34" w:history="1">
        <w:r w:rsidRPr="008F4F6D">
          <w:rPr>
            <w:rStyle w:val="Hyperlink"/>
            <w:rFonts w:cs="Arial"/>
          </w:rPr>
          <w:t>https://www.imarcgroup.com/uk-electric-vehicle-charging-market</w:t>
        </w:r>
      </w:hyperlink>
      <w:r w:rsidRPr="008F4F6D">
        <w:rPr>
          <w:rFonts w:cs="Arial"/>
        </w:rPr>
        <w:t>. (Accessed: 12</w:t>
      </w:r>
      <w:r w:rsidRPr="008F4F6D">
        <w:rPr>
          <w:rFonts w:cs="Arial"/>
          <w:vertAlign w:val="superscript"/>
        </w:rPr>
        <w:t>th</w:t>
      </w:r>
      <w:r w:rsidRPr="008F4F6D">
        <w:rPr>
          <w:rFonts w:cs="Arial"/>
        </w:rPr>
        <w:t xml:space="preserve"> October 2025)</w:t>
      </w:r>
    </w:p>
    <w:p w14:paraId="3302AEED" w14:textId="77777777" w:rsidR="00226C33" w:rsidRPr="008F4F6D" w:rsidRDefault="00226C33" w:rsidP="00226C33">
      <w:pPr>
        <w:rPr>
          <w:rFonts w:cs="Arial"/>
        </w:rPr>
      </w:pPr>
      <w:r w:rsidRPr="008F4F6D">
        <w:rPr>
          <w:rFonts w:cs="Arial"/>
        </w:rPr>
        <w:t xml:space="preserve">Investing (2025). </w:t>
      </w:r>
      <w:r w:rsidRPr="008F4F6D">
        <w:rPr>
          <w:rFonts w:cs="Arial"/>
          <w:i/>
          <w:iCs/>
        </w:rPr>
        <w:t>Rivian’s SWOT analysis: electric vehicle maker faces growth hurdles amid fierce competition</w:t>
      </w:r>
      <w:r w:rsidRPr="008F4F6D">
        <w:rPr>
          <w:rFonts w:cs="Arial"/>
        </w:rPr>
        <w:t xml:space="preserve">. Available at: </w:t>
      </w:r>
      <w:hyperlink r:id="rId35" w:history="1">
        <w:r w:rsidRPr="008F4F6D">
          <w:rPr>
            <w:rStyle w:val="Hyperlink"/>
            <w:rFonts w:cs="Arial"/>
          </w:rPr>
          <w:t>https://in.investing.com/news/swot-analysis/rivians-swot-analysis-electric-vehicle-maker-faces-growth-hurdles-amid-fierce-competition-93CH-5036036</w:t>
        </w:r>
      </w:hyperlink>
      <w:r w:rsidRPr="008F4F6D">
        <w:rPr>
          <w:rFonts w:cs="Arial"/>
        </w:rPr>
        <w:t xml:space="preserve"> (Accessed: 12</w:t>
      </w:r>
      <w:r w:rsidRPr="008F4F6D">
        <w:rPr>
          <w:rFonts w:cs="Arial"/>
          <w:vertAlign w:val="superscript"/>
        </w:rPr>
        <w:t>th</w:t>
      </w:r>
      <w:r w:rsidRPr="008F4F6D">
        <w:rPr>
          <w:rFonts w:cs="Arial"/>
        </w:rPr>
        <w:t xml:space="preserve"> October 2025)</w:t>
      </w:r>
    </w:p>
    <w:p w14:paraId="08FD9B35" w14:textId="77777777" w:rsidR="00226C33" w:rsidRPr="008F4F6D" w:rsidRDefault="00226C33" w:rsidP="00226C33">
      <w:pPr>
        <w:rPr>
          <w:rFonts w:cs="Arial"/>
        </w:rPr>
      </w:pPr>
      <w:r w:rsidRPr="008F4F6D">
        <w:rPr>
          <w:rFonts w:cs="Arial"/>
        </w:rPr>
        <w:t xml:space="preserve">Kageyama, Y. (2025). </w:t>
      </w:r>
      <w:r w:rsidRPr="008F4F6D">
        <w:rPr>
          <w:rFonts w:cs="Arial"/>
          <w:i/>
          <w:iCs/>
        </w:rPr>
        <w:t>Japan’s troubled automaker Nissan banks on hybrid EV technology</w:t>
      </w:r>
      <w:r w:rsidRPr="008F4F6D">
        <w:rPr>
          <w:rFonts w:cs="Arial"/>
        </w:rPr>
        <w:t xml:space="preserve">. Available at: </w:t>
      </w:r>
      <w:hyperlink r:id="rId36" w:history="1">
        <w:r w:rsidRPr="008F4F6D">
          <w:rPr>
            <w:rStyle w:val="Hyperlink"/>
            <w:rFonts w:cs="Arial"/>
          </w:rPr>
          <w:t>https://apnews.com/article/nissan-japan-automakers-losses-ev-hybrids-eb87779c2b251254768327aa713ce0a2</w:t>
        </w:r>
      </w:hyperlink>
      <w:r w:rsidRPr="008F4F6D">
        <w:rPr>
          <w:rFonts w:cs="Arial"/>
        </w:rPr>
        <w:t>. (Accessed: 13</w:t>
      </w:r>
      <w:r w:rsidRPr="008F4F6D">
        <w:rPr>
          <w:rFonts w:cs="Arial"/>
          <w:vertAlign w:val="superscript"/>
        </w:rPr>
        <w:t>th</w:t>
      </w:r>
      <w:r w:rsidRPr="008F4F6D">
        <w:rPr>
          <w:rFonts w:cs="Arial"/>
        </w:rPr>
        <w:t xml:space="preserve"> October 2025)</w:t>
      </w:r>
    </w:p>
    <w:p w14:paraId="04380352" w14:textId="77777777" w:rsidR="00226C33" w:rsidRPr="008F4F6D" w:rsidRDefault="00226C33" w:rsidP="00226C33">
      <w:pPr>
        <w:rPr>
          <w:rFonts w:cs="Arial"/>
        </w:rPr>
      </w:pPr>
      <w:r w:rsidRPr="008F4F6D">
        <w:rPr>
          <w:rFonts w:cs="Arial"/>
        </w:rPr>
        <w:t xml:space="preserve">Nissan (2025a). </w:t>
      </w:r>
      <w:r w:rsidRPr="008F4F6D">
        <w:rPr>
          <w:rFonts w:cs="Arial"/>
          <w:i/>
          <w:iCs/>
        </w:rPr>
        <w:t>Nissan to launch affordable Vehicle to Grid technology from 2026</w:t>
      </w:r>
      <w:r w:rsidRPr="008F4F6D">
        <w:rPr>
          <w:rFonts w:cs="Arial"/>
        </w:rPr>
        <w:t xml:space="preserve">. Available at: </w:t>
      </w:r>
      <w:hyperlink r:id="rId37" w:history="1">
        <w:r w:rsidRPr="008F4F6D">
          <w:rPr>
            <w:rStyle w:val="Hyperlink"/>
            <w:rFonts w:cs="Arial"/>
          </w:rPr>
          <w:t>https://www.nissan-me.com/experience-nissan/news-and-events/latestnews/nissan-v-to-g-launch.html</w:t>
        </w:r>
      </w:hyperlink>
      <w:r w:rsidRPr="008F4F6D">
        <w:rPr>
          <w:rFonts w:cs="Arial"/>
        </w:rPr>
        <w:t xml:space="preserve"> (Accessed: 14</w:t>
      </w:r>
      <w:r w:rsidRPr="008F4F6D">
        <w:rPr>
          <w:rFonts w:cs="Arial"/>
          <w:vertAlign w:val="superscript"/>
        </w:rPr>
        <w:t>th</w:t>
      </w:r>
      <w:r w:rsidRPr="008F4F6D">
        <w:rPr>
          <w:rFonts w:cs="Arial"/>
        </w:rPr>
        <w:t xml:space="preserve"> October 2025)</w:t>
      </w:r>
    </w:p>
    <w:p w14:paraId="73E403B4" w14:textId="77777777" w:rsidR="00226C33" w:rsidRPr="008F4F6D" w:rsidRDefault="00226C33" w:rsidP="00226C33">
      <w:pPr>
        <w:rPr>
          <w:rFonts w:cs="Arial"/>
        </w:rPr>
      </w:pPr>
      <w:r w:rsidRPr="008F4F6D">
        <w:rPr>
          <w:rFonts w:cs="Arial"/>
        </w:rPr>
        <w:t xml:space="preserve">Nissan (2025b). </w:t>
      </w:r>
      <w:r w:rsidRPr="008F4F6D">
        <w:rPr>
          <w:rFonts w:cs="Arial"/>
          <w:i/>
          <w:iCs/>
        </w:rPr>
        <w:t>Jim Bass Nissan</w:t>
      </w:r>
      <w:r w:rsidRPr="008F4F6D">
        <w:rPr>
          <w:rFonts w:cs="Arial"/>
        </w:rPr>
        <w:t xml:space="preserve">. Available at: </w:t>
      </w:r>
      <w:hyperlink r:id="rId38" w:history="1">
        <w:r w:rsidRPr="008F4F6D">
          <w:rPr>
            <w:rStyle w:val="Hyperlink"/>
            <w:rFonts w:cs="Arial"/>
          </w:rPr>
          <w:t>https://www.jimbassnissan.com/blog/2025-nissan-technology-and-safety-updates-revealed/</w:t>
        </w:r>
      </w:hyperlink>
      <w:r w:rsidRPr="008F4F6D">
        <w:rPr>
          <w:rFonts w:cs="Arial"/>
        </w:rPr>
        <w:t xml:space="preserve"> (Accessed: 13</w:t>
      </w:r>
      <w:r w:rsidRPr="008F4F6D">
        <w:rPr>
          <w:rFonts w:cs="Arial"/>
          <w:vertAlign w:val="superscript"/>
        </w:rPr>
        <w:t>th</w:t>
      </w:r>
      <w:r w:rsidRPr="008F4F6D">
        <w:rPr>
          <w:rFonts w:cs="Arial"/>
        </w:rPr>
        <w:t xml:space="preserve"> October 2025)</w:t>
      </w:r>
    </w:p>
    <w:p w14:paraId="0D6F02F6" w14:textId="77777777" w:rsidR="00226C33" w:rsidRPr="008F4F6D" w:rsidRDefault="00226C33" w:rsidP="00226C33">
      <w:pPr>
        <w:rPr>
          <w:rFonts w:cs="Arial"/>
        </w:rPr>
      </w:pPr>
      <w:r w:rsidRPr="008F4F6D">
        <w:rPr>
          <w:rFonts w:cs="Arial"/>
        </w:rPr>
        <w:t xml:space="preserve">Nolan, S. (2024). </w:t>
      </w:r>
      <w:r w:rsidRPr="008F4F6D">
        <w:rPr>
          <w:rFonts w:cs="Arial"/>
          <w:i/>
          <w:iCs/>
        </w:rPr>
        <w:t>US Election 2024: The Future of EVs at Stake</w:t>
      </w:r>
      <w:r w:rsidRPr="008F4F6D">
        <w:rPr>
          <w:rFonts w:cs="Arial"/>
        </w:rPr>
        <w:t xml:space="preserve">. Available at: </w:t>
      </w:r>
      <w:hyperlink r:id="rId39" w:history="1">
        <w:r w:rsidRPr="008F4F6D">
          <w:rPr>
            <w:rStyle w:val="Hyperlink"/>
            <w:rFonts w:cs="Arial"/>
          </w:rPr>
          <w:t>https://evmagazine.com/articles/us-election-2024-the-future-of-evs-at-stake</w:t>
        </w:r>
      </w:hyperlink>
      <w:r w:rsidRPr="008F4F6D">
        <w:rPr>
          <w:rFonts w:cs="Arial"/>
        </w:rPr>
        <w:t>. (Accessed: 13</w:t>
      </w:r>
      <w:r w:rsidRPr="008F4F6D">
        <w:rPr>
          <w:rFonts w:cs="Arial"/>
          <w:vertAlign w:val="superscript"/>
        </w:rPr>
        <w:t>th</w:t>
      </w:r>
      <w:r w:rsidRPr="008F4F6D">
        <w:rPr>
          <w:rFonts w:cs="Arial"/>
        </w:rPr>
        <w:t xml:space="preserve"> October 2025)</w:t>
      </w:r>
    </w:p>
    <w:p w14:paraId="76D14080" w14:textId="77777777" w:rsidR="00226C33" w:rsidRPr="008F4F6D" w:rsidRDefault="00226C33" w:rsidP="00226C33">
      <w:pPr>
        <w:rPr>
          <w:rFonts w:cs="Arial"/>
        </w:rPr>
      </w:pPr>
      <w:r w:rsidRPr="008F4F6D">
        <w:rPr>
          <w:rFonts w:cs="Arial"/>
        </w:rPr>
        <w:t xml:space="preserve">Nuccitelli, D. (2025). </w:t>
      </w:r>
      <w:r w:rsidRPr="008F4F6D">
        <w:rPr>
          <w:rFonts w:cs="Arial"/>
          <w:i/>
          <w:iCs/>
        </w:rPr>
        <w:t>Electric vehicle adoption is stumbling, but still growing amid geopolitical clashes</w:t>
      </w:r>
      <w:r w:rsidRPr="008F4F6D">
        <w:rPr>
          <w:rFonts w:cs="Arial"/>
        </w:rPr>
        <w:t xml:space="preserve">. Available at: </w:t>
      </w:r>
      <w:hyperlink r:id="rId40" w:history="1">
        <w:r w:rsidRPr="008F4F6D">
          <w:rPr>
            <w:rStyle w:val="Hyperlink"/>
            <w:rFonts w:cs="Arial"/>
          </w:rPr>
          <w:t>https://yaleclimateconnections.org/2025/02/electric-vehicle-adoption-is-stumbling-but-still-growing-amid-geopolitical-clashes/</w:t>
        </w:r>
      </w:hyperlink>
      <w:r w:rsidRPr="008F4F6D">
        <w:rPr>
          <w:rFonts w:cs="Arial"/>
        </w:rPr>
        <w:t>. (Accessed: 13</w:t>
      </w:r>
      <w:r w:rsidRPr="008F4F6D">
        <w:rPr>
          <w:rFonts w:cs="Arial"/>
          <w:vertAlign w:val="superscript"/>
        </w:rPr>
        <w:t>th</w:t>
      </w:r>
      <w:r w:rsidRPr="008F4F6D">
        <w:rPr>
          <w:rFonts w:cs="Arial"/>
        </w:rPr>
        <w:t xml:space="preserve"> October 2025)</w:t>
      </w:r>
    </w:p>
    <w:p w14:paraId="54A463FD" w14:textId="77777777" w:rsidR="00226C33" w:rsidRPr="008F4F6D" w:rsidRDefault="00226C33" w:rsidP="00226C33">
      <w:pPr>
        <w:rPr>
          <w:rFonts w:cs="Arial"/>
        </w:rPr>
      </w:pPr>
      <w:r w:rsidRPr="008F4F6D">
        <w:rPr>
          <w:rFonts w:cs="Arial"/>
        </w:rPr>
        <w:lastRenderedPageBreak/>
        <w:t xml:space="preserve">Ochoa, J. (2024). </w:t>
      </w:r>
      <w:r w:rsidRPr="008F4F6D">
        <w:rPr>
          <w:rFonts w:cs="Arial"/>
          <w:i/>
          <w:iCs/>
        </w:rPr>
        <w:t>Toyota exec slams ‘impossible’ EV mandate amidst political chaos</w:t>
      </w:r>
      <w:r w:rsidRPr="008F4F6D">
        <w:rPr>
          <w:rFonts w:cs="Arial"/>
        </w:rPr>
        <w:t xml:space="preserve">. Available at: </w:t>
      </w:r>
      <w:hyperlink r:id="rId41" w:history="1">
        <w:r w:rsidRPr="008F4F6D">
          <w:rPr>
            <w:rStyle w:val="Hyperlink"/>
            <w:rFonts w:cs="Arial"/>
          </w:rPr>
          <w:t>https://www.thestreet.com/automotive/toyota-exec-slams-impossible-ev-mandate-amidst-political-chaos</w:t>
        </w:r>
      </w:hyperlink>
      <w:r w:rsidRPr="008F4F6D">
        <w:rPr>
          <w:rFonts w:cs="Arial"/>
        </w:rPr>
        <w:t xml:space="preserve"> (Accessed: 14</w:t>
      </w:r>
      <w:r w:rsidRPr="008F4F6D">
        <w:rPr>
          <w:rFonts w:cs="Arial"/>
          <w:vertAlign w:val="superscript"/>
        </w:rPr>
        <w:t>th</w:t>
      </w:r>
      <w:r w:rsidRPr="008F4F6D">
        <w:rPr>
          <w:rFonts w:cs="Arial"/>
        </w:rPr>
        <w:t xml:space="preserve"> October 2025)</w:t>
      </w:r>
    </w:p>
    <w:p w14:paraId="419CB38E" w14:textId="77777777" w:rsidR="00226C33" w:rsidRPr="008F4F6D" w:rsidRDefault="00226C33" w:rsidP="00226C33">
      <w:pPr>
        <w:rPr>
          <w:rFonts w:cs="Arial"/>
        </w:rPr>
      </w:pPr>
      <w:r w:rsidRPr="008F4F6D">
        <w:rPr>
          <w:rFonts w:cs="Arial"/>
        </w:rPr>
        <w:t xml:space="preserve">Patrick (2024). </w:t>
      </w:r>
      <w:r w:rsidRPr="008F4F6D">
        <w:rPr>
          <w:rFonts w:cs="Arial"/>
          <w:i/>
          <w:iCs/>
        </w:rPr>
        <w:t>The Zero Emissions Vehicle Mandate – What Impact Could This Have For Fleets?</w:t>
      </w:r>
      <w:r w:rsidRPr="008F4F6D">
        <w:rPr>
          <w:rFonts w:cs="Arial"/>
        </w:rPr>
        <w:t xml:space="preserve"> Available at: </w:t>
      </w:r>
      <w:hyperlink r:id="rId42" w:history="1">
        <w:r w:rsidRPr="008F4F6D">
          <w:rPr>
            <w:rStyle w:val="Hyperlink"/>
            <w:rFonts w:cs="Arial"/>
          </w:rPr>
          <w:t>https://www.dawsongroupvans.co.uk/the-zero-emissions-vehicle-mandate-what-impact-could-this-have-for-fleets/</w:t>
        </w:r>
      </w:hyperlink>
      <w:r w:rsidRPr="008F4F6D">
        <w:rPr>
          <w:rFonts w:cs="Arial"/>
        </w:rPr>
        <w:t>. (Accessed: 13</w:t>
      </w:r>
      <w:r w:rsidRPr="008F4F6D">
        <w:rPr>
          <w:rFonts w:cs="Arial"/>
          <w:vertAlign w:val="superscript"/>
        </w:rPr>
        <w:t>th</w:t>
      </w:r>
      <w:r w:rsidRPr="008F4F6D">
        <w:rPr>
          <w:rFonts w:cs="Arial"/>
        </w:rPr>
        <w:t xml:space="preserve"> October 2025)</w:t>
      </w:r>
    </w:p>
    <w:p w14:paraId="33A135D7" w14:textId="77777777" w:rsidR="00226C33" w:rsidRPr="008F4F6D" w:rsidRDefault="00226C33" w:rsidP="00226C33">
      <w:pPr>
        <w:rPr>
          <w:rFonts w:cs="Arial"/>
        </w:rPr>
      </w:pPr>
      <w:r w:rsidRPr="008F4F6D">
        <w:rPr>
          <w:rFonts w:cs="Arial"/>
        </w:rPr>
        <w:t>Priporas, C.V., Kamenidou, I., Nguyen, N. and Shams, R. (2020) ‘The impact of the macro-environment on consumer scepticism towards cause-related marketing: Insights from an economic crisis setting’, </w:t>
      </w:r>
      <w:r w:rsidRPr="008F4F6D">
        <w:rPr>
          <w:rFonts w:cs="Arial"/>
          <w:i/>
          <w:iCs/>
        </w:rPr>
        <w:t>International Marketing Review</w:t>
      </w:r>
      <w:r w:rsidRPr="008F4F6D">
        <w:rPr>
          <w:rFonts w:cs="Arial"/>
        </w:rPr>
        <w:t>, </w:t>
      </w:r>
      <w:r w:rsidRPr="008F4F6D">
        <w:rPr>
          <w:rFonts w:cs="Arial"/>
          <w:i/>
          <w:iCs/>
        </w:rPr>
        <w:t>37</w:t>
      </w:r>
      <w:r w:rsidRPr="008F4F6D">
        <w:rPr>
          <w:rFonts w:cs="Arial"/>
        </w:rPr>
        <w:t xml:space="preserve">(5), pp.841-861. </w:t>
      </w:r>
      <w:hyperlink r:id="rId43" w:history="1">
        <w:r w:rsidRPr="008F4F6D">
          <w:rPr>
            <w:rStyle w:val="Hyperlink"/>
            <w:rFonts w:cs="Arial"/>
          </w:rPr>
          <w:t>https://doi.org/10.1108/IMR-04-2019-0124</w:t>
        </w:r>
      </w:hyperlink>
      <w:r w:rsidRPr="008F4F6D">
        <w:rPr>
          <w:rFonts w:cs="Arial"/>
        </w:rPr>
        <w:t xml:space="preserve"> </w:t>
      </w:r>
    </w:p>
    <w:p w14:paraId="4A9B381F" w14:textId="77777777" w:rsidR="00226C33" w:rsidRPr="008F4F6D" w:rsidRDefault="00226C33" w:rsidP="00226C33">
      <w:pPr>
        <w:rPr>
          <w:rFonts w:cs="Arial"/>
        </w:rPr>
      </w:pPr>
      <w:r w:rsidRPr="008F4F6D">
        <w:rPr>
          <w:rFonts w:cs="Arial"/>
        </w:rPr>
        <w:t xml:space="preserve">Rajagopal, U. (2024). </w:t>
      </w:r>
      <w:r w:rsidRPr="008F4F6D">
        <w:rPr>
          <w:rFonts w:cs="Arial"/>
          <w:i/>
          <w:iCs/>
        </w:rPr>
        <w:t>Spain grants $146 million subsidy to Stellantis for potential EV battery plant</w:t>
      </w:r>
      <w:r w:rsidRPr="008F4F6D">
        <w:rPr>
          <w:rFonts w:cs="Arial"/>
        </w:rPr>
        <w:t xml:space="preserve">. Available at: </w:t>
      </w:r>
      <w:hyperlink r:id="rId44" w:history="1">
        <w:r w:rsidRPr="008F4F6D">
          <w:rPr>
            <w:rStyle w:val="Hyperlink"/>
            <w:rFonts w:cs="Arial"/>
          </w:rPr>
          <w:t>https://www.globalbankingandfinance.com/spain-grants-146-million-subsidy-to-stellantis-for-potential-ev-battery-plant</w:t>
        </w:r>
      </w:hyperlink>
      <w:r w:rsidRPr="008F4F6D">
        <w:rPr>
          <w:rFonts w:cs="Arial"/>
        </w:rPr>
        <w:t xml:space="preserve"> (Accessed: 13</w:t>
      </w:r>
      <w:r w:rsidRPr="008F4F6D">
        <w:rPr>
          <w:rFonts w:cs="Arial"/>
          <w:vertAlign w:val="superscript"/>
        </w:rPr>
        <w:t>th</w:t>
      </w:r>
      <w:r w:rsidRPr="008F4F6D">
        <w:rPr>
          <w:rFonts w:cs="Arial"/>
        </w:rPr>
        <w:t xml:space="preserve"> October 2025)</w:t>
      </w:r>
    </w:p>
    <w:p w14:paraId="3FC4CDE3" w14:textId="77777777" w:rsidR="00226C33" w:rsidRPr="008F4F6D" w:rsidRDefault="00226C33" w:rsidP="00226C33">
      <w:pPr>
        <w:rPr>
          <w:rFonts w:cs="Arial"/>
        </w:rPr>
      </w:pPr>
      <w:r w:rsidRPr="008F4F6D">
        <w:rPr>
          <w:rFonts w:cs="Arial"/>
        </w:rPr>
        <w:t xml:space="preserve">Reuters (2025). </w:t>
      </w:r>
      <w:r w:rsidRPr="008F4F6D">
        <w:rPr>
          <w:rFonts w:cs="Arial"/>
          <w:i/>
          <w:iCs/>
        </w:rPr>
        <w:t>Why China’s auto, tech giants threaten Tesla’s self-driving future</w:t>
      </w:r>
      <w:r w:rsidRPr="008F4F6D">
        <w:rPr>
          <w:rFonts w:cs="Arial"/>
        </w:rPr>
        <w:t xml:space="preserve">. Available at: </w:t>
      </w:r>
      <w:hyperlink r:id="rId45" w:history="1">
        <w:r w:rsidRPr="008F4F6D">
          <w:rPr>
            <w:rStyle w:val="Hyperlink"/>
            <w:rFonts w:cs="Arial"/>
          </w:rPr>
          <w:t>https://economictimes.indiatimes.com/industry/auto/china-byd-auto-tech-threaten-elon-musk-tesla-self-driving-future/articleshow/121751578.cms?from=mdr</w:t>
        </w:r>
      </w:hyperlink>
      <w:r w:rsidRPr="008F4F6D">
        <w:rPr>
          <w:rFonts w:cs="Arial"/>
        </w:rPr>
        <w:t>. (Accessed: 12</w:t>
      </w:r>
      <w:r w:rsidRPr="008F4F6D">
        <w:rPr>
          <w:rFonts w:cs="Arial"/>
          <w:vertAlign w:val="superscript"/>
        </w:rPr>
        <w:t>th</w:t>
      </w:r>
      <w:r w:rsidRPr="008F4F6D">
        <w:rPr>
          <w:rFonts w:cs="Arial"/>
        </w:rPr>
        <w:t xml:space="preserve"> October 2025)</w:t>
      </w:r>
    </w:p>
    <w:p w14:paraId="7C1B4205" w14:textId="77777777" w:rsidR="00226C33" w:rsidRPr="008F4F6D" w:rsidRDefault="00226C33" w:rsidP="00226C33">
      <w:pPr>
        <w:rPr>
          <w:rFonts w:cs="Arial"/>
        </w:rPr>
      </w:pPr>
      <w:r w:rsidRPr="008F4F6D">
        <w:rPr>
          <w:rFonts w:cs="Arial"/>
        </w:rPr>
        <w:t xml:space="preserve">Richter, F. (2025). </w:t>
      </w:r>
      <w:r w:rsidRPr="008F4F6D">
        <w:rPr>
          <w:rFonts w:cs="Arial"/>
          <w:i/>
          <w:iCs/>
        </w:rPr>
        <w:t>Infographic: Tesla Is Falling Behind in the European EV Market</w:t>
      </w:r>
      <w:r w:rsidRPr="008F4F6D">
        <w:rPr>
          <w:rFonts w:cs="Arial"/>
        </w:rPr>
        <w:t xml:space="preserve">. Available at: </w:t>
      </w:r>
      <w:hyperlink r:id="rId46" w:history="1">
        <w:r w:rsidRPr="008F4F6D">
          <w:rPr>
            <w:rStyle w:val="Hyperlink"/>
            <w:rFonts w:cs="Arial"/>
          </w:rPr>
          <w:t>https://www.statista.com/chart/34036/tesla-in-europe/?srsltid=AfmBOopTkJtUAlDSaqbxt_xd3BTkgk7r1hm6MxK2YBVB_WefuY0h9_LP</w:t>
        </w:r>
      </w:hyperlink>
      <w:r w:rsidRPr="008F4F6D">
        <w:rPr>
          <w:rFonts w:cs="Arial"/>
        </w:rPr>
        <w:t xml:space="preserve"> (Accessed: 12</w:t>
      </w:r>
      <w:r w:rsidRPr="008F4F6D">
        <w:rPr>
          <w:rFonts w:cs="Arial"/>
          <w:vertAlign w:val="superscript"/>
        </w:rPr>
        <w:t>th</w:t>
      </w:r>
      <w:r w:rsidRPr="008F4F6D">
        <w:rPr>
          <w:rFonts w:cs="Arial"/>
        </w:rPr>
        <w:t xml:space="preserve"> October 2025)</w:t>
      </w:r>
    </w:p>
    <w:p w14:paraId="3CC0C1BD" w14:textId="77777777" w:rsidR="00226C33" w:rsidRPr="008F4F6D" w:rsidRDefault="00226C33" w:rsidP="00226C33">
      <w:pPr>
        <w:rPr>
          <w:rFonts w:cs="Arial"/>
        </w:rPr>
      </w:pPr>
      <w:r w:rsidRPr="008F4F6D">
        <w:rPr>
          <w:rFonts w:cs="Arial"/>
        </w:rPr>
        <w:t xml:space="preserve">Robinson, A.D., Ella Nilsen, Lou (2024). </w:t>
      </w:r>
      <w:r w:rsidRPr="008F4F6D">
        <w:rPr>
          <w:rFonts w:cs="Arial"/>
          <w:i/>
          <w:iCs/>
        </w:rPr>
        <w:t>Toyota hits the gas on hybrids as EV sales cool. But what does that mean for the planet?</w:t>
      </w:r>
      <w:r w:rsidRPr="008F4F6D">
        <w:rPr>
          <w:rFonts w:cs="Arial"/>
        </w:rPr>
        <w:t xml:space="preserve"> Available at: </w:t>
      </w:r>
      <w:hyperlink r:id="rId47" w:history="1">
        <w:r w:rsidRPr="008F4F6D">
          <w:rPr>
            <w:rStyle w:val="Hyperlink"/>
            <w:rFonts w:cs="Arial"/>
          </w:rPr>
          <w:t>https://edition.cnn.com/2024/03/10/climate/hybrids-evs-toyota-climate-impact-int</w:t>
        </w:r>
      </w:hyperlink>
      <w:r w:rsidRPr="008F4F6D">
        <w:rPr>
          <w:rFonts w:cs="Arial"/>
        </w:rPr>
        <w:t>. (Accessed: 14</w:t>
      </w:r>
      <w:r w:rsidRPr="008F4F6D">
        <w:rPr>
          <w:rFonts w:cs="Arial"/>
          <w:vertAlign w:val="superscript"/>
        </w:rPr>
        <w:t>th</w:t>
      </w:r>
      <w:r w:rsidRPr="008F4F6D">
        <w:rPr>
          <w:rFonts w:cs="Arial"/>
        </w:rPr>
        <w:t xml:space="preserve"> October 2025)</w:t>
      </w:r>
    </w:p>
    <w:p w14:paraId="49D53651" w14:textId="77777777" w:rsidR="00226C33" w:rsidRPr="008F4F6D" w:rsidRDefault="00226C33" w:rsidP="00226C33">
      <w:pPr>
        <w:rPr>
          <w:rFonts w:cs="Arial"/>
        </w:rPr>
      </w:pPr>
      <w:r w:rsidRPr="008F4F6D">
        <w:rPr>
          <w:rFonts w:cs="Arial"/>
        </w:rPr>
        <w:t>Rochim, A.I., Ilman, G.M. and Ismail, H. (2025) ‘Political Economy Implications of Electric Vehicle Policies: A Bibliometric Analysis’, </w:t>
      </w:r>
      <w:r w:rsidRPr="008F4F6D">
        <w:rPr>
          <w:rFonts w:cs="Arial"/>
          <w:i/>
          <w:iCs/>
        </w:rPr>
        <w:t>Society</w:t>
      </w:r>
      <w:r w:rsidRPr="008F4F6D">
        <w:rPr>
          <w:rFonts w:cs="Arial"/>
        </w:rPr>
        <w:t>, </w:t>
      </w:r>
      <w:r w:rsidRPr="008F4F6D">
        <w:rPr>
          <w:rFonts w:cs="Arial"/>
          <w:i/>
          <w:iCs/>
        </w:rPr>
        <w:t>13</w:t>
      </w:r>
      <w:r w:rsidRPr="008F4F6D">
        <w:rPr>
          <w:rFonts w:cs="Arial"/>
        </w:rPr>
        <w:t xml:space="preserve">(1), pp.417-438. </w:t>
      </w:r>
      <w:hyperlink r:id="rId48" w:history="1">
        <w:r w:rsidRPr="008F4F6D">
          <w:rPr>
            <w:rStyle w:val="Hyperlink"/>
            <w:rFonts w:cs="Arial"/>
          </w:rPr>
          <w:t>https://www.societyfisipubb.id/index.php/society/article/download/772/627</w:t>
        </w:r>
      </w:hyperlink>
      <w:r w:rsidRPr="008F4F6D">
        <w:rPr>
          <w:rFonts w:cs="Arial"/>
        </w:rPr>
        <w:t xml:space="preserve"> </w:t>
      </w:r>
    </w:p>
    <w:p w14:paraId="1391A648" w14:textId="77777777" w:rsidR="00226C33" w:rsidRPr="008F4F6D" w:rsidRDefault="00226C33" w:rsidP="00226C33">
      <w:pPr>
        <w:rPr>
          <w:rFonts w:cs="Arial"/>
        </w:rPr>
      </w:pPr>
      <w:r w:rsidRPr="008F4F6D">
        <w:rPr>
          <w:rFonts w:cs="Arial"/>
        </w:rPr>
        <w:lastRenderedPageBreak/>
        <w:t xml:space="preserve">S&amp;P Global (2025). </w:t>
      </w:r>
      <w:r w:rsidRPr="008F4F6D">
        <w:rPr>
          <w:rFonts w:cs="Arial"/>
          <w:i/>
          <w:iCs/>
        </w:rPr>
        <w:t>UK DATA: EV sales reach record high of 381,970 units in 2024</w:t>
      </w:r>
      <w:r w:rsidRPr="008F4F6D">
        <w:rPr>
          <w:rFonts w:cs="Arial"/>
        </w:rPr>
        <w:t xml:space="preserve">. Available at: </w:t>
      </w:r>
      <w:hyperlink r:id="rId49" w:history="1">
        <w:r w:rsidRPr="008F4F6D">
          <w:rPr>
            <w:rStyle w:val="Hyperlink"/>
            <w:rFonts w:cs="Arial"/>
          </w:rPr>
          <w:t>https://www.spglobal.com/commodity-insights/en/news-research/latest-news/metals/010625-uk-data-ev-sales-reach-record-high-of-381970-units-in-2024</w:t>
        </w:r>
      </w:hyperlink>
      <w:r w:rsidRPr="008F4F6D">
        <w:rPr>
          <w:rFonts w:cs="Arial"/>
        </w:rPr>
        <w:t>. (Accessed: 12</w:t>
      </w:r>
      <w:r w:rsidRPr="008F4F6D">
        <w:rPr>
          <w:rFonts w:cs="Arial"/>
          <w:vertAlign w:val="superscript"/>
        </w:rPr>
        <w:t>th</w:t>
      </w:r>
      <w:r w:rsidRPr="008F4F6D">
        <w:rPr>
          <w:rFonts w:cs="Arial"/>
        </w:rPr>
        <w:t xml:space="preserve"> October 2025)</w:t>
      </w:r>
    </w:p>
    <w:p w14:paraId="55A4DE5D" w14:textId="77777777" w:rsidR="00226C33" w:rsidRPr="008F4F6D" w:rsidRDefault="00226C33" w:rsidP="00226C33">
      <w:pPr>
        <w:rPr>
          <w:rFonts w:cs="Arial"/>
        </w:rPr>
      </w:pPr>
      <w:r w:rsidRPr="008F4F6D">
        <w:rPr>
          <w:rFonts w:cs="Arial"/>
        </w:rPr>
        <w:t>Sanguesa, J.A., Torres-Sanz, V., Garrido, P., Martinez, F.J. and Marquez-Barja, J.M. (2021) ‘A review on electric vehicles: Technologies and challenges’, </w:t>
      </w:r>
      <w:r w:rsidRPr="008F4F6D">
        <w:rPr>
          <w:rFonts w:cs="Arial"/>
          <w:i/>
          <w:iCs/>
        </w:rPr>
        <w:t>Smart Cities</w:t>
      </w:r>
      <w:r w:rsidRPr="008F4F6D">
        <w:rPr>
          <w:rFonts w:cs="Arial"/>
        </w:rPr>
        <w:t>, </w:t>
      </w:r>
      <w:r w:rsidRPr="008F4F6D">
        <w:rPr>
          <w:rFonts w:cs="Arial"/>
          <w:i/>
          <w:iCs/>
        </w:rPr>
        <w:t>4</w:t>
      </w:r>
      <w:r w:rsidRPr="008F4F6D">
        <w:rPr>
          <w:rFonts w:cs="Arial"/>
        </w:rPr>
        <w:t xml:space="preserve">(1), pp.372-404. </w:t>
      </w:r>
      <w:hyperlink r:id="rId50" w:history="1">
        <w:r w:rsidRPr="008F4F6D">
          <w:rPr>
            <w:rStyle w:val="Hyperlink"/>
            <w:rFonts w:cs="Arial"/>
          </w:rPr>
          <w:t>https://doi.org/10.3390/smartcities4010022</w:t>
        </w:r>
      </w:hyperlink>
      <w:r w:rsidRPr="008F4F6D">
        <w:rPr>
          <w:rFonts w:cs="Arial"/>
        </w:rPr>
        <w:t xml:space="preserve"> </w:t>
      </w:r>
    </w:p>
    <w:p w14:paraId="30F37731" w14:textId="77777777" w:rsidR="00226C33" w:rsidRPr="008F4F6D" w:rsidRDefault="00226C33" w:rsidP="00226C33">
      <w:pPr>
        <w:rPr>
          <w:rFonts w:cs="Arial"/>
        </w:rPr>
      </w:pPr>
      <w:r w:rsidRPr="008F4F6D">
        <w:rPr>
          <w:rFonts w:cs="Arial"/>
        </w:rPr>
        <w:t xml:space="preserve">Statista (2025). </w:t>
      </w:r>
      <w:r w:rsidRPr="008F4F6D">
        <w:rPr>
          <w:rFonts w:cs="Arial"/>
          <w:i/>
          <w:iCs/>
        </w:rPr>
        <w:t>Electric Vehicles - United Kingdom | Market Forecast</w:t>
      </w:r>
      <w:r w:rsidRPr="008F4F6D">
        <w:rPr>
          <w:rFonts w:cs="Arial"/>
        </w:rPr>
        <w:t xml:space="preserve">. Available at: </w:t>
      </w:r>
      <w:hyperlink r:id="rId51" w:history="1">
        <w:r w:rsidRPr="008F4F6D">
          <w:rPr>
            <w:rStyle w:val="Hyperlink"/>
            <w:rFonts w:cs="Arial"/>
          </w:rPr>
          <w:t>https://www.statista.com/outlook/mmo/electric-vehicles/united-kingdom?srsltid=AfmBOoosg_rQlvHoiHVOJDoV3ffLLVCFst195a181Vmt993GLiEeYJeJ</w:t>
        </w:r>
      </w:hyperlink>
      <w:r w:rsidRPr="008F4F6D">
        <w:rPr>
          <w:rFonts w:cs="Arial"/>
        </w:rPr>
        <w:t xml:space="preserve"> (Accessed: 12</w:t>
      </w:r>
      <w:r w:rsidRPr="008F4F6D">
        <w:rPr>
          <w:rFonts w:cs="Arial"/>
          <w:vertAlign w:val="superscript"/>
        </w:rPr>
        <w:t>th</w:t>
      </w:r>
      <w:r w:rsidRPr="008F4F6D">
        <w:rPr>
          <w:rFonts w:cs="Arial"/>
        </w:rPr>
        <w:t xml:space="preserve"> October 2025)</w:t>
      </w:r>
    </w:p>
    <w:p w14:paraId="073071BD" w14:textId="77777777" w:rsidR="00226C33" w:rsidRPr="008F4F6D" w:rsidRDefault="00226C33" w:rsidP="00226C33">
      <w:pPr>
        <w:rPr>
          <w:rFonts w:cs="Arial"/>
        </w:rPr>
      </w:pPr>
      <w:r w:rsidRPr="008F4F6D">
        <w:rPr>
          <w:rFonts w:cs="Arial"/>
        </w:rPr>
        <w:t xml:space="preserve">The Times of India (2025). </w:t>
      </w:r>
      <w:r w:rsidRPr="008F4F6D">
        <w:rPr>
          <w:rFonts w:cs="Arial"/>
          <w:i/>
          <w:iCs/>
        </w:rPr>
        <w:t>New challenge for Musk’s Tesla? China’s EV giant reveals next-gen battery with lightning-fast charging</w:t>
      </w:r>
      <w:r w:rsidRPr="008F4F6D">
        <w:rPr>
          <w:rFonts w:cs="Arial"/>
        </w:rPr>
        <w:t xml:space="preserve">. Available at: </w:t>
      </w:r>
      <w:hyperlink r:id="rId52" w:history="1">
        <w:r w:rsidRPr="008F4F6D">
          <w:rPr>
            <w:rStyle w:val="Hyperlink"/>
            <w:rFonts w:cs="Arial"/>
          </w:rPr>
          <w:t>https://timesofindia.indiatimes.com/business/international-business/new-challenge-for-musks-tesla-chinas-ev-giant-reveals-next-gen-battery-with-lightning-fast-charging/articleshow/120574583.cms</w:t>
        </w:r>
      </w:hyperlink>
      <w:r w:rsidRPr="008F4F6D">
        <w:rPr>
          <w:rFonts w:cs="Arial"/>
        </w:rPr>
        <w:t xml:space="preserve">  (Accessed: 12</w:t>
      </w:r>
      <w:r w:rsidRPr="008F4F6D">
        <w:rPr>
          <w:rFonts w:cs="Arial"/>
          <w:vertAlign w:val="superscript"/>
        </w:rPr>
        <w:t>th</w:t>
      </w:r>
      <w:r w:rsidRPr="008F4F6D">
        <w:rPr>
          <w:rFonts w:cs="Arial"/>
        </w:rPr>
        <w:t xml:space="preserve"> October 2025)</w:t>
      </w:r>
    </w:p>
    <w:p w14:paraId="68881874" w14:textId="77777777" w:rsidR="00226C33" w:rsidRPr="008F4F6D" w:rsidRDefault="00226C33" w:rsidP="00226C33">
      <w:pPr>
        <w:rPr>
          <w:rFonts w:cs="Arial"/>
        </w:rPr>
      </w:pPr>
      <w:r w:rsidRPr="008F4F6D">
        <w:rPr>
          <w:rFonts w:cs="Arial"/>
        </w:rPr>
        <w:t>Vietnam</w:t>
      </w:r>
      <w:r>
        <w:rPr>
          <w:rFonts w:cs="Arial"/>
        </w:rPr>
        <w:t xml:space="preserve"> N</w:t>
      </w:r>
      <w:r w:rsidRPr="008F4F6D">
        <w:rPr>
          <w:rFonts w:cs="Arial"/>
        </w:rPr>
        <w:t xml:space="preserve">ews (2025). </w:t>
      </w:r>
      <w:r w:rsidRPr="008F4F6D">
        <w:rPr>
          <w:rFonts w:cs="Arial"/>
          <w:i/>
          <w:iCs/>
        </w:rPr>
        <w:t>Distributor of Wuling electric cars continues to face deep losses</w:t>
      </w:r>
      <w:r w:rsidRPr="008F4F6D">
        <w:rPr>
          <w:rFonts w:cs="Arial"/>
        </w:rPr>
        <w:t xml:space="preserve">. Available at: </w:t>
      </w:r>
      <w:hyperlink r:id="rId53" w:history="1">
        <w:r w:rsidRPr="008F4F6D">
          <w:rPr>
            <w:rStyle w:val="Hyperlink"/>
            <w:rFonts w:cs="Arial"/>
          </w:rPr>
          <w:t>https://vietnamnews.vn/economy/1692003/distributor-of-wuling-electric-cars-continues-to-face-deep-losses.html</w:t>
        </w:r>
      </w:hyperlink>
      <w:r w:rsidRPr="008F4F6D">
        <w:rPr>
          <w:rFonts w:cs="Arial"/>
        </w:rPr>
        <w:t xml:space="preserve"> (Accessed: 14</w:t>
      </w:r>
      <w:r w:rsidRPr="008F4F6D">
        <w:rPr>
          <w:rFonts w:cs="Arial"/>
          <w:vertAlign w:val="superscript"/>
        </w:rPr>
        <w:t>th</w:t>
      </w:r>
      <w:r w:rsidRPr="008F4F6D">
        <w:rPr>
          <w:rFonts w:cs="Arial"/>
        </w:rPr>
        <w:t xml:space="preserve"> October 2025)</w:t>
      </w:r>
    </w:p>
    <w:p w14:paraId="481F0E34" w14:textId="77777777" w:rsidR="00226C33" w:rsidRPr="008F4F6D" w:rsidRDefault="00226C33" w:rsidP="00226C33">
      <w:pPr>
        <w:rPr>
          <w:rFonts w:cs="Arial"/>
        </w:rPr>
      </w:pPr>
      <w:r w:rsidRPr="008F4F6D">
        <w:rPr>
          <w:rFonts w:cs="Arial"/>
        </w:rPr>
        <w:t xml:space="preserve">Walker, C. (2025). </w:t>
      </w:r>
      <w:r w:rsidRPr="008F4F6D">
        <w:rPr>
          <w:rFonts w:cs="Arial"/>
          <w:i/>
          <w:iCs/>
        </w:rPr>
        <w:t>Government EV policy change could cost over £1000 a year for millions</w:t>
      </w:r>
      <w:r>
        <w:rPr>
          <w:rFonts w:cs="Arial"/>
          <w:i/>
          <w:iCs/>
        </w:rPr>
        <w:t xml:space="preserve">. </w:t>
      </w:r>
      <w:r w:rsidRPr="008F4F6D">
        <w:rPr>
          <w:rFonts w:cs="Arial"/>
        </w:rPr>
        <w:t xml:space="preserve">Available at: </w:t>
      </w:r>
      <w:hyperlink r:id="rId54" w:history="1">
        <w:r w:rsidRPr="008F4F6D">
          <w:rPr>
            <w:rStyle w:val="Hyperlink"/>
            <w:rFonts w:cs="Arial"/>
          </w:rPr>
          <w:t>https://eciu.net/media/press-releases/2025/government-ev-policy-change-could-cost-over-1000-a-year-for-millions-of-families</w:t>
        </w:r>
      </w:hyperlink>
      <w:r w:rsidRPr="008F4F6D">
        <w:rPr>
          <w:rFonts w:cs="Arial"/>
        </w:rPr>
        <w:t>. (Accessed: 13</w:t>
      </w:r>
      <w:r w:rsidRPr="008F4F6D">
        <w:rPr>
          <w:rFonts w:cs="Arial"/>
          <w:vertAlign w:val="superscript"/>
        </w:rPr>
        <w:t>th</w:t>
      </w:r>
      <w:r w:rsidRPr="008F4F6D">
        <w:rPr>
          <w:rFonts w:cs="Arial"/>
        </w:rPr>
        <w:t xml:space="preserve"> October 2025)</w:t>
      </w:r>
    </w:p>
    <w:p w14:paraId="6A70C897" w14:textId="77777777" w:rsidR="00226C33" w:rsidRPr="008F4F6D" w:rsidRDefault="00226C33" w:rsidP="00226C33">
      <w:pPr>
        <w:rPr>
          <w:rFonts w:cs="Arial"/>
        </w:rPr>
      </w:pPr>
      <w:r w:rsidRPr="008F4F6D">
        <w:rPr>
          <w:rFonts w:cs="Arial"/>
        </w:rPr>
        <w:t xml:space="preserve">Wile, R. (2025). </w:t>
      </w:r>
      <w:r w:rsidRPr="008F4F6D">
        <w:rPr>
          <w:rFonts w:cs="Arial"/>
          <w:i/>
          <w:iCs/>
        </w:rPr>
        <w:t>GM takes $1.6 billion hit on electric vehicle rollout as U.S. automakers rethink future</w:t>
      </w:r>
      <w:r w:rsidRPr="008F4F6D">
        <w:rPr>
          <w:rFonts w:cs="Arial"/>
        </w:rPr>
        <w:t xml:space="preserve">. Available at: </w:t>
      </w:r>
      <w:hyperlink r:id="rId55" w:history="1">
        <w:r w:rsidRPr="008F4F6D">
          <w:rPr>
            <w:rStyle w:val="Hyperlink"/>
            <w:rFonts w:cs="Arial"/>
          </w:rPr>
          <w:t>https://www.nbcnews.com/business/autos/electric-vehicle-ev-slowdown-rcna237652</w:t>
        </w:r>
      </w:hyperlink>
      <w:r w:rsidRPr="008F4F6D">
        <w:rPr>
          <w:rFonts w:cs="Arial"/>
        </w:rPr>
        <w:t>. (Accessed: 13</w:t>
      </w:r>
      <w:r w:rsidRPr="008F4F6D">
        <w:rPr>
          <w:rFonts w:cs="Arial"/>
          <w:vertAlign w:val="superscript"/>
        </w:rPr>
        <w:t>th</w:t>
      </w:r>
      <w:r w:rsidRPr="008F4F6D">
        <w:rPr>
          <w:rFonts w:cs="Arial"/>
        </w:rPr>
        <w:t xml:space="preserve"> October 2025)</w:t>
      </w:r>
    </w:p>
    <w:p w14:paraId="03CC31AF" w14:textId="77777777" w:rsidR="00226C33" w:rsidRPr="00C03DCC" w:rsidRDefault="00226C33" w:rsidP="00226C33">
      <w:pPr>
        <w:rPr>
          <w:rFonts w:cs="Arial"/>
        </w:rPr>
      </w:pPr>
      <w:r w:rsidRPr="008F4F6D">
        <w:rPr>
          <w:rFonts w:cs="Arial"/>
        </w:rPr>
        <w:t xml:space="preserve">YEUNG, K. (2025) ‘Understanding value creation and appropriation in a disruptive narrative: the UK EV sector’. </w:t>
      </w:r>
      <w:hyperlink r:id="rId56" w:history="1">
        <w:r w:rsidRPr="008F4F6D">
          <w:rPr>
            <w:rStyle w:val="Hyperlink"/>
            <w:rFonts w:cs="Arial"/>
          </w:rPr>
          <w:t>https://www.ijbms.net/assets/files/1737336271.pdf</w:t>
        </w:r>
      </w:hyperlink>
      <w:r w:rsidRPr="008F4F6D">
        <w:rPr>
          <w:rFonts w:cs="Arial"/>
        </w:rPr>
        <w:t xml:space="preserve"> </w:t>
      </w:r>
    </w:p>
    <w:sectPr w:rsidR="00226C33" w:rsidRPr="00C03DCC" w:rsidSect="00E62100">
      <w:footerReference w:type="default" r:id="rId57"/>
      <w:pgSz w:w="11906" w:h="16838" w:code="9"/>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CEE776" w14:textId="77777777" w:rsidR="00BF11B8" w:rsidRDefault="00BF11B8" w:rsidP="00E62100">
      <w:pPr>
        <w:spacing w:line="240" w:lineRule="auto"/>
      </w:pPr>
      <w:r>
        <w:separator/>
      </w:r>
    </w:p>
  </w:endnote>
  <w:endnote w:type="continuationSeparator" w:id="0">
    <w:p w14:paraId="32374665" w14:textId="77777777" w:rsidR="00BF11B8" w:rsidRDefault="00BF11B8" w:rsidP="00E621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4827357"/>
      <w:docPartObj>
        <w:docPartGallery w:val="Page Numbers (Bottom of Page)"/>
        <w:docPartUnique/>
      </w:docPartObj>
    </w:sdtPr>
    <w:sdtEndPr>
      <w:rPr>
        <w:noProof/>
      </w:rPr>
    </w:sdtEndPr>
    <w:sdtContent>
      <w:p w14:paraId="666DB330" w14:textId="2FD8C56B" w:rsidR="00E62100" w:rsidRDefault="00E62100" w:rsidP="009032E5">
        <w:pPr>
          <w:pStyle w:val="Footer"/>
          <w:jc w:val="right"/>
        </w:pPr>
        <w:r>
          <w:fldChar w:fldCharType="begin"/>
        </w:r>
        <w:r>
          <w:instrText xml:space="preserve"> PAGE   \* MERGEFORMAT </w:instrText>
        </w:r>
        <w:r>
          <w:fldChar w:fldCharType="separate"/>
        </w:r>
        <w:r w:rsidR="00DD03F3">
          <w:rPr>
            <w:noProof/>
          </w:rPr>
          <w:t>13</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596292" w14:textId="77777777" w:rsidR="00BF11B8" w:rsidRDefault="00BF11B8" w:rsidP="00E62100">
      <w:pPr>
        <w:spacing w:line="240" w:lineRule="auto"/>
      </w:pPr>
      <w:r>
        <w:separator/>
      </w:r>
    </w:p>
  </w:footnote>
  <w:footnote w:type="continuationSeparator" w:id="0">
    <w:p w14:paraId="3D5A119B" w14:textId="77777777" w:rsidR="00BF11B8" w:rsidRDefault="00BF11B8" w:rsidP="00E6210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579"/>
    <w:rsid w:val="00046401"/>
    <w:rsid w:val="00062E37"/>
    <w:rsid w:val="000935BD"/>
    <w:rsid w:val="00132579"/>
    <w:rsid w:val="0018652A"/>
    <w:rsid w:val="001A7147"/>
    <w:rsid w:val="001F3DA7"/>
    <w:rsid w:val="00210707"/>
    <w:rsid w:val="00226C33"/>
    <w:rsid w:val="00256008"/>
    <w:rsid w:val="00320344"/>
    <w:rsid w:val="0036202B"/>
    <w:rsid w:val="00363606"/>
    <w:rsid w:val="003636A7"/>
    <w:rsid w:val="00452CB6"/>
    <w:rsid w:val="005A7BB7"/>
    <w:rsid w:val="005C677B"/>
    <w:rsid w:val="00674CFD"/>
    <w:rsid w:val="006973BC"/>
    <w:rsid w:val="006D3F0C"/>
    <w:rsid w:val="00715E30"/>
    <w:rsid w:val="00786F04"/>
    <w:rsid w:val="007A0FCF"/>
    <w:rsid w:val="007E44CE"/>
    <w:rsid w:val="00805193"/>
    <w:rsid w:val="0088405F"/>
    <w:rsid w:val="008F04A2"/>
    <w:rsid w:val="008F4F6D"/>
    <w:rsid w:val="009032E5"/>
    <w:rsid w:val="009F0215"/>
    <w:rsid w:val="00A01FFD"/>
    <w:rsid w:val="00A11F67"/>
    <w:rsid w:val="00A71EC5"/>
    <w:rsid w:val="00A94B2C"/>
    <w:rsid w:val="00AD49E2"/>
    <w:rsid w:val="00AE7BAD"/>
    <w:rsid w:val="00BF11B8"/>
    <w:rsid w:val="00C03DCC"/>
    <w:rsid w:val="00C259AD"/>
    <w:rsid w:val="00C7449A"/>
    <w:rsid w:val="00C9281D"/>
    <w:rsid w:val="00CD2C9D"/>
    <w:rsid w:val="00D1368D"/>
    <w:rsid w:val="00D33D7E"/>
    <w:rsid w:val="00DD03F3"/>
    <w:rsid w:val="00DE203F"/>
    <w:rsid w:val="00E62100"/>
    <w:rsid w:val="00E9642C"/>
    <w:rsid w:val="00EA6A99"/>
    <w:rsid w:val="00F13910"/>
    <w:rsid w:val="00F526D7"/>
    <w:rsid w:val="00FD4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F37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0FCF"/>
    <w:pPr>
      <w:spacing w:before="120" w:after="120" w:line="360" w:lineRule="auto"/>
    </w:pPr>
    <w:rPr>
      <w:rFonts w:ascii="Arial" w:hAnsi="Arial"/>
      <w:color w:val="000000" w:themeColor="text1"/>
      <w:lang w:val="en-GB"/>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character" w:styleId="Hyperlink">
    <w:name w:val="Hyperlink"/>
    <w:basedOn w:val="DefaultParagraphFont"/>
    <w:uiPriority w:val="99"/>
    <w:unhideWhenUsed/>
    <w:rsid w:val="00A11F67"/>
    <w:rPr>
      <w:color w:val="0000FF" w:themeColor="hyperlink"/>
      <w:u w:val="single"/>
    </w:rPr>
  </w:style>
  <w:style w:type="paragraph" w:styleId="TOCHeading">
    <w:name w:val="TOC Heading"/>
    <w:basedOn w:val="Heading1"/>
    <w:next w:val="Normal"/>
    <w:uiPriority w:val="39"/>
    <w:unhideWhenUsed/>
    <w:qFormat/>
    <w:rsid w:val="008F4F6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F4F6D"/>
    <w:pPr>
      <w:spacing w:after="100"/>
    </w:pPr>
  </w:style>
  <w:style w:type="paragraph" w:styleId="TOC2">
    <w:name w:val="toc 2"/>
    <w:basedOn w:val="Normal"/>
    <w:next w:val="Normal"/>
    <w:autoRedefine/>
    <w:uiPriority w:val="39"/>
    <w:unhideWhenUsed/>
    <w:rsid w:val="008F4F6D"/>
    <w:pPr>
      <w:spacing w:after="100"/>
      <w:ind w:left="240"/>
    </w:pPr>
  </w:style>
  <w:style w:type="paragraph" w:styleId="Header">
    <w:name w:val="header"/>
    <w:basedOn w:val="Normal"/>
    <w:link w:val="HeaderChar"/>
    <w:uiPriority w:val="99"/>
    <w:unhideWhenUsed/>
    <w:rsid w:val="00E62100"/>
    <w:pPr>
      <w:tabs>
        <w:tab w:val="center" w:pos="4680"/>
        <w:tab w:val="right" w:pos="9360"/>
      </w:tabs>
      <w:spacing w:line="240" w:lineRule="auto"/>
    </w:pPr>
  </w:style>
  <w:style w:type="character" w:customStyle="1" w:styleId="HeaderChar">
    <w:name w:val="Header Char"/>
    <w:basedOn w:val="DefaultParagraphFont"/>
    <w:link w:val="Header"/>
    <w:uiPriority w:val="99"/>
    <w:rsid w:val="00E62100"/>
    <w:rPr>
      <w:lang w:val="en-GB"/>
    </w:rPr>
  </w:style>
  <w:style w:type="paragraph" w:styleId="Footer">
    <w:name w:val="footer"/>
    <w:basedOn w:val="Normal"/>
    <w:link w:val="FooterChar"/>
    <w:uiPriority w:val="99"/>
    <w:unhideWhenUsed/>
    <w:rsid w:val="00E62100"/>
    <w:pPr>
      <w:tabs>
        <w:tab w:val="center" w:pos="4680"/>
        <w:tab w:val="right" w:pos="9360"/>
      </w:tabs>
      <w:spacing w:line="240" w:lineRule="auto"/>
    </w:pPr>
  </w:style>
  <w:style w:type="character" w:customStyle="1" w:styleId="FooterChar">
    <w:name w:val="Footer Char"/>
    <w:basedOn w:val="DefaultParagraphFont"/>
    <w:link w:val="Footer"/>
    <w:uiPriority w:val="99"/>
    <w:rsid w:val="00E62100"/>
    <w:rPr>
      <w:lang w:val="en-GB"/>
    </w:rPr>
  </w:style>
  <w:style w:type="paragraph" w:styleId="Caption">
    <w:name w:val="caption"/>
    <w:basedOn w:val="Normal"/>
    <w:next w:val="Normal"/>
    <w:uiPriority w:val="35"/>
    <w:unhideWhenUsed/>
    <w:qFormat/>
    <w:rsid w:val="00715E30"/>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F13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apnews.com/article/general-motors-gm-ev-emission-tax-2d2e43fd9dc0e12864e590a018be280f" TargetMode="External"/><Relationship Id="rId26" Type="http://schemas.openxmlformats.org/officeDocument/2006/relationships/hyperlink" Target="https://www.evisionevs.co.uk/2025/07/17/ev-market-stats-in-2025-will-you-swap-to-an-ev/" TargetMode="External"/><Relationship Id="rId39" Type="http://schemas.openxmlformats.org/officeDocument/2006/relationships/hyperlink" Target="https://evmagazine.com/articles/us-election-2024-the-future-of-evs-at-stake" TargetMode="External"/><Relationship Id="rId21" Type="http://schemas.openxmlformats.org/officeDocument/2006/relationships/hyperlink" Target="https://www.edge-ai-vision.com/2024/04/teslas-robotaxi-surprise-what-you-need-to-know/" TargetMode="External"/><Relationship Id="rId34" Type="http://schemas.openxmlformats.org/officeDocument/2006/relationships/hyperlink" Target="https://www.imarcgroup.com/uk-electric-vehicle-charging-market" TargetMode="External"/><Relationship Id="rId42" Type="http://schemas.openxmlformats.org/officeDocument/2006/relationships/hyperlink" Target="https://www.dawsongroupvans.co.uk/the-zero-emissions-vehicle-mandate-what-impact-could-this-have-for-fleets/" TargetMode="External"/><Relationship Id="rId47" Type="http://schemas.openxmlformats.org/officeDocument/2006/relationships/hyperlink" Target="https://edition.cnn.com/2024/03/10/climate/hybrids-evs-toyota-climate-impact-int" TargetMode="External"/><Relationship Id="rId50" Type="http://schemas.openxmlformats.org/officeDocument/2006/relationships/hyperlink" Target="https://doi.org/10.3390/smartcities4010022" TargetMode="External"/><Relationship Id="rId55" Type="http://schemas.openxmlformats.org/officeDocument/2006/relationships/hyperlink" Target="https://www.nbcnews.com/business/autos/electric-vehicle-ev-slowdown-rcna237652"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businesswire.com/news/home/20250415369610/en/Global-and-China-L3L4-Autonomous-Driving-and-Startups-Research-Report-2025-Robotaxi-Steps-Towards-Scaling-During-2026-2030-L3-Personal-Vehicles-Open-New-Commercial-Opportunities---ResearchAndMarkets.com" TargetMode="External"/><Relationship Id="rId25" Type="http://schemas.openxmlformats.org/officeDocument/2006/relationships/hyperlink" Target="https://ev-volumes.com/" TargetMode="External"/><Relationship Id="rId33" Type="http://schemas.openxmlformats.org/officeDocument/2006/relationships/hyperlink" Target="https://doi.org/10.1155/2022/3304796" TargetMode="External"/><Relationship Id="rId38" Type="http://schemas.openxmlformats.org/officeDocument/2006/relationships/hyperlink" Target="https://www.jimbassnissan.com/blog/2025-nissan-technology-and-safety-updates-revealed/" TargetMode="External"/><Relationship Id="rId46" Type="http://schemas.openxmlformats.org/officeDocument/2006/relationships/hyperlink" Target="https://www.statista.com/chart/34036/tesla-in-europe/?srsltid=AfmBOopTkJtUAlDSaqbxt_xd3BTkgk7r1hm6MxK2YBVB_WefuY0h9_LP"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conomictimes.indiatimes.com/tech/technology/tesla-to-integrate-deepseek-doubao-ai-voice-controls-in-china/articleshow/123450034.cms?from=mdr" TargetMode="External"/><Relationship Id="rId20" Type="http://schemas.openxmlformats.org/officeDocument/2006/relationships/hyperlink" Target="https://www.mackinnon-bruce.com/insights-hub/blog/how-technology-is-impacting-the-ev-industry/" TargetMode="External"/><Relationship Id="rId29" Type="http://schemas.openxmlformats.org/officeDocument/2006/relationships/hyperlink" Target="https://autonews.gasgoo.com/china_news/70035547.html" TargetMode="External"/><Relationship Id="rId41" Type="http://schemas.openxmlformats.org/officeDocument/2006/relationships/hyperlink" Target="https://www.thestreet.com/automotive/toyota-exec-slams-impossible-ev-mandate-amidst-political-chaos" TargetMode="External"/><Relationship Id="rId54" Type="http://schemas.openxmlformats.org/officeDocument/2006/relationships/hyperlink" Target="https://eciu.net/media/press-releases/2025/government-ev-policy-change-could-cost-over-1000-a-year-for-millions-of-famili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eocharging.com/stories/driving-the-future-innovation-and-growth-in-the-uk-ev-market-in-2025" TargetMode="External"/><Relationship Id="rId32" Type="http://schemas.openxmlformats.org/officeDocument/2006/relationships/hyperlink" Target="https://www.grandviewresearch.com/industry-analysis/electric-vehicles-ev-market" TargetMode="External"/><Relationship Id="rId37" Type="http://schemas.openxmlformats.org/officeDocument/2006/relationships/hyperlink" Target="https://www.nissan-me.com/experience-nissan/news-and-events/latestnews/nissan-v-to-g-launch.html" TargetMode="External"/><Relationship Id="rId40" Type="http://schemas.openxmlformats.org/officeDocument/2006/relationships/hyperlink" Target="https://yaleclimateconnections.org/2025/02/electric-vehicle-adoption-is-stumbling-but-still-growing-amid-geopolitical-clashes/" TargetMode="External"/><Relationship Id="rId45" Type="http://schemas.openxmlformats.org/officeDocument/2006/relationships/hyperlink" Target="https://economictimes.indiatimes.com/industry/auto/china-byd-auto-tech-threaten-elon-musk-tesla-self-driving-future/articleshow/121751578.cms?from=mdr" TargetMode="External"/><Relationship Id="rId53" Type="http://schemas.openxmlformats.org/officeDocument/2006/relationships/hyperlink" Target="https://vietnamnews.vn/economy/1692003/distributor-of-wuling-electric-cars-continues-to-face-deep-losses.html" TargetMode="Externa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utopacific.com/autopacific-insights/2024/10/31/political-influence-on-electric-vehicle-interest-is-waning-according-to-autopacific-study" TargetMode="External"/><Relationship Id="rId23" Type="http://schemas.openxmlformats.org/officeDocument/2006/relationships/hyperlink" Target="https://www.myeva.org/blog/understanding-the-impact-of-trumps-ev-policy-reversals" TargetMode="External"/><Relationship Id="rId28" Type="http://schemas.openxmlformats.org/officeDocument/2006/relationships/hyperlink" Target="https://www.caranddriver.com/news/a67948305/nissan-ariya-canceled/" TargetMode="External"/><Relationship Id="rId36" Type="http://schemas.openxmlformats.org/officeDocument/2006/relationships/hyperlink" Target="https://apnews.com/article/nissan-japan-automakers-losses-ev-hybrids-eb87779c2b251254768327aa713ce0a2" TargetMode="External"/><Relationship Id="rId49" Type="http://schemas.openxmlformats.org/officeDocument/2006/relationships/hyperlink" Target="https://www.spglobal.com/commodity-insights/en/news-research/latest-news/metals/010625-uk-data-ev-sales-reach-record-high-of-381970-units-in-2024" TargetMode="External"/><Relationship Id="rId57"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cnbctv18.com/market/tesla-stock-surges-robotaxi-service-launch-elon-musk-19625583.htm" TargetMode="External"/><Relationship Id="rId31" Type="http://schemas.openxmlformats.org/officeDocument/2006/relationships/hyperlink" Target="https://globalchinaev.com/post/li-auto-plans-to-release-the-i6-and-i8-in-2025-two-fully-electric-suvs" TargetMode="External"/><Relationship Id="rId44" Type="http://schemas.openxmlformats.org/officeDocument/2006/relationships/hyperlink" Target="https://www.globalbankingandfinance.com/spain-grants-146-million-subsidy-to-stellantis-for-potential-ev-battery-plant" TargetMode="External"/><Relationship Id="rId52" Type="http://schemas.openxmlformats.org/officeDocument/2006/relationships/hyperlink" Target="https://timesofindia.indiatimes.com/business/international-business/new-challenge-for-musks-tesla-chinas-ev-giant-reveals-next-gen-battery-with-lightning-fast-charging/articleshow/120574583.cm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economictimes.indiatimes.com/industry/renewables/ford-plans-to-re-enter-india-with-focus-on-evs-report/articleshow/108032852.cms?from=mdr" TargetMode="External"/><Relationship Id="rId27" Type="http://schemas.openxmlformats.org/officeDocument/2006/relationships/hyperlink" Target="https://globalvoices.org/2025/10/09/how-chinese-automakers-are-reshaping-the-ev-landscape-in-southeast-asia/" TargetMode="External"/><Relationship Id="rId30" Type="http://schemas.openxmlformats.org/officeDocument/2006/relationships/hyperlink" Target="http://doi.org/10.1016/j.respol.2022.104505" TargetMode="External"/><Relationship Id="rId35" Type="http://schemas.openxmlformats.org/officeDocument/2006/relationships/hyperlink" Target="https://in.investing.com/news/swot-analysis/rivians-swot-analysis-electric-vehicle-maker-faces-growth-hurdles-amid-fierce-competition-93CH-5036036" TargetMode="External"/><Relationship Id="rId43" Type="http://schemas.openxmlformats.org/officeDocument/2006/relationships/hyperlink" Target="https://doi.org/10.1108/IMR-04-2019-0124" TargetMode="External"/><Relationship Id="rId48" Type="http://schemas.openxmlformats.org/officeDocument/2006/relationships/hyperlink" Target="https://www.societyfisipubb.id/index.php/society/article/download/772/627" TargetMode="External"/><Relationship Id="rId56" Type="http://schemas.openxmlformats.org/officeDocument/2006/relationships/hyperlink" Target="https://www.ijbms.net/assets/files/1737336271.pdf" TargetMode="External"/><Relationship Id="rId8" Type="http://schemas.openxmlformats.org/officeDocument/2006/relationships/image" Target="media/image2.png"/><Relationship Id="rId51" Type="http://schemas.openxmlformats.org/officeDocument/2006/relationships/hyperlink" Target="https://www.statista.com/outlook/mmo/electric-vehicles/united-kingdom?srsltid=AfmBOoosg_rQlvHoiHVOJDoV3ffLLVCFst195a181Vmt993GLiEeYJeJ"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1A077-6DD2-43F2-A5E2-5B73BA721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5518</Words>
  <Characters>31458</Characters>
  <Application>Microsoft Office Word</Application>
  <DocSecurity>0</DocSecurity>
  <Lines>262</Lines>
  <Paragraphs>73</Paragraphs>
  <ScaleCrop>false</ScaleCrop>
  <Company/>
  <LinksUpToDate>false</LinksUpToDate>
  <CharactersWithSpaces>36903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2025-10-23T21:16:00Z</dcterms:created>
  <dcterms:modified xsi:type="dcterms:W3CDTF">2025-10-23T21:16:00Z</dcterms:modified>
</cp:coreProperties>
</file>