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2001422935"/>
        <w:docPartObj>
          <w:docPartGallery w:val="Cover Pages"/>
          <w:docPartUnique/>
        </w:docPartObj>
      </w:sdtPr>
      <w:sdtContent>
        <w:p w14:paraId="1B4FEE14" w14:textId="527A0135" w:rsidR="00BA160F" w:rsidRDefault="00BA160F">
          <w:pPr>
            <w:pStyle w:val="NoSpacing"/>
          </w:pPr>
          <w:r>
            <w:rPr>
              <w:noProof/>
            </w:rPr>
            <mc:AlternateContent>
              <mc:Choice Requires="wpg">
                <w:drawing>
                  <wp:anchor distT="0" distB="0" distL="114300" distR="114300" simplePos="0" relativeHeight="251658240" behindDoc="1" locked="0" layoutInCell="1" allowOverlap="1" wp14:anchorId="646D2704" wp14:editId="765D88B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9BCF049" w14:textId="4B6D3A19" w:rsidR="00BA160F" w:rsidRDefault="00BA160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6D2704"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9BCF049" w14:textId="4B6D3A19" w:rsidR="00BA160F" w:rsidRDefault="00BA160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7437DBE" w14:textId="2D8D271F" w:rsidR="00BA160F" w:rsidRDefault="00BA160F">
          <w:r>
            <w:rPr>
              <w:noProof/>
            </w:rPr>
            <mc:AlternateContent>
              <mc:Choice Requires="wps">
                <w:drawing>
                  <wp:anchor distT="0" distB="0" distL="114300" distR="114300" simplePos="0" relativeHeight="251658241" behindDoc="0" locked="0" layoutInCell="1" allowOverlap="1" wp14:anchorId="7A0C4C91" wp14:editId="39323EFF">
                    <wp:simplePos x="0" y="0"/>
                    <wp:positionH relativeFrom="page">
                      <wp:posOffset>2346960</wp:posOffset>
                    </wp:positionH>
                    <wp:positionV relativeFrom="topMargin">
                      <wp:posOffset>3208020</wp:posOffset>
                    </wp:positionV>
                    <wp:extent cx="4991100" cy="2255520"/>
                    <wp:effectExtent l="0" t="0" r="0" b="11430"/>
                    <wp:wrapNone/>
                    <wp:docPr id="32" name="Text Box 28"/>
                    <wp:cNvGraphicFramePr/>
                    <a:graphic xmlns:a="http://schemas.openxmlformats.org/drawingml/2006/main">
                      <a:graphicData uri="http://schemas.microsoft.com/office/word/2010/wordprocessingShape">
                        <wps:wsp>
                          <wps:cNvSpPr txBox="1"/>
                          <wps:spPr>
                            <a:xfrm>
                              <a:off x="0" y="0"/>
                              <a:ext cx="4991100" cy="2255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DEFD21" w14:textId="66C3B119" w:rsidR="00BA160F" w:rsidRPr="00F16F2D" w:rsidRDefault="00BA160F" w:rsidP="00BA160F">
                                <w:pPr>
                                  <w:pStyle w:val="NoSpacing"/>
                                  <w:spacing w:line="360" w:lineRule="auto"/>
                                  <w:rPr>
                                    <w:rFonts w:ascii="Arial" w:hAnsi="Arial" w:cs="Arial"/>
                                    <w:sz w:val="32"/>
                                    <w:szCs w:val="32"/>
                                    <w:lang w:val="en-GB"/>
                                  </w:rPr>
                                </w:pPr>
                                <w:r w:rsidRPr="00F16F2D">
                                  <w:rPr>
                                    <w:rFonts w:ascii="Arial" w:hAnsi="Arial" w:cs="Arial"/>
                                    <w:sz w:val="32"/>
                                    <w:szCs w:val="32"/>
                                    <w:lang w:val="en-GB"/>
                                  </w:rPr>
                                  <w:t>Samantha Westwood</w:t>
                                </w:r>
                              </w:p>
                              <w:p w14:paraId="1F8D5B3C" w14:textId="59F99CE4" w:rsidR="00BA160F" w:rsidRPr="00F16F2D" w:rsidRDefault="00BA160F" w:rsidP="00BA160F">
                                <w:pPr>
                                  <w:pStyle w:val="NoSpacing"/>
                                  <w:spacing w:line="360" w:lineRule="auto"/>
                                  <w:rPr>
                                    <w:rFonts w:ascii="Arial" w:hAnsi="Arial" w:cs="Arial"/>
                                    <w:sz w:val="32"/>
                                    <w:szCs w:val="32"/>
                                    <w:lang w:val="en-GB"/>
                                  </w:rPr>
                                </w:pPr>
                                <w:r w:rsidRPr="00F16F2D">
                                  <w:rPr>
                                    <w:rFonts w:ascii="Arial" w:hAnsi="Arial" w:cs="Arial"/>
                                    <w:sz w:val="32"/>
                                    <w:szCs w:val="32"/>
                                    <w:lang w:val="en-GB"/>
                                  </w:rPr>
                                  <w:t>Student number: 2436467</w:t>
                                </w:r>
                              </w:p>
                              <w:p w14:paraId="4A9AD805" w14:textId="0522696E" w:rsidR="00BA160F" w:rsidRPr="00F16F2D" w:rsidRDefault="00BA160F" w:rsidP="00BA160F">
                                <w:pPr>
                                  <w:pStyle w:val="NoSpacing"/>
                                  <w:spacing w:line="360" w:lineRule="auto"/>
                                  <w:rPr>
                                    <w:rFonts w:ascii="Arial" w:hAnsi="Arial" w:cs="Arial"/>
                                    <w:sz w:val="32"/>
                                    <w:szCs w:val="32"/>
                                    <w:lang w:val="en-GB"/>
                                  </w:rPr>
                                </w:pPr>
                                <w:r w:rsidRPr="00F16F2D">
                                  <w:rPr>
                                    <w:rFonts w:ascii="Arial" w:hAnsi="Arial" w:cs="Arial"/>
                                    <w:sz w:val="32"/>
                                    <w:szCs w:val="32"/>
                                    <w:lang w:val="en-GB"/>
                                  </w:rPr>
                                  <w:t>Lecturer Name: Helen Parsons</w:t>
                                </w:r>
                              </w:p>
                              <w:p w14:paraId="11B68D4B" w14:textId="439AC8ED" w:rsidR="00BA160F" w:rsidRPr="00F16F2D" w:rsidRDefault="00BA160F" w:rsidP="00BA160F">
                                <w:pPr>
                                  <w:pStyle w:val="NoSpacing"/>
                                  <w:spacing w:line="360" w:lineRule="auto"/>
                                  <w:rPr>
                                    <w:rFonts w:ascii="Arial" w:hAnsi="Arial" w:cs="Arial"/>
                                    <w:sz w:val="32"/>
                                    <w:szCs w:val="32"/>
                                    <w:lang w:val="en-GB"/>
                                  </w:rPr>
                                </w:pPr>
                                <w:r w:rsidRPr="00F16F2D">
                                  <w:rPr>
                                    <w:rFonts w:ascii="Arial" w:hAnsi="Arial" w:cs="Arial"/>
                                    <w:sz w:val="32"/>
                                    <w:szCs w:val="32"/>
                                    <w:lang w:val="en-GB"/>
                                  </w:rPr>
                                  <w:t>Module Code: LCHS4010</w:t>
                                </w:r>
                              </w:p>
                              <w:p w14:paraId="38B49CE8" w14:textId="5D691778" w:rsidR="00BA160F" w:rsidRPr="00F16F2D" w:rsidRDefault="00BA160F" w:rsidP="00BA160F">
                                <w:pPr>
                                  <w:pStyle w:val="NoSpacing"/>
                                  <w:spacing w:line="360" w:lineRule="auto"/>
                                  <w:rPr>
                                    <w:rFonts w:ascii="Arial" w:hAnsi="Arial" w:cs="Arial"/>
                                    <w:sz w:val="32"/>
                                    <w:szCs w:val="32"/>
                                    <w:lang w:val="en-GB"/>
                                  </w:rPr>
                                </w:pPr>
                                <w:r w:rsidRPr="00F16F2D">
                                  <w:rPr>
                                    <w:rFonts w:ascii="Arial" w:hAnsi="Arial" w:cs="Arial"/>
                                    <w:sz w:val="32"/>
                                    <w:szCs w:val="32"/>
                                    <w:lang w:val="en-GB"/>
                                  </w:rPr>
                                  <w:t>Module: Psychology in Health and Social Care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A0C4C91" id="_x0000_t202" coordsize="21600,21600" o:spt="202" path="m,l,21600r21600,l21600,xe">
                    <v:stroke joinstyle="miter"/>
                    <v:path gradientshapeok="t" o:connecttype="rect"/>
                  </v:shapetype>
                  <v:shape id="Text Box 28" o:spid="_x0000_s1055" type="#_x0000_t202" style="position:absolute;margin-left:184.8pt;margin-top:252.6pt;width:393pt;height:177.6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op-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" filled="f" stroked="f" strokeweight=".5pt">
                    <v:textbox inset="0,0,0,0">
                      <w:txbxContent>
                        <w:p w14:paraId="6BDEFD21" w14:textId="66C3B119" w:rsidR="00BA160F" w:rsidRPr="00F16F2D" w:rsidRDefault="00BA160F" w:rsidP="00BA160F">
                          <w:pPr>
                            <w:pStyle w:val="NoSpacing"/>
                            <w:spacing w:line="360" w:lineRule="auto"/>
                            <w:rPr>
                              <w:rFonts w:ascii="Arial" w:hAnsi="Arial" w:cs="Arial"/>
                              <w:sz w:val="32"/>
                              <w:szCs w:val="32"/>
                              <w:lang w:val="en-GB"/>
                            </w:rPr>
                          </w:pPr>
                          <w:r w:rsidRPr="00F16F2D">
                            <w:rPr>
                              <w:rFonts w:ascii="Arial" w:hAnsi="Arial" w:cs="Arial"/>
                              <w:sz w:val="32"/>
                              <w:szCs w:val="32"/>
                              <w:lang w:val="en-GB"/>
                            </w:rPr>
                            <w:t>Samantha Westwood</w:t>
                          </w:r>
                        </w:p>
                        <w:p w14:paraId="1F8D5B3C" w14:textId="59F99CE4" w:rsidR="00BA160F" w:rsidRPr="00F16F2D" w:rsidRDefault="00BA160F" w:rsidP="00BA160F">
                          <w:pPr>
                            <w:pStyle w:val="NoSpacing"/>
                            <w:spacing w:line="360" w:lineRule="auto"/>
                            <w:rPr>
                              <w:rFonts w:ascii="Arial" w:hAnsi="Arial" w:cs="Arial"/>
                              <w:sz w:val="32"/>
                              <w:szCs w:val="32"/>
                              <w:lang w:val="en-GB"/>
                            </w:rPr>
                          </w:pPr>
                          <w:r w:rsidRPr="00F16F2D">
                            <w:rPr>
                              <w:rFonts w:ascii="Arial" w:hAnsi="Arial" w:cs="Arial"/>
                              <w:sz w:val="32"/>
                              <w:szCs w:val="32"/>
                              <w:lang w:val="en-GB"/>
                            </w:rPr>
                            <w:t>Student number: 2436467</w:t>
                          </w:r>
                        </w:p>
                        <w:p w14:paraId="4A9AD805" w14:textId="0522696E" w:rsidR="00BA160F" w:rsidRPr="00F16F2D" w:rsidRDefault="00BA160F" w:rsidP="00BA160F">
                          <w:pPr>
                            <w:pStyle w:val="NoSpacing"/>
                            <w:spacing w:line="360" w:lineRule="auto"/>
                            <w:rPr>
                              <w:rFonts w:ascii="Arial" w:hAnsi="Arial" w:cs="Arial"/>
                              <w:sz w:val="32"/>
                              <w:szCs w:val="32"/>
                              <w:lang w:val="en-GB"/>
                            </w:rPr>
                          </w:pPr>
                          <w:r w:rsidRPr="00F16F2D">
                            <w:rPr>
                              <w:rFonts w:ascii="Arial" w:hAnsi="Arial" w:cs="Arial"/>
                              <w:sz w:val="32"/>
                              <w:szCs w:val="32"/>
                              <w:lang w:val="en-GB"/>
                            </w:rPr>
                            <w:t>Lecturer Name: Helen Parsons</w:t>
                          </w:r>
                        </w:p>
                        <w:p w14:paraId="11B68D4B" w14:textId="439AC8ED" w:rsidR="00BA160F" w:rsidRPr="00F16F2D" w:rsidRDefault="00BA160F" w:rsidP="00BA160F">
                          <w:pPr>
                            <w:pStyle w:val="NoSpacing"/>
                            <w:spacing w:line="360" w:lineRule="auto"/>
                            <w:rPr>
                              <w:rFonts w:ascii="Arial" w:hAnsi="Arial" w:cs="Arial"/>
                              <w:sz w:val="32"/>
                              <w:szCs w:val="32"/>
                              <w:lang w:val="en-GB"/>
                            </w:rPr>
                          </w:pPr>
                          <w:r w:rsidRPr="00F16F2D">
                            <w:rPr>
                              <w:rFonts w:ascii="Arial" w:hAnsi="Arial" w:cs="Arial"/>
                              <w:sz w:val="32"/>
                              <w:szCs w:val="32"/>
                              <w:lang w:val="en-GB"/>
                            </w:rPr>
                            <w:t>Module Code: LCHS4010</w:t>
                          </w:r>
                        </w:p>
                        <w:p w14:paraId="38B49CE8" w14:textId="5D691778" w:rsidR="00BA160F" w:rsidRPr="00F16F2D" w:rsidRDefault="00BA160F" w:rsidP="00BA160F">
                          <w:pPr>
                            <w:pStyle w:val="NoSpacing"/>
                            <w:spacing w:line="360" w:lineRule="auto"/>
                            <w:rPr>
                              <w:rFonts w:ascii="Arial" w:hAnsi="Arial" w:cs="Arial"/>
                              <w:sz w:val="32"/>
                              <w:szCs w:val="32"/>
                              <w:lang w:val="en-GB"/>
                            </w:rPr>
                          </w:pPr>
                          <w:r w:rsidRPr="00F16F2D">
                            <w:rPr>
                              <w:rFonts w:ascii="Arial" w:hAnsi="Arial" w:cs="Arial"/>
                              <w:sz w:val="32"/>
                              <w:szCs w:val="32"/>
                              <w:lang w:val="en-GB"/>
                            </w:rPr>
                            <w:t>Module: Psychology in Health and Social Care</w:t>
                          </w:r>
                        </w:p>
                      </w:txbxContent>
                    </v:textbox>
                    <w10:wrap anchorx="page" anchory="margin"/>
                  </v:shape>
                </w:pict>
              </mc:Fallback>
            </mc:AlternateContent>
          </w:r>
          <w:r>
            <w:br w:type="page"/>
          </w:r>
        </w:p>
      </w:sdtContent>
    </w:sdt>
    <w:sdt>
      <w:sdtPr>
        <w:rPr>
          <w:rFonts w:ascii="Arial" w:eastAsiaTheme="minorEastAsia" w:hAnsi="Arial" w:cs="Arial"/>
          <w:color w:val="auto"/>
          <w:kern w:val="2"/>
          <w:sz w:val="22"/>
          <w:szCs w:val="22"/>
          <w:lang w:val="en-GB"/>
          <w14:ligatures w14:val="standardContextual"/>
        </w:rPr>
        <w:id w:val="932711896"/>
        <w:docPartObj>
          <w:docPartGallery w:val="Table of Contents"/>
          <w:docPartUnique/>
        </w:docPartObj>
      </w:sdtPr>
      <w:sdtEndPr>
        <w:rPr>
          <w:b/>
          <w:bCs/>
        </w:rPr>
      </w:sdtEndPr>
      <w:sdtContent>
        <w:p w14:paraId="1BB6AF29" w14:textId="4816551E" w:rsidR="004B0E27" w:rsidRPr="00532BE8" w:rsidRDefault="004B0E27" w:rsidP="00271656">
          <w:pPr>
            <w:pStyle w:val="TOCHeading"/>
            <w:spacing w:line="360" w:lineRule="auto"/>
            <w:rPr>
              <w:rFonts w:ascii="Arial" w:hAnsi="Arial" w:cs="Arial"/>
              <w:color w:val="auto"/>
            </w:rPr>
          </w:pPr>
          <w:r w:rsidRPr="00532BE8">
            <w:rPr>
              <w:rFonts w:ascii="Arial" w:hAnsi="Arial" w:cs="Arial"/>
              <w:color w:val="auto"/>
            </w:rPr>
            <w:t>Table of Contents</w:t>
          </w:r>
        </w:p>
        <w:p w14:paraId="46D37C1F" w14:textId="72EF40FF" w:rsidR="00D83A2E" w:rsidRDefault="004B0E27">
          <w:pPr>
            <w:pStyle w:val="TOC1"/>
            <w:tabs>
              <w:tab w:val="right" w:leader="dot" w:pos="9016"/>
            </w:tabs>
            <w:rPr>
              <w:rFonts w:eastAsiaTheme="minorEastAsia"/>
              <w:noProof/>
              <w:sz w:val="24"/>
              <w:szCs w:val="24"/>
              <w:lang w:eastAsia="en-GB"/>
            </w:rPr>
          </w:pPr>
          <w:r w:rsidRPr="00271656">
            <w:rPr>
              <w:rFonts w:ascii="Arial" w:hAnsi="Arial" w:cs="Arial"/>
            </w:rPr>
            <w:fldChar w:fldCharType="begin"/>
          </w:r>
          <w:r w:rsidRPr="00271656">
            <w:rPr>
              <w:rFonts w:ascii="Arial" w:hAnsi="Arial" w:cs="Arial"/>
            </w:rPr>
            <w:instrText xml:space="preserve"> TOC \o "1-3" \h \z \u </w:instrText>
          </w:r>
          <w:r w:rsidRPr="00271656">
            <w:rPr>
              <w:rFonts w:ascii="Arial" w:hAnsi="Arial" w:cs="Arial"/>
            </w:rPr>
            <w:fldChar w:fldCharType="separate"/>
          </w:r>
          <w:hyperlink w:anchor="_Toc225190908" w:history="1">
            <w:r w:rsidR="00D83A2E" w:rsidRPr="003A6ED5">
              <w:rPr>
                <w:rStyle w:val="Hyperlink"/>
                <w:rFonts w:ascii="Arial" w:hAnsi="Arial" w:cs="Arial"/>
                <w:noProof/>
              </w:rPr>
              <w:t>Annotated Bibliography</w:t>
            </w:r>
            <w:r w:rsidR="00D83A2E">
              <w:rPr>
                <w:noProof/>
                <w:webHidden/>
              </w:rPr>
              <w:tab/>
            </w:r>
            <w:r w:rsidR="00D83A2E">
              <w:rPr>
                <w:noProof/>
                <w:webHidden/>
              </w:rPr>
              <w:fldChar w:fldCharType="begin"/>
            </w:r>
            <w:r w:rsidR="00D83A2E">
              <w:rPr>
                <w:noProof/>
                <w:webHidden/>
              </w:rPr>
              <w:instrText xml:space="preserve"> PAGEREF _Toc225190908 \h </w:instrText>
            </w:r>
            <w:r w:rsidR="00D83A2E">
              <w:rPr>
                <w:noProof/>
                <w:webHidden/>
              </w:rPr>
            </w:r>
            <w:r w:rsidR="00D83A2E">
              <w:rPr>
                <w:noProof/>
                <w:webHidden/>
              </w:rPr>
              <w:fldChar w:fldCharType="separate"/>
            </w:r>
            <w:r w:rsidR="00D83A2E">
              <w:rPr>
                <w:noProof/>
                <w:webHidden/>
              </w:rPr>
              <w:t>2</w:t>
            </w:r>
            <w:r w:rsidR="00D83A2E">
              <w:rPr>
                <w:noProof/>
                <w:webHidden/>
              </w:rPr>
              <w:fldChar w:fldCharType="end"/>
            </w:r>
          </w:hyperlink>
        </w:p>
        <w:p w14:paraId="4A43E02B" w14:textId="1685A854" w:rsidR="00D83A2E" w:rsidRDefault="00D83A2E">
          <w:pPr>
            <w:pStyle w:val="TOC1"/>
            <w:tabs>
              <w:tab w:val="right" w:leader="dot" w:pos="9016"/>
            </w:tabs>
            <w:rPr>
              <w:rFonts w:eastAsiaTheme="minorEastAsia"/>
              <w:noProof/>
              <w:sz w:val="24"/>
              <w:szCs w:val="24"/>
              <w:lang w:eastAsia="en-GB"/>
            </w:rPr>
          </w:pPr>
          <w:hyperlink w:anchor="_Toc225190914" w:history="1">
            <w:r w:rsidRPr="003A6ED5">
              <w:rPr>
                <w:rStyle w:val="Hyperlink"/>
                <w:rFonts w:ascii="Arial" w:hAnsi="Arial" w:cs="Arial"/>
                <w:noProof/>
              </w:rPr>
              <w:t>Applying Social Interaction Theory to Enhance Wellbeing in Residential Care</w:t>
            </w:r>
            <w:r>
              <w:rPr>
                <w:noProof/>
                <w:webHidden/>
              </w:rPr>
              <w:tab/>
            </w:r>
            <w:r>
              <w:rPr>
                <w:noProof/>
                <w:webHidden/>
              </w:rPr>
              <w:fldChar w:fldCharType="begin"/>
            </w:r>
            <w:r>
              <w:rPr>
                <w:noProof/>
                <w:webHidden/>
              </w:rPr>
              <w:instrText xml:space="preserve"> PAGEREF _Toc225190914 \h </w:instrText>
            </w:r>
            <w:r>
              <w:rPr>
                <w:noProof/>
                <w:webHidden/>
              </w:rPr>
            </w:r>
            <w:r>
              <w:rPr>
                <w:noProof/>
                <w:webHidden/>
              </w:rPr>
              <w:fldChar w:fldCharType="separate"/>
            </w:r>
            <w:r>
              <w:rPr>
                <w:noProof/>
                <w:webHidden/>
              </w:rPr>
              <w:t>5</w:t>
            </w:r>
            <w:r>
              <w:rPr>
                <w:noProof/>
                <w:webHidden/>
              </w:rPr>
              <w:fldChar w:fldCharType="end"/>
            </w:r>
          </w:hyperlink>
        </w:p>
        <w:p w14:paraId="28FBA338" w14:textId="6C0862B7" w:rsidR="00D83A2E" w:rsidRDefault="00D83A2E">
          <w:pPr>
            <w:pStyle w:val="TOC1"/>
            <w:tabs>
              <w:tab w:val="right" w:leader="dot" w:pos="9016"/>
            </w:tabs>
            <w:rPr>
              <w:rFonts w:eastAsiaTheme="minorEastAsia"/>
              <w:noProof/>
              <w:sz w:val="24"/>
              <w:szCs w:val="24"/>
              <w:lang w:eastAsia="en-GB"/>
            </w:rPr>
          </w:pPr>
          <w:hyperlink w:anchor="_Toc225190915" w:history="1">
            <w:r w:rsidRPr="003A6ED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_Toc225190915 \h </w:instrText>
            </w:r>
            <w:r>
              <w:rPr>
                <w:noProof/>
                <w:webHidden/>
              </w:rPr>
            </w:r>
            <w:r>
              <w:rPr>
                <w:noProof/>
                <w:webHidden/>
              </w:rPr>
              <w:fldChar w:fldCharType="separate"/>
            </w:r>
            <w:r>
              <w:rPr>
                <w:noProof/>
                <w:webHidden/>
              </w:rPr>
              <w:t>7</w:t>
            </w:r>
            <w:r>
              <w:rPr>
                <w:noProof/>
                <w:webHidden/>
              </w:rPr>
              <w:fldChar w:fldCharType="end"/>
            </w:r>
          </w:hyperlink>
        </w:p>
        <w:p w14:paraId="4A6A71F7" w14:textId="58B16DC4" w:rsidR="004B0E27" w:rsidRPr="00271656" w:rsidRDefault="004B0E27" w:rsidP="00271656">
          <w:pPr>
            <w:spacing w:line="360" w:lineRule="auto"/>
            <w:rPr>
              <w:rFonts w:ascii="Arial" w:hAnsi="Arial" w:cs="Arial"/>
            </w:rPr>
          </w:pPr>
          <w:r w:rsidRPr="00271656">
            <w:rPr>
              <w:rFonts w:ascii="Arial" w:hAnsi="Arial" w:cs="Arial"/>
              <w:b/>
              <w:bCs/>
              <w:noProof/>
            </w:rPr>
            <w:fldChar w:fldCharType="end"/>
          </w:r>
        </w:p>
      </w:sdtContent>
    </w:sdt>
    <w:p w14:paraId="4DDB625C" w14:textId="77777777" w:rsidR="00665F91" w:rsidRPr="00271656" w:rsidRDefault="00665F91" w:rsidP="00271656">
      <w:pPr>
        <w:pStyle w:val="Heading1"/>
        <w:spacing w:line="360" w:lineRule="auto"/>
        <w:rPr>
          <w:rFonts w:ascii="Arial" w:hAnsi="Arial" w:cs="Arial"/>
        </w:rPr>
      </w:pPr>
    </w:p>
    <w:p w14:paraId="7055CA22" w14:textId="77777777" w:rsidR="007B702F" w:rsidRPr="00271656" w:rsidRDefault="007B702F" w:rsidP="00271656">
      <w:pPr>
        <w:spacing w:line="360" w:lineRule="auto"/>
        <w:rPr>
          <w:rFonts w:ascii="Arial" w:hAnsi="Arial" w:cs="Arial"/>
        </w:rPr>
      </w:pPr>
    </w:p>
    <w:p w14:paraId="5BA65AAA" w14:textId="77777777" w:rsidR="007B702F" w:rsidRPr="00271656" w:rsidRDefault="007B702F" w:rsidP="00271656">
      <w:pPr>
        <w:spacing w:line="360" w:lineRule="auto"/>
        <w:rPr>
          <w:rFonts w:ascii="Arial" w:hAnsi="Arial" w:cs="Arial"/>
        </w:rPr>
      </w:pPr>
    </w:p>
    <w:p w14:paraId="047B5C04" w14:textId="77777777" w:rsidR="007B702F" w:rsidRPr="00271656" w:rsidRDefault="007B702F" w:rsidP="00271656">
      <w:pPr>
        <w:spacing w:line="360" w:lineRule="auto"/>
        <w:rPr>
          <w:rFonts w:ascii="Arial" w:hAnsi="Arial" w:cs="Arial"/>
        </w:rPr>
      </w:pPr>
    </w:p>
    <w:p w14:paraId="4E099129" w14:textId="77777777" w:rsidR="007B702F" w:rsidRPr="00271656" w:rsidRDefault="007B702F" w:rsidP="00271656">
      <w:pPr>
        <w:spacing w:line="360" w:lineRule="auto"/>
        <w:rPr>
          <w:rFonts w:ascii="Arial" w:hAnsi="Arial" w:cs="Arial"/>
        </w:rPr>
      </w:pPr>
    </w:p>
    <w:p w14:paraId="2F095AE7" w14:textId="77777777" w:rsidR="007B702F" w:rsidRPr="00271656" w:rsidRDefault="007B702F" w:rsidP="00271656">
      <w:pPr>
        <w:spacing w:line="360" w:lineRule="auto"/>
        <w:rPr>
          <w:rFonts w:ascii="Arial" w:hAnsi="Arial" w:cs="Arial"/>
        </w:rPr>
      </w:pPr>
    </w:p>
    <w:p w14:paraId="2E15FDB0" w14:textId="77777777" w:rsidR="004E01FF" w:rsidRDefault="004E01FF" w:rsidP="00271656">
      <w:pPr>
        <w:pStyle w:val="Heading1"/>
        <w:spacing w:line="360" w:lineRule="auto"/>
        <w:rPr>
          <w:rFonts w:ascii="Arial" w:hAnsi="Arial" w:cs="Arial"/>
          <w:color w:val="000000" w:themeColor="text1"/>
          <w:u w:val="single"/>
        </w:rPr>
      </w:pPr>
      <w:bookmarkStart w:id="0" w:name="_Toc223977173"/>
    </w:p>
    <w:p w14:paraId="701FFF7B" w14:textId="77777777" w:rsidR="004E01FF" w:rsidRDefault="004E01FF" w:rsidP="004E01FF"/>
    <w:p w14:paraId="5F0A7BBC" w14:textId="698DC6BD" w:rsidR="004E01FF" w:rsidRPr="004E01FF" w:rsidRDefault="00C6210A" w:rsidP="004E01FF">
      <w:r>
        <w:br w:type="page"/>
      </w:r>
    </w:p>
    <w:p w14:paraId="11551251" w14:textId="53CE5815" w:rsidR="009A0C2F" w:rsidRPr="00271656" w:rsidRDefault="0003268A" w:rsidP="00271656">
      <w:pPr>
        <w:pStyle w:val="Heading1"/>
        <w:spacing w:line="360" w:lineRule="auto"/>
        <w:rPr>
          <w:rFonts w:ascii="Arial" w:hAnsi="Arial" w:cs="Arial"/>
          <w:color w:val="000000" w:themeColor="text1"/>
          <w:u w:val="single"/>
        </w:rPr>
      </w:pPr>
      <w:bookmarkStart w:id="1" w:name="_Toc225190908"/>
      <w:r w:rsidRPr="00271656">
        <w:rPr>
          <w:rFonts w:ascii="Arial" w:hAnsi="Arial" w:cs="Arial"/>
          <w:color w:val="000000" w:themeColor="text1"/>
          <w:u w:val="single"/>
        </w:rPr>
        <w:lastRenderedPageBreak/>
        <w:t>Annotated Bibliography</w:t>
      </w:r>
      <w:bookmarkEnd w:id="0"/>
      <w:bookmarkEnd w:id="1"/>
    </w:p>
    <w:p w14:paraId="63B512F9" w14:textId="77777777" w:rsidR="006A4D40" w:rsidRPr="004575D4" w:rsidRDefault="006A4D40" w:rsidP="00271656">
      <w:pPr>
        <w:spacing w:line="360" w:lineRule="auto"/>
        <w:rPr>
          <w:rFonts w:ascii="Arial" w:hAnsi="Arial" w:cs="Arial"/>
        </w:rPr>
      </w:pPr>
    </w:p>
    <w:p w14:paraId="7E1A8F8A" w14:textId="5E50032E" w:rsidR="00612D2B" w:rsidRPr="00612D2B" w:rsidRDefault="00612D2B" w:rsidP="00271656">
      <w:pPr>
        <w:spacing w:line="360" w:lineRule="auto"/>
        <w:rPr>
          <w:rFonts w:ascii="Arial" w:hAnsi="Arial" w:cs="Arial"/>
        </w:rPr>
      </w:pPr>
      <w:r w:rsidRPr="00612D2B">
        <w:rPr>
          <w:rFonts w:ascii="Arial" w:hAnsi="Arial" w:cs="Arial"/>
        </w:rPr>
        <w:t xml:space="preserve">Tavassolie, T. and Winsler, A. (2017) ‘Vygotsky’s sociocultural theory’, in </w:t>
      </w:r>
      <w:r w:rsidRPr="002A7BC0">
        <w:rPr>
          <w:rFonts w:ascii="Arial" w:hAnsi="Arial" w:cs="Arial"/>
          <w:i/>
          <w:iCs/>
        </w:rPr>
        <w:t xml:space="preserve">The SAGE </w:t>
      </w:r>
      <w:r w:rsidR="00772678">
        <w:rPr>
          <w:rFonts w:ascii="Arial" w:hAnsi="Arial" w:cs="Arial"/>
          <w:i/>
          <w:iCs/>
        </w:rPr>
        <w:t>e</w:t>
      </w:r>
      <w:r w:rsidRPr="002A7BC0">
        <w:rPr>
          <w:rFonts w:ascii="Arial" w:hAnsi="Arial" w:cs="Arial"/>
          <w:i/>
          <w:iCs/>
        </w:rPr>
        <w:t xml:space="preserve">ncyclopedia of </w:t>
      </w:r>
      <w:r w:rsidR="00474A8E">
        <w:rPr>
          <w:rFonts w:ascii="Arial" w:hAnsi="Arial" w:cs="Arial"/>
          <w:i/>
          <w:iCs/>
        </w:rPr>
        <w:t>l</w:t>
      </w:r>
      <w:r w:rsidRPr="002A7BC0">
        <w:rPr>
          <w:rFonts w:ascii="Arial" w:hAnsi="Arial" w:cs="Arial"/>
          <w:i/>
          <w:iCs/>
        </w:rPr>
        <w:t xml:space="preserve">ifespan </w:t>
      </w:r>
      <w:r w:rsidR="00474A8E">
        <w:rPr>
          <w:rFonts w:ascii="Arial" w:hAnsi="Arial" w:cs="Arial"/>
          <w:i/>
          <w:iCs/>
        </w:rPr>
        <w:t>h</w:t>
      </w:r>
      <w:r w:rsidRPr="002A7BC0">
        <w:rPr>
          <w:rFonts w:ascii="Arial" w:hAnsi="Arial" w:cs="Arial"/>
          <w:i/>
          <w:iCs/>
        </w:rPr>
        <w:t xml:space="preserve">uman </w:t>
      </w:r>
      <w:r w:rsidR="00474A8E">
        <w:rPr>
          <w:rFonts w:ascii="Arial" w:hAnsi="Arial" w:cs="Arial"/>
          <w:i/>
          <w:iCs/>
        </w:rPr>
        <w:t>d</w:t>
      </w:r>
      <w:r w:rsidRPr="002A7BC0">
        <w:rPr>
          <w:rFonts w:ascii="Arial" w:hAnsi="Arial" w:cs="Arial"/>
          <w:i/>
          <w:iCs/>
        </w:rPr>
        <w:t>evelopment.</w:t>
      </w:r>
      <w:r w:rsidRPr="00612D2B">
        <w:rPr>
          <w:rFonts w:ascii="Arial" w:hAnsi="Arial" w:cs="Arial"/>
        </w:rPr>
        <w:t xml:space="preserve"> London: SAGE. Available at: </w:t>
      </w:r>
      <w:hyperlink r:id="rId10" w:history="1">
        <w:r w:rsidR="00C31E16" w:rsidRPr="00474A8E">
          <w:rPr>
            <w:rStyle w:val="Hyperlink"/>
            <w:rFonts w:ascii="Arial" w:hAnsi="Arial" w:cs="Arial"/>
            <w:u w:val="none"/>
          </w:rPr>
          <w:t>https://doi.org/10.4135/9781506307633.n858</w:t>
        </w:r>
      </w:hyperlink>
    </w:p>
    <w:p w14:paraId="796D2B9B" w14:textId="2B9494BB" w:rsidR="001F4E68" w:rsidRPr="00271656" w:rsidRDefault="001F4E68" w:rsidP="00271656">
      <w:pPr>
        <w:spacing w:line="360" w:lineRule="auto"/>
        <w:rPr>
          <w:rFonts w:ascii="Arial" w:hAnsi="Arial" w:cs="Arial"/>
          <w:u w:val="single"/>
        </w:rPr>
      </w:pPr>
      <w:r w:rsidRPr="00271656">
        <w:rPr>
          <w:rFonts w:ascii="Arial" w:hAnsi="Arial" w:cs="Arial"/>
          <w:u w:val="single"/>
        </w:rPr>
        <w:t>Summary</w:t>
      </w:r>
    </w:p>
    <w:p w14:paraId="3BA46F68" w14:textId="3A28AB7B" w:rsidR="002F3018" w:rsidRDefault="002F3018" w:rsidP="00271656">
      <w:pPr>
        <w:spacing w:line="360" w:lineRule="auto"/>
        <w:rPr>
          <w:rFonts w:ascii="Arial" w:hAnsi="Arial" w:cs="Arial"/>
        </w:rPr>
      </w:pPr>
      <w:r w:rsidRPr="002F3018">
        <w:rPr>
          <w:rFonts w:ascii="Arial" w:hAnsi="Arial" w:cs="Arial"/>
        </w:rPr>
        <w:t>Tavassolie and Winsler (2017) explain Vygotsky’s sociocultural theory as the idea that people learn and develop through social interaction and communication with others. They highlight that learning happens first through working with others and is then internalised so the person can think and act independently. The theory also shows how language is important for thinking and understanding the world.</w:t>
      </w:r>
    </w:p>
    <w:p w14:paraId="44A6809D" w14:textId="376F15CF" w:rsidR="001F4E68" w:rsidRPr="00271656" w:rsidRDefault="001F4E68" w:rsidP="00271656">
      <w:pPr>
        <w:spacing w:line="360" w:lineRule="auto"/>
        <w:rPr>
          <w:rFonts w:ascii="Arial" w:hAnsi="Arial" w:cs="Arial"/>
          <w:u w:val="single"/>
        </w:rPr>
      </w:pPr>
      <w:r w:rsidRPr="00271656">
        <w:rPr>
          <w:rFonts w:ascii="Arial" w:hAnsi="Arial" w:cs="Arial"/>
          <w:u w:val="single"/>
        </w:rPr>
        <w:t>Critical relevance to supporting older adults</w:t>
      </w:r>
    </w:p>
    <w:p w14:paraId="25370BFF" w14:textId="0869C701" w:rsidR="00323B9D" w:rsidRPr="00271656" w:rsidRDefault="00C06BEF" w:rsidP="00271656">
      <w:pPr>
        <w:pStyle w:val="Heading2"/>
        <w:spacing w:line="360" w:lineRule="auto"/>
        <w:rPr>
          <w:rFonts w:ascii="Arial" w:hAnsi="Arial" w:cs="Arial"/>
          <w:color w:val="000000" w:themeColor="text1"/>
          <w:sz w:val="22"/>
          <w:szCs w:val="22"/>
        </w:rPr>
      </w:pPr>
      <w:bookmarkStart w:id="2" w:name="_Toc225190909"/>
      <w:r w:rsidRPr="00C06BEF">
        <w:rPr>
          <w:rFonts w:ascii="Arial" w:hAnsi="Arial" w:cs="Arial"/>
          <w:color w:val="000000" w:themeColor="text1"/>
          <w:sz w:val="22"/>
          <w:szCs w:val="22"/>
        </w:rPr>
        <w:t xml:space="preserve">This source is useful for health and social care because it shows how older adults can benefit from support, communication, and social interaction. For example, carers and professionals can help </w:t>
      </w:r>
      <w:r w:rsidR="009342C5" w:rsidRPr="00C06BEF">
        <w:rPr>
          <w:rFonts w:ascii="Arial" w:hAnsi="Arial" w:cs="Arial"/>
          <w:color w:val="000000" w:themeColor="text1"/>
          <w:sz w:val="22"/>
          <w:szCs w:val="22"/>
        </w:rPr>
        <w:t>individuals’</w:t>
      </w:r>
      <w:r w:rsidRPr="00C06BEF">
        <w:rPr>
          <w:rFonts w:ascii="Arial" w:hAnsi="Arial" w:cs="Arial"/>
          <w:color w:val="000000" w:themeColor="text1"/>
          <w:sz w:val="22"/>
          <w:szCs w:val="22"/>
        </w:rPr>
        <w:t xml:space="preserve"> complete tasks and gradually encourage independence. However, the theory does not fully consider issues linked to ageing, such as memory loss, illness, or dementia. This means it is </w:t>
      </w:r>
      <w:r w:rsidR="009342C5" w:rsidRPr="00C06BEF">
        <w:rPr>
          <w:rFonts w:ascii="Arial" w:hAnsi="Arial" w:cs="Arial"/>
          <w:color w:val="000000" w:themeColor="text1"/>
          <w:sz w:val="22"/>
          <w:szCs w:val="22"/>
        </w:rPr>
        <w:t>helpful but</w:t>
      </w:r>
      <w:r w:rsidRPr="00C06BEF">
        <w:rPr>
          <w:rFonts w:ascii="Arial" w:hAnsi="Arial" w:cs="Arial"/>
          <w:color w:val="000000" w:themeColor="text1"/>
          <w:sz w:val="22"/>
          <w:szCs w:val="22"/>
        </w:rPr>
        <w:t xml:space="preserve"> should be used alongside other theories that focus specifically on older adults.</w:t>
      </w:r>
      <w:bookmarkEnd w:id="2"/>
    </w:p>
    <w:p w14:paraId="0BF148E0" w14:textId="5CD83C5A" w:rsidR="001F4E68" w:rsidRPr="00271656" w:rsidRDefault="001F4E68" w:rsidP="06822B67">
      <w:pPr>
        <w:shd w:val="clear" w:color="auto" w:fill="FFFFFF" w:themeFill="background1"/>
        <w:spacing w:after="0" w:line="360" w:lineRule="auto"/>
        <w:rPr>
          <w:rFonts w:ascii="Arial" w:eastAsia="Arial" w:hAnsi="Arial" w:cs="Arial"/>
        </w:rPr>
      </w:pPr>
    </w:p>
    <w:p w14:paraId="7C468D15" w14:textId="4E7AE8B3" w:rsidR="001F4E68" w:rsidRPr="00271656" w:rsidRDefault="001F4E68" w:rsidP="06822B67">
      <w:pPr>
        <w:shd w:val="clear" w:color="auto" w:fill="FFFFFF" w:themeFill="background1"/>
        <w:spacing w:after="0" w:line="360" w:lineRule="auto"/>
        <w:rPr>
          <w:rFonts w:ascii="Arial" w:eastAsia="Arial" w:hAnsi="Arial" w:cs="Arial"/>
        </w:rPr>
      </w:pPr>
    </w:p>
    <w:p w14:paraId="4C1E7020" w14:textId="5ADBD2E8" w:rsidR="001F4E68" w:rsidRPr="00271656" w:rsidRDefault="73A725A4" w:rsidP="06822B67">
      <w:pPr>
        <w:shd w:val="clear" w:color="auto" w:fill="FFFFFF" w:themeFill="background1"/>
        <w:spacing w:after="0" w:line="360" w:lineRule="auto"/>
        <w:rPr>
          <w:rFonts w:ascii="Arial" w:eastAsia="Arial" w:hAnsi="Arial" w:cs="Arial"/>
        </w:rPr>
      </w:pPr>
      <w:r w:rsidRPr="06822B67">
        <w:rPr>
          <w:rFonts w:ascii="Arial" w:eastAsia="Arial" w:hAnsi="Arial" w:cs="Arial"/>
        </w:rPr>
        <w:t xml:space="preserve">Waterworth, S., Raphael, D., Gott, M., Arroll, B., Benipal, J. and Jarden, A. (2019) </w:t>
      </w:r>
      <w:r w:rsidRPr="06822B67">
        <w:rPr>
          <w:rFonts w:ascii="Arial" w:eastAsia="Arial" w:hAnsi="Arial" w:cs="Arial"/>
          <w:i/>
          <w:iCs/>
        </w:rPr>
        <w:t>An exploration of how community‑dwelling older adults enhance their well‑being: A PERMA model approach</w:t>
      </w:r>
      <w:r w:rsidRPr="06822B67">
        <w:rPr>
          <w:rFonts w:ascii="Arial" w:eastAsia="Arial" w:hAnsi="Arial" w:cs="Arial"/>
        </w:rPr>
        <w:t xml:space="preserve">, </w:t>
      </w:r>
      <w:r w:rsidRPr="06822B67">
        <w:rPr>
          <w:rFonts w:ascii="Arial" w:eastAsia="Arial" w:hAnsi="Arial" w:cs="Arial"/>
          <w:i/>
          <w:iCs/>
        </w:rPr>
        <w:t>International Journal of Older People Nursing</w:t>
      </w:r>
      <w:r w:rsidRPr="06822B67">
        <w:rPr>
          <w:rFonts w:ascii="Arial" w:eastAsia="Arial" w:hAnsi="Arial" w:cs="Arial"/>
        </w:rPr>
        <w:t xml:space="preserve">, 14(4), e12267. </w:t>
      </w:r>
    </w:p>
    <w:p w14:paraId="79231D8A" w14:textId="1819E244" w:rsidR="001F4E68" w:rsidRPr="00271656" w:rsidRDefault="69DEE48E" w:rsidP="06822B67">
      <w:pPr>
        <w:shd w:val="clear" w:color="auto" w:fill="FFFFFF" w:themeFill="background1"/>
        <w:spacing w:after="0" w:line="360" w:lineRule="auto"/>
        <w:rPr>
          <w:rFonts w:ascii="Arial" w:eastAsia="Arial" w:hAnsi="Arial" w:cs="Arial"/>
        </w:rPr>
      </w:pPr>
      <w:proofErr w:type="spellStart"/>
      <w:r w:rsidRPr="06822B67">
        <w:rPr>
          <w:rFonts w:ascii="Arial" w:eastAsia="Arial" w:hAnsi="Arial" w:cs="Arial"/>
          <w:color w:val="212121"/>
        </w:rPr>
        <w:t>doi</w:t>
      </w:r>
      <w:proofErr w:type="spellEnd"/>
      <w:r w:rsidRPr="06822B67">
        <w:rPr>
          <w:rFonts w:ascii="Arial" w:eastAsia="Arial" w:hAnsi="Arial" w:cs="Arial"/>
          <w:color w:val="212121"/>
        </w:rPr>
        <w:t xml:space="preserve">: </w:t>
      </w:r>
      <w:hyperlink r:id="rId11">
        <w:r w:rsidRPr="06822B67">
          <w:rPr>
            <w:rStyle w:val="Hyperlink"/>
            <w:rFonts w:ascii="Arial" w:eastAsia="Arial" w:hAnsi="Arial" w:cs="Arial"/>
            <w:color w:val="0071BC"/>
            <w:u w:val="none"/>
          </w:rPr>
          <w:t>10.1111/opn.12267</w:t>
        </w:r>
      </w:hyperlink>
    </w:p>
    <w:p w14:paraId="777BD4A3" w14:textId="1F3765F7" w:rsidR="001F4E68" w:rsidRPr="0091296D" w:rsidRDefault="001F4E68" w:rsidP="00271656">
      <w:pPr>
        <w:spacing w:line="360" w:lineRule="auto"/>
        <w:rPr>
          <w:rFonts w:ascii="Arial" w:hAnsi="Arial" w:cs="Arial"/>
          <w:u w:val="single"/>
        </w:rPr>
      </w:pPr>
      <w:r w:rsidRPr="0091296D">
        <w:rPr>
          <w:rFonts w:ascii="Arial" w:hAnsi="Arial" w:cs="Arial"/>
          <w:u w:val="single"/>
        </w:rPr>
        <w:t>Summary</w:t>
      </w:r>
    </w:p>
    <w:p w14:paraId="460A2F03" w14:textId="25CA0307" w:rsidR="00D56CA6" w:rsidRDefault="00D56CA6" w:rsidP="00271656">
      <w:pPr>
        <w:spacing w:line="360" w:lineRule="auto"/>
        <w:rPr>
          <w:rFonts w:ascii="Arial" w:hAnsi="Arial" w:cs="Arial"/>
        </w:rPr>
      </w:pPr>
      <w:r w:rsidRPr="00D56CA6">
        <w:rPr>
          <w:rFonts w:ascii="Arial" w:hAnsi="Arial" w:cs="Arial"/>
        </w:rPr>
        <w:t>This qualitative study used Seligman’s PERMA model to explore how older adults improve their well-being. Interviews with 48 people aged 66–99 showed that they take part in activities linked to positive emotions, engagement, relationships, meaning and achievement. However, things like health and financial situation can affect how much they are able to do this. The study shows that PERMA is useful for understanding well-being in later life and highlights the need to support access to these opportunities.</w:t>
      </w:r>
    </w:p>
    <w:p w14:paraId="76BB8259" w14:textId="6E261540" w:rsidR="001F4E68" w:rsidRPr="00271656" w:rsidRDefault="001F4E68" w:rsidP="00271656">
      <w:pPr>
        <w:spacing w:line="360" w:lineRule="auto"/>
        <w:rPr>
          <w:rFonts w:ascii="Arial" w:hAnsi="Arial" w:cs="Arial"/>
          <w:u w:val="single"/>
        </w:rPr>
      </w:pPr>
      <w:r w:rsidRPr="00271656">
        <w:rPr>
          <w:rFonts w:ascii="Arial" w:hAnsi="Arial" w:cs="Arial"/>
          <w:u w:val="single"/>
        </w:rPr>
        <w:t>Critical relevance to supporting older adults</w:t>
      </w:r>
    </w:p>
    <w:p w14:paraId="5A8EB36F" w14:textId="3AC31CB3" w:rsidR="00BE2AF0" w:rsidRDefault="00BE2AF0" w:rsidP="06822B67">
      <w:pPr>
        <w:spacing w:line="360" w:lineRule="auto"/>
        <w:rPr>
          <w:rFonts w:ascii="Arial" w:hAnsi="Arial" w:cs="Arial"/>
        </w:rPr>
      </w:pPr>
      <w:bookmarkStart w:id="3" w:name="_Toc223977177"/>
      <w:bookmarkStart w:id="4" w:name="_Toc223977483"/>
      <w:bookmarkStart w:id="5" w:name="_Toc223978047"/>
      <w:r w:rsidRPr="00BE2AF0">
        <w:rPr>
          <w:rFonts w:ascii="Arial" w:hAnsi="Arial" w:cs="Arial"/>
        </w:rPr>
        <w:lastRenderedPageBreak/>
        <w:t>The findings show that older adults actively try to maintain their well-being rather than just waiting for it to happen. While many take part in helpful activities, barriers such as poor health or limited resources can make this harder. This means well-being in later life depends on both personal choices and life circumstances. The study is useful for health and social care because it supports a person-centred approach. For example, carers can encourage social interaction, meaningful activities</w:t>
      </w:r>
      <w:r>
        <w:rPr>
          <w:rFonts w:ascii="Arial" w:hAnsi="Arial" w:cs="Arial"/>
        </w:rPr>
        <w:t xml:space="preserve"> </w:t>
      </w:r>
      <w:r w:rsidRPr="00BE2AF0">
        <w:rPr>
          <w:rFonts w:ascii="Arial" w:hAnsi="Arial" w:cs="Arial"/>
        </w:rPr>
        <w:t>and routines that support well-being. Overall, supporting older adults means helping them continue the positive things they already do to promote healthy ageing.</w:t>
      </w:r>
    </w:p>
    <w:p w14:paraId="6840D0DA" w14:textId="67CA64ED" w:rsidR="00D7057E" w:rsidRPr="004575D4" w:rsidRDefault="00D7057E" w:rsidP="06822B67">
      <w:pPr>
        <w:spacing w:line="360" w:lineRule="auto"/>
        <w:rPr>
          <w:rFonts w:ascii="Arial" w:hAnsi="Arial" w:cs="Arial"/>
        </w:rPr>
      </w:pPr>
      <w:r w:rsidRPr="06822B67">
        <w:rPr>
          <w:rFonts w:ascii="Arial" w:hAnsi="Arial" w:cs="Arial"/>
        </w:rPr>
        <w:t xml:space="preserve">Erber, J.T (2012). </w:t>
      </w:r>
      <w:r w:rsidR="52FC576A" w:rsidRPr="06822B67">
        <w:rPr>
          <w:rFonts w:ascii="Arial" w:hAnsi="Arial" w:cs="Arial"/>
        </w:rPr>
        <w:t>‘</w:t>
      </w:r>
      <w:r w:rsidR="00FC4AE4" w:rsidRPr="06822B67">
        <w:rPr>
          <w:rFonts w:ascii="Arial" w:hAnsi="Arial" w:cs="Arial"/>
        </w:rPr>
        <w:t>Social interaction an</w:t>
      </w:r>
      <w:r w:rsidR="00825BC7" w:rsidRPr="06822B67">
        <w:rPr>
          <w:rFonts w:ascii="Arial" w:hAnsi="Arial" w:cs="Arial"/>
        </w:rPr>
        <w:t>d</w:t>
      </w:r>
      <w:r w:rsidR="00FC4AE4" w:rsidRPr="06822B67">
        <w:rPr>
          <w:rFonts w:ascii="Arial" w:hAnsi="Arial" w:cs="Arial"/>
        </w:rPr>
        <w:t xml:space="preserve"> social ties</w:t>
      </w:r>
      <w:r w:rsidR="2AA632DB" w:rsidRPr="06822B67">
        <w:rPr>
          <w:rFonts w:ascii="Arial" w:hAnsi="Arial" w:cs="Arial"/>
        </w:rPr>
        <w:t>’,</w:t>
      </w:r>
      <w:r w:rsidR="008A6F24" w:rsidRPr="06822B67">
        <w:rPr>
          <w:rFonts w:ascii="Arial" w:hAnsi="Arial" w:cs="Arial"/>
          <w:i/>
        </w:rPr>
        <w:t xml:space="preserve"> in aging &amp;</w:t>
      </w:r>
      <w:r w:rsidR="00DB30A5" w:rsidRPr="06822B67">
        <w:rPr>
          <w:rFonts w:ascii="Arial" w:hAnsi="Arial" w:cs="Arial"/>
          <w:i/>
        </w:rPr>
        <w:t xml:space="preserve"> older adulthood.</w:t>
      </w:r>
      <w:r w:rsidR="00DB30A5" w:rsidRPr="06822B67">
        <w:rPr>
          <w:rFonts w:ascii="Arial" w:hAnsi="Arial" w:cs="Arial"/>
        </w:rPr>
        <w:t xml:space="preserve"> 3</w:t>
      </w:r>
      <w:r w:rsidR="00DB30A5" w:rsidRPr="06822B67">
        <w:rPr>
          <w:rFonts w:ascii="Arial" w:hAnsi="Arial" w:cs="Arial"/>
          <w:vertAlign w:val="superscript"/>
        </w:rPr>
        <w:t>rd</w:t>
      </w:r>
      <w:r w:rsidR="00DB30A5" w:rsidRPr="06822B67">
        <w:rPr>
          <w:rFonts w:ascii="Arial" w:hAnsi="Arial" w:cs="Arial"/>
        </w:rPr>
        <w:t xml:space="preserve"> ed</w:t>
      </w:r>
      <w:r w:rsidR="00C60D39" w:rsidRPr="06822B67">
        <w:rPr>
          <w:rFonts w:ascii="Arial" w:hAnsi="Arial" w:cs="Arial"/>
        </w:rPr>
        <w:t>n</w:t>
      </w:r>
      <w:r w:rsidR="007B3F69" w:rsidRPr="06822B67">
        <w:rPr>
          <w:rFonts w:ascii="Arial" w:hAnsi="Arial" w:cs="Arial"/>
        </w:rPr>
        <w:t xml:space="preserve">. </w:t>
      </w:r>
      <w:r w:rsidR="000851F6" w:rsidRPr="06822B67">
        <w:rPr>
          <w:rFonts w:ascii="Arial" w:hAnsi="Arial" w:cs="Arial"/>
        </w:rPr>
        <w:t>Hoboken</w:t>
      </w:r>
      <w:r w:rsidR="007B3F69" w:rsidRPr="06822B67">
        <w:rPr>
          <w:rFonts w:ascii="Arial" w:hAnsi="Arial" w:cs="Arial"/>
        </w:rPr>
        <w:t>: Wiley</w:t>
      </w:r>
      <w:r w:rsidR="00EC2066" w:rsidRPr="06822B67">
        <w:rPr>
          <w:rFonts w:ascii="Arial" w:hAnsi="Arial" w:cs="Arial"/>
        </w:rPr>
        <w:t xml:space="preserve">-Blackwell. pp. </w:t>
      </w:r>
      <w:r w:rsidR="00825BC7" w:rsidRPr="06822B67">
        <w:rPr>
          <w:rFonts w:ascii="Arial" w:hAnsi="Arial" w:cs="Arial"/>
        </w:rPr>
        <w:t>265-297.</w:t>
      </w:r>
    </w:p>
    <w:p w14:paraId="275B8062" w14:textId="77777777" w:rsidR="006E19B2" w:rsidRDefault="007E7DFB" w:rsidP="00271656">
      <w:pPr>
        <w:pStyle w:val="Heading2"/>
        <w:spacing w:line="360" w:lineRule="auto"/>
        <w:rPr>
          <w:rFonts w:ascii="Arial" w:hAnsi="Arial" w:cs="Arial"/>
          <w:color w:val="000000" w:themeColor="text1"/>
          <w:sz w:val="22"/>
          <w:szCs w:val="22"/>
          <w:u w:val="single"/>
        </w:rPr>
      </w:pPr>
      <w:bookmarkStart w:id="6" w:name="_Toc224548013"/>
      <w:bookmarkStart w:id="7" w:name="_Toc224548276"/>
      <w:bookmarkStart w:id="8" w:name="_Toc225190910"/>
      <w:r w:rsidRPr="00271656">
        <w:rPr>
          <w:rFonts w:ascii="Arial" w:hAnsi="Arial" w:cs="Arial"/>
          <w:color w:val="000000" w:themeColor="text1"/>
          <w:sz w:val="22"/>
          <w:szCs w:val="22"/>
          <w:u w:val="single"/>
        </w:rPr>
        <w:t>Summary</w:t>
      </w:r>
      <w:bookmarkStart w:id="9" w:name="_Toc223976991"/>
      <w:bookmarkStart w:id="10" w:name="_Toc223977178"/>
      <w:bookmarkStart w:id="11" w:name="_Toc223977484"/>
      <w:bookmarkStart w:id="12" w:name="_Toc223978048"/>
      <w:bookmarkStart w:id="13" w:name="_Toc224548014"/>
      <w:bookmarkStart w:id="14" w:name="_Toc224548277"/>
      <w:bookmarkEnd w:id="3"/>
      <w:bookmarkEnd w:id="4"/>
      <w:bookmarkEnd w:id="5"/>
      <w:bookmarkEnd w:id="6"/>
      <w:bookmarkEnd w:id="7"/>
      <w:bookmarkEnd w:id="8"/>
    </w:p>
    <w:p w14:paraId="333FF1FF" w14:textId="1A96F674" w:rsidR="007E7DFB" w:rsidRPr="005C302D" w:rsidRDefault="007E7DFB" w:rsidP="532A54D2">
      <w:pPr>
        <w:pStyle w:val="Heading2"/>
        <w:spacing w:line="360" w:lineRule="auto"/>
        <w:rPr>
          <w:rFonts w:ascii="Arial" w:hAnsi="Arial" w:cs="Arial"/>
          <w:color w:val="000000" w:themeColor="text1"/>
          <w:sz w:val="22"/>
          <w:szCs w:val="22"/>
        </w:rPr>
      </w:pPr>
      <w:bookmarkStart w:id="15" w:name="_Toc225190911"/>
      <w:r w:rsidRPr="532A54D2">
        <w:rPr>
          <w:rFonts w:ascii="Arial" w:hAnsi="Arial" w:cs="Arial"/>
          <w:color w:val="000000" w:themeColor="text1"/>
          <w:sz w:val="22"/>
          <w:szCs w:val="22"/>
        </w:rPr>
        <w:t xml:space="preserve">This chapter </w:t>
      </w:r>
      <w:r w:rsidR="0DF5C7CD" w:rsidRPr="532A54D2">
        <w:rPr>
          <w:rFonts w:ascii="Arial" w:hAnsi="Arial" w:cs="Arial"/>
          <w:color w:val="000000" w:themeColor="text1"/>
          <w:sz w:val="22"/>
          <w:szCs w:val="22"/>
        </w:rPr>
        <w:t>looks at</w:t>
      </w:r>
      <w:r w:rsidRPr="532A54D2">
        <w:rPr>
          <w:rFonts w:ascii="Arial" w:hAnsi="Arial" w:cs="Arial"/>
          <w:color w:val="000000" w:themeColor="text1"/>
          <w:sz w:val="22"/>
          <w:szCs w:val="22"/>
        </w:rPr>
        <w:t xml:space="preserve"> how older adults’ social relationships change over time. Erber </w:t>
      </w:r>
      <w:r w:rsidR="654F416C" w:rsidRPr="532A54D2">
        <w:rPr>
          <w:rFonts w:ascii="Arial" w:hAnsi="Arial" w:cs="Arial"/>
          <w:color w:val="000000" w:themeColor="text1"/>
          <w:sz w:val="22"/>
          <w:szCs w:val="22"/>
        </w:rPr>
        <w:t>explains</w:t>
      </w:r>
      <w:r w:rsidRPr="532A54D2">
        <w:rPr>
          <w:rFonts w:ascii="Arial" w:hAnsi="Arial" w:cs="Arial"/>
          <w:color w:val="000000" w:themeColor="text1"/>
          <w:sz w:val="22"/>
          <w:szCs w:val="22"/>
        </w:rPr>
        <w:t xml:space="preserve"> how life events such as retirement, bereavement, reduced mobility and shifting family roles can affect how often and how meaningfully people connect with others. The chapter highlights that strong social ties are linked to better emotional wellbeing, cognitive functioning and overall resilience in later life.</w:t>
      </w:r>
      <w:bookmarkEnd w:id="9"/>
      <w:bookmarkEnd w:id="10"/>
      <w:bookmarkEnd w:id="11"/>
      <w:bookmarkEnd w:id="12"/>
      <w:bookmarkEnd w:id="13"/>
      <w:bookmarkEnd w:id="14"/>
      <w:bookmarkEnd w:id="15"/>
    </w:p>
    <w:p w14:paraId="37339443" w14:textId="77777777" w:rsidR="007E7DFB" w:rsidRPr="00271656" w:rsidRDefault="007E7DFB" w:rsidP="00271656">
      <w:pPr>
        <w:pStyle w:val="Heading2"/>
        <w:spacing w:line="360" w:lineRule="auto"/>
        <w:rPr>
          <w:rFonts w:ascii="Arial" w:hAnsi="Arial" w:cs="Arial"/>
          <w:color w:val="000000" w:themeColor="text1"/>
          <w:sz w:val="22"/>
          <w:szCs w:val="22"/>
          <w:u w:val="single"/>
        </w:rPr>
      </w:pPr>
      <w:bookmarkStart w:id="16" w:name="_Toc223976992"/>
      <w:bookmarkStart w:id="17" w:name="_Toc223977179"/>
      <w:bookmarkStart w:id="18" w:name="_Toc223977485"/>
      <w:bookmarkStart w:id="19" w:name="_Toc223978049"/>
      <w:bookmarkStart w:id="20" w:name="_Toc224548015"/>
      <w:bookmarkStart w:id="21" w:name="_Toc224548278"/>
      <w:bookmarkStart w:id="22" w:name="_Toc225190912"/>
      <w:r w:rsidRPr="532A54D2">
        <w:rPr>
          <w:rFonts w:ascii="Arial" w:hAnsi="Arial" w:cs="Arial"/>
          <w:color w:val="000000" w:themeColor="text1"/>
          <w:sz w:val="22"/>
          <w:szCs w:val="22"/>
          <w:u w:val="single"/>
        </w:rPr>
        <w:t>Critical relevance to supporting older adults</w:t>
      </w:r>
      <w:bookmarkEnd w:id="16"/>
      <w:bookmarkEnd w:id="17"/>
      <w:bookmarkEnd w:id="18"/>
      <w:bookmarkEnd w:id="19"/>
      <w:bookmarkEnd w:id="20"/>
      <w:bookmarkEnd w:id="21"/>
      <w:bookmarkEnd w:id="22"/>
    </w:p>
    <w:p w14:paraId="440E4DA0" w14:textId="12C50376" w:rsidR="00311319" w:rsidRPr="00271656" w:rsidRDefault="5ACBD130" w:rsidP="532A54D2">
      <w:pPr>
        <w:spacing w:line="360" w:lineRule="auto"/>
        <w:rPr>
          <w:rFonts w:ascii="Arial" w:eastAsia="Arial" w:hAnsi="Arial" w:cs="Arial"/>
        </w:rPr>
      </w:pPr>
      <w:r w:rsidRPr="532A54D2">
        <w:rPr>
          <w:rFonts w:ascii="Arial" w:eastAsia="Arial" w:hAnsi="Arial" w:cs="Arial"/>
        </w:rPr>
        <w:t>This chapter is particularly relevant to health and social care as it highlights the crucial role of social connections in supporting well</w:t>
      </w:r>
      <w:r w:rsidR="1A1A37CA" w:rsidRPr="532A54D2">
        <w:rPr>
          <w:rFonts w:ascii="Arial" w:eastAsia="Arial" w:hAnsi="Arial" w:cs="Arial"/>
        </w:rPr>
        <w:t>-</w:t>
      </w:r>
      <w:r w:rsidRPr="532A54D2">
        <w:rPr>
          <w:rFonts w:ascii="Arial" w:eastAsia="Arial" w:hAnsi="Arial" w:cs="Arial"/>
        </w:rPr>
        <w:t xml:space="preserve">being among older adults. It illustrates that limited social contact can lead to loneliness and emotional decline, whereas strong, supportive relationships can improve overall quality of life. While the focus is mainly on psychological factors rather than practical interventions, the chapter provides a solid basis for understanding why </w:t>
      </w:r>
      <w:r w:rsidR="46D3038B" w:rsidRPr="532A54D2">
        <w:rPr>
          <w:rFonts w:ascii="Arial" w:eastAsia="Arial" w:hAnsi="Arial" w:cs="Arial"/>
        </w:rPr>
        <w:t>encouraging</w:t>
      </w:r>
      <w:r w:rsidRPr="532A54D2">
        <w:rPr>
          <w:rFonts w:ascii="Arial" w:eastAsia="Arial" w:hAnsi="Arial" w:cs="Arial"/>
        </w:rPr>
        <w:t xml:space="preserve"> social engagement and preventing isolation are key components of person‑centred care.</w:t>
      </w:r>
    </w:p>
    <w:p w14:paraId="1A526D60" w14:textId="1696FF0B" w:rsidR="000851F6" w:rsidRDefault="000851F6" w:rsidP="06822B67">
      <w:pPr>
        <w:pStyle w:val="Heading2"/>
        <w:spacing w:line="360" w:lineRule="auto"/>
        <w:rPr>
          <w:rFonts w:ascii="Arial" w:hAnsi="Arial" w:cs="Arial"/>
          <w:color w:val="auto"/>
          <w:sz w:val="22"/>
          <w:szCs w:val="22"/>
        </w:rPr>
      </w:pPr>
    </w:p>
    <w:p w14:paraId="0FA9A4D1" w14:textId="5D115F07" w:rsidR="000851F6" w:rsidRPr="007E159B" w:rsidRDefault="000851F6" w:rsidP="06822B67">
      <w:pPr>
        <w:pStyle w:val="Heading2"/>
        <w:spacing w:line="360" w:lineRule="auto"/>
        <w:rPr>
          <w:rFonts w:ascii="Arial" w:hAnsi="Arial" w:cs="Arial"/>
          <w:color w:val="auto"/>
          <w:sz w:val="22"/>
          <w:szCs w:val="22"/>
        </w:rPr>
      </w:pPr>
      <w:bookmarkStart w:id="23" w:name="_Toc223977181"/>
      <w:bookmarkStart w:id="24" w:name="_Toc223978051"/>
      <w:bookmarkStart w:id="25" w:name="_Toc225190913"/>
      <w:r w:rsidRPr="007E159B">
        <w:rPr>
          <w:rFonts w:ascii="Arial" w:hAnsi="Arial" w:cs="Arial"/>
          <w:color w:val="auto"/>
          <w:sz w:val="22"/>
          <w:szCs w:val="22"/>
        </w:rPr>
        <w:t>Andas, A. M., Prima, A., Wada, F. H., Romantika, I. W., Purnamasari, A. et al. (2026) ‘Exploring the interconnection between loneliness and depression among elderly residents in long-term care facilities’,</w:t>
      </w:r>
      <w:r w:rsidRPr="007E159B">
        <w:rPr>
          <w:rFonts w:ascii="Arial" w:hAnsi="Arial" w:cs="Arial"/>
          <w:i/>
          <w:iCs/>
          <w:color w:val="auto"/>
          <w:sz w:val="22"/>
          <w:szCs w:val="22"/>
        </w:rPr>
        <w:t xml:space="preserve"> Working With Older People,</w:t>
      </w:r>
      <w:r w:rsidRPr="007E159B">
        <w:rPr>
          <w:rFonts w:ascii="Arial" w:hAnsi="Arial" w:cs="Arial"/>
          <w:color w:val="auto"/>
          <w:sz w:val="22"/>
          <w:szCs w:val="22"/>
        </w:rPr>
        <w:t xml:space="preserve"> 30(1), pp. 40–49.</w:t>
      </w:r>
      <w:bookmarkEnd w:id="23"/>
      <w:bookmarkEnd w:id="24"/>
      <w:bookmarkEnd w:id="25"/>
    </w:p>
    <w:p w14:paraId="4FD8EA6B" w14:textId="77777777" w:rsidR="00A47F48" w:rsidRDefault="00FF3B57" w:rsidP="00271656">
      <w:pPr>
        <w:spacing w:line="360" w:lineRule="auto"/>
        <w:rPr>
          <w:rFonts w:ascii="Arial" w:hAnsi="Arial" w:cs="Arial"/>
          <w:u w:val="single"/>
        </w:rPr>
      </w:pPr>
      <w:r w:rsidRPr="00271656">
        <w:rPr>
          <w:rFonts w:ascii="Arial" w:hAnsi="Arial" w:cs="Arial"/>
          <w:u w:val="single"/>
        </w:rPr>
        <w:t>Summary</w:t>
      </w:r>
      <w:r w:rsidR="00A47F48">
        <w:rPr>
          <w:rFonts w:ascii="Arial" w:hAnsi="Arial" w:cs="Arial"/>
          <w:u w:val="single"/>
        </w:rPr>
        <w:t xml:space="preserve"> </w:t>
      </w:r>
    </w:p>
    <w:p w14:paraId="137B409D" w14:textId="78FE5391" w:rsidR="00183AFF" w:rsidRPr="00183AFF" w:rsidRDefault="00183AFF" w:rsidP="00271656">
      <w:pPr>
        <w:spacing w:line="360" w:lineRule="auto"/>
        <w:rPr>
          <w:rFonts w:ascii="Arial" w:hAnsi="Arial" w:cs="Arial"/>
          <w:u w:val="single"/>
        </w:rPr>
      </w:pPr>
      <w:r w:rsidRPr="00183AFF">
        <w:rPr>
          <w:rFonts w:ascii="Arial" w:hAnsi="Arial" w:cs="Arial"/>
        </w:rPr>
        <w:t xml:space="preserve">This study looks at how loneliness and depression are connected in older adults living in long-term care. It shows that having less social contact, reduced independence, and fewer meaningful interactions can lead to emotional distress. The authors found a strong link </w:t>
      </w:r>
      <w:r w:rsidRPr="00183AFF">
        <w:rPr>
          <w:rFonts w:ascii="Arial" w:hAnsi="Arial" w:cs="Arial"/>
        </w:rPr>
        <w:lastRenderedPageBreak/>
        <w:t>between ongoing loneliness and depression, highlighting the importance of better emotional and social support in care settings.</w:t>
      </w:r>
    </w:p>
    <w:p w14:paraId="318A8D43" w14:textId="77777777" w:rsidR="00FF3B57" w:rsidRPr="00271656" w:rsidRDefault="00FF3B57" w:rsidP="00271656">
      <w:pPr>
        <w:spacing w:line="360" w:lineRule="auto"/>
        <w:rPr>
          <w:rFonts w:ascii="Arial" w:hAnsi="Arial" w:cs="Arial"/>
          <w:u w:val="single"/>
        </w:rPr>
      </w:pPr>
      <w:r w:rsidRPr="68B40CD0">
        <w:rPr>
          <w:rFonts w:ascii="Arial" w:hAnsi="Arial" w:cs="Arial"/>
          <w:u w:val="single"/>
        </w:rPr>
        <w:t>Critical relevance to supporting older adults</w:t>
      </w:r>
    </w:p>
    <w:p w14:paraId="4B68A51E" w14:textId="7123C5C8" w:rsidR="00183AFF" w:rsidRDefault="00CE2C82" w:rsidP="68B40CD0">
      <w:pPr>
        <w:spacing w:line="360" w:lineRule="auto"/>
        <w:rPr>
          <w:rFonts w:ascii="Arial" w:eastAsia="Arial" w:hAnsi="Arial" w:cs="Arial"/>
        </w:rPr>
      </w:pPr>
      <w:r w:rsidRPr="00CE2C82">
        <w:rPr>
          <w:rFonts w:ascii="Arial" w:eastAsia="Arial" w:hAnsi="Arial" w:cs="Arial"/>
        </w:rPr>
        <w:t>This study shows a strong link between loneliness and depression in people living in long-term care. It highlights that emotional well-being is affected by social factors and ongoing loneliness can lower quality of life, reduce activity and harm physical health. For care staff, it shows the importance of encouraging social interaction, building relationships and checking on residents’ emotional well-being. Simple actions like helping residents stay in touch with family, join group activities, or take part in meaningful roles can reduce loneliness. Overall, it supports a person-centred approach where emotional and social support are key parts of care.</w:t>
      </w:r>
    </w:p>
    <w:p w14:paraId="70AECE3C" w14:textId="3CCFD461" w:rsidR="00C6210A" w:rsidRDefault="00C6210A" w:rsidP="68B40CD0">
      <w:pPr>
        <w:spacing w:line="360" w:lineRule="auto"/>
        <w:rPr>
          <w:rFonts w:ascii="Arial" w:hAnsi="Arial" w:cs="Arial"/>
        </w:rPr>
      </w:pPr>
      <w:r w:rsidRPr="68B40CD0">
        <w:rPr>
          <w:rFonts w:ascii="Arial" w:hAnsi="Arial" w:cs="Arial"/>
        </w:rPr>
        <w:br w:type="page"/>
      </w:r>
    </w:p>
    <w:p w14:paraId="7EA70CBD" w14:textId="2CFDDEA4" w:rsidR="00AF17A3" w:rsidRPr="00271656" w:rsidRDefault="00AD30ED" w:rsidP="00C6210A">
      <w:pPr>
        <w:pStyle w:val="Heading1"/>
        <w:spacing w:line="360" w:lineRule="auto"/>
        <w:rPr>
          <w:rFonts w:ascii="Arial" w:hAnsi="Arial" w:cs="Arial"/>
          <w:color w:val="000000" w:themeColor="text1"/>
          <w:sz w:val="32"/>
          <w:szCs w:val="32"/>
          <w:u w:val="single"/>
        </w:rPr>
      </w:pPr>
      <w:bookmarkStart w:id="26" w:name="_Toc225190914"/>
      <w:r w:rsidRPr="00271656">
        <w:rPr>
          <w:rFonts w:ascii="Arial" w:hAnsi="Arial" w:cs="Arial"/>
          <w:color w:val="000000" w:themeColor="text1"/>
          <w:sz w:val="32"/>
          <w:szCs w:val="32"/>
          <w:u w:val="single"/>
        </w:rPr>
        <w:lastRenderedPageBreak/>
        <w:t>Applying Social Interaction Theory to Enhance Wellbeing in Residential Care</w:t>
      </w:r>
      <w:bookmarkEnd w:id="26"/>
    </w:p>
    <w:p w14:paraId="177E9519" w14:textId="0EAC6F42" w:rsidR="002D61E0" w:rsidRPr="002D61E0" w:rsidRDefault="002D61E0" w:rsidP="002D61E0">
      <w:pPr>
        <w:spacing w:line="360" w:lineRule="auto"/>
        <w:rPr>
          <w:rFonts w:ascii="Arial" w:hAnsi="Arial" w:cs="Arial"/>
        </w:rPr>
      </w:pPr>
      <w:r w:rsidRPr="002D61E0">
        <w:rPr>
          <w:rFonts w:ascii="Arial" w:hAnsi="Arial" w:cs="Arial"/>
        </w:rPr>
        <w:t>Staying socially connected is vital for older adults, especially those living in care homes, because isolation and loneliness can affect mood, confidence and overall quality of life. Research shows that regular interaction through conversations, shared activities, or even just spending time together helps residents feel happier, more engaged and more connected to life (Gardiner, Geldenhuys &amp; Gott, 2018). One way to understand this is through sociocultural interaction theory, which highlights that people maintain mental, emotional and social wellbeing through their relationships and shared experiences. Wellbeing isn’t just about what someone does alone</w:t>
      </w:r>
      <w:r w:rsidR="00D60F16">
        <w:rPr>
          <w:rFonts w:ascii="Arial" w:hAnsi="Arial" w:cs="Arial"/>
        </w:rPr>
        <w:t>,</w:t>
      </w:r>
      <w:r w:rsidRPr="002D61E0">
        <w:rPr>
          <w:rFonts w:ascii="Arial" w:hAnsi="Arial" w:cs="Arial"/>
        </w:rPr>
        <w:t xml:space="preserve"> it is shaped by connection with others (Erber, 2012). In a care home, this means that encouraging residents to interact with staff, other residents and visitors and giving them opportunities to participate in group activities can improve mental health, build confidence and create a sense of belonging. Even simple, everyday interactions like greeting someone in the hallway, sharing a cup of tea, or helping a resident with a small task can reinforce these connections and make them feel part of the community.</w:t>
      </w:r>
    </w:p>
    <w:p w14:paraId="746B4F99" w14:textId="217C3C6A" w:rsidR="002D61E0" w:rsidRPr="002D61E0" w:rsidRDefault="002D61E0" w:rsidP="002D61E0">
      <w:pPr>
        <w:spacing w:line="360" w:lineRule="auto"/>
        <w:rPr>
          <w:rFonts w:ascii="Arial" w:hAnsi="Arial" w:cs="Arial"/>
        </w:rPr>
      </w:pPr>
      <w:r w:rsidRPr="002D61E0">
        <w:rPr>
          <w:rFonts w:ascii="Arial" w:hAnsi="Arial" w:cs="Arial"/>
        </w:rPr>
        <w:t>In practical terms, this approach means staff shouldn’t just complete tasks for residents, but instead encourage them to join in, provide support when needed and gradually allow them to do more independently. This will build confidence, give residents a sense of achievement and reduce isolation, while also keeping minds active through conversation, memory and problem-solving (Ellwardt &amp; Tilburg, 2025). Even small, everyday opportunities, like chatting during meals, pairing residents for a short activity, or including them in light household tasks, can make a big difference, because they reinforce social bonds and make residents feel part of a community rather than just being cared for. Over time, these small moments add up, helping residents form friendships, share skills and feel a sense of purpose and control over their daily life.</w:t>
      </w:r>
    </w:p>
    <w:p w14:paraId="0734E0A6" w14:textId="77777777" w:rsidR="009C6B04" w:rsidRDefault="002D61E0" w:rsidP="002D61E0">
      <w:pPr>
        <w:spacing w:line="360" w:lineRule="auto"/>
        <w:rPr>
          <w:rFonts w:ascii="Arial" w:hAnsi="Arial" w:cs="Arial"/>
        </w:rPr>
      </w:pPr>
      <w:r w:rsidRPr="002D61E0">
        <w:rPr>
          <w:rFonts w:ascii="Arial" w:hAnsi="Arial" w:cs="Arial"/>
        </w:rPr>
        <w:t>A good example of this is the use of group reminiscence sessions, where residents share memories, photos, or stories from their lives. Staff participate alongside residents, prompting discussion and encouraging engagement without taking over the conversation. Over time, residents who were shy or withdrawn begin to speak more, laugh together and enjoy the social connection. For example, one resident might talk about a favourite hobby from their youth, which sparks stories from others and creates a supportive, collaborative environment. Activities like this help residents feel connected, reduce loneliness and provide a sense of identity and purpose (Goll et al., 2015). Similar approaches can include small hobby groups, themed activity sessions, or even gardening projects where residents can work together, all of which give a reason to interact and share experiences while supporting wellbeing.</w:t>
      </w:r>
    </w:p>
    <w:p w14:paraId="7EB683A0" w14:textId="429801DE" w:rsidR="002D61E0" w:rsidRPr="002D61E0" w:rsidRDefault="002D61E0" w:rsidP="002D61E0">
      <w:pPr>
        <w:spacing w:line="360" w:lineRule="auto"/>
        <w:rPr>
          <w:rFonts w:ascii="Arial" w:hAnsi="Arial" w:cs="Arial"/>
        </w:rPr>
      </w:pPr>
      <w:r w:rsidRPr="002D61E0">
        <w:rPr>
          <w:rFonts w:ascii="Arial" w:hAnsi="Arial" w:cs="Arial"/>
        </w:rPr>
        <w:lastRenderedPageBreak/>
        <w:t>There may still be challenges. Some residents may have dementia, hearing or vision problems, or limited mobility, which makes joining in harder. Staff may also be stretched for time or lack confidence in facilitating social activities, meaning some residents either get too much support, reducing independence, or too little, leading to frustration. Some may feel anxious about participating or worry about how they are perceived by others, which can prevent engagement (Holt</w:t>
      </w:r>
      <w:r w:rsidRPr="002D61E0">
        <w:rPr>
          <w:rFonts w:ascii="Cambria Math" w:hAnsi="Cambria Math" w:cs="Cambria Math"/>
        </w:rPr>
        <w:t>‑</w:t>
      </w:r>
      <w:r w:rsidRPr="002D61E0">
        <w:rPr>
          <w:rFonts w:ascii="Arial" w:hAnsi="Arial" w:cs="Arial"/>
        </w:rPr>
        <w:t>Lunstad, Smith &amp; Layton, 2010). Addressing these challenges requires a person-centred approach, where staff learn about each resident’s abilities, preferences and communication style and adapt activities to fit their needs. Using music, sensory objects, or smaller groups can help include residents with cognitive or physical difficulties and training staff in engagement techniques can increase confidence and effectiveness. Integrating social opportunities into everyday routines, rather than relying only on structured sessions, ensures residents are regularly connected. Even small acts, such as pairing residents for conversation, encouraging participation in daily tasks, or celebrating small achievements together, can make a meaningful difference (Holder &amp; Jolley, 2012).</w:t>
      </w:r>
    </w:p>
    <w:p w14:paraId="282A3DA1" w14:textId="49BF9219" w:rsidR="00634F59" w:rsidRPr="007E159B" w:rsidRDefault="002D61E0" w:rsidP="002D61E0">
      <w:pPr>
        <w:spacing w:line="360" w:lineRule="auto"/>
        <w:rPr>
          <w:rFonts w:ascii="Arial" w:hAnsi="Arial" w:cs="Arial"/>
        </w:rPr>
      </w:pPr>
      <w:r w:rsidRPr="002D61E0">
        <w:rPr>
          <w:rFonts w:ascii="Arial" w:hAnsi="Arial" w:cs="Arial"/>
        </w:rPr>
        <w:t>In short, social interaction is central to promoting wellbeing in older adults living in residential care. Applying sociocultural interaction theory reminds us that residents are not passive recipients of care</w:t>
      </w:r>
      <w:r w:rsidR="008758E6">
        <w:rPr>
          <w:rFonts w:ascii="Arial" w:hAnsi="Arial" w:cs="Arial"/>
        </w:rPr>
        <w:t>,</w:t>
      </w:r>
      <w:r w:rsidRPr="002D61E0">
        <w:rPr>
          <w:rFonts w:ascii="Arial" w:hAnsi="Arial" w:cs="Arial"/>
        </w:rPr>
        <w:t xml:space="preserve"> they can contribute, engage and maintain meaningful relationships at any age. Encouraging interaction, supporting activities that residents enjoy and </w:t>
      </w:r>
      <w:r w:rsidR="00C40514">
        <w:rPr>
          <w:rFonts w:ascii="Arial" w:hAnsi="Arial" w:cs="Arial"/>
        </w:rPr>
        <w:t xml:space="preserve">encouraging </w:t>
      </w:r>
      <w:r w:rsidRPr="002D61E0">
        <w:rPr>
          <w:rFonts w:ascii="Arial" w:hAnsi="Arial" w:cs="Arial"/>
        </w:rPr>
        <w:t xml:space="preserve">connections helps reduce loneliness, improve mood and strengthen a sense of purpose. While cognitive decline, mobility issues and staffing pressures present challenges, person-centred strategies, flexible activities and attentive facilitation can overcome these barriers. By making social interaction a core part of daily life, care staff can help older adults live fuller, happier and more connected lives, creating an environment where residents feel valued, involved and supported. Over time, consistently </w:t>
      </w:r>
      <w:r w:rsidR="0097465B">
        <w:rPr>
          <w:rFonts w:ascii="Arial" w:hAnsi="Arial" w:cs="Arial"/>
        </w:rPr>
        <w:t>encouraging</w:t>
      </w:r>
      <w:r w:rsidRPr="002D61E0">
        <w:rPr>
          <w:rFonts w:ascii="Arial" w:hAnsi="Arial" w:cs="Arial"/>
        </w:rPr>
        <w:t xml:space="preserve"> these social connections can not only improve well</w:t>
      </w:r>
      <w:r w:rsidR="00D83A2E">
        <w:rPr>
          <w:rFonts w:ascii="Arial" w:hAnsi="Arial" w:cs="Arial"/>
        </w:rPr>
        <w:t>-</w:t>
      </w:r>
      <w:r w:rsidRPr="002D61E0">
        <w:rPr>
          <w:rFonts w:ascii="Arial" w:hAnsi="Arial" w:cs="Arial"/>
        </w:rPr>
        <w:t>being but also help residents feel safer, more confident and motivated to engage with life in the care home.</w:t>
      </w:r>
    </w:p>
    <w:p w14:paraId="2DDA5614" w14:textId="77777777" w:rsidR="00634F59" w:rsidRPr="007E159B" w:rsidRDefault="00634F59" w:rsidP="00271656">
      <w:pPr>
        <w:spacing w:line="360" w:lineRule="auto"/>
        <w:rPr>
          <w:rFonts w:ascii="Arial" w:hAnsi="Arial" w:cs="Arial"/>
        </w:rPr>
      </w:pPr>
    </w:p>
    <w:p w14:paraId="25F9F839" w14:textId="77777777" w:rsidR="00634F59" w:rsidRPr="007E159B" w:rsidRDefault="00634F59" w:rsidP="00271656">
      <w:pPr>
        <w:spacing w:line="360" w:lineRule="auto"/>
        <w:rPr>
          <w:rFonts w:ascii="Arial" w:hAnsi="Arial" w:cs="Arial"/>
        </w:rPr>
      </w:pPr>
    </w:p>
    <w:p w14:paraId="02CD6789" w14:textId="77777777" w:rsidR="00634F59" w:rsidRPr="007E159B" w:rsidRDefault="00634F59" w:rsidP="00271656">
      <w:pPr>
        <w:spacing w:line="360" w:lineRule="auto"/>
        <w:rPr>
          <w:rFonts w:ascii="Arial" w:hAnsi="Arial" w:cs="Arial"/>
        </w:rPr>
      </w:pPr>
    </w:p>
    <w:p w14:paraId="6D0FDB41" w14:textId="5156EB90" w:rsidR="006355A1" w:rsidRPr="007E159B" w:rsidRDefault="00C6210A" w:rsidP="006355A1">
      <w:pPr>
        <w:rPr>
          <w:rFonts w:ascii="Arial" w:hAnsi="Arial" w:cs="Arial"/>
        </w:rPr>
      </w:pPr>
      <w:r w:rsidRPr="007E159B">
        <w:rPr>
          <w:rFonts w:ascii="Arial" w:hAnsi="Arial" w:cs="Arial"/>
        </w:rPr>
        <w:br w:type="page"/>
      </w:r>
      <w:bookmarkStart w:id="27" w:name="_Toc223977191"/>
    </w:p>
    <w:p w14:paraId="397EBA52" w14:textId="139500F8" w:rsidR="00634F59" w:rsidRPr="005B73CD" w:rsidRDefault="00634F59" w:rsidP="00271656">
      <w:pPr>
        <w:pStyle w:val="Heading1"/>
        <w:spacing w:line="360" w:lineRule="auto"/>
        <w:rPr>
          <w:rFonts w:ascii="Arial" w:hAnsi="Arial" w:cs="Arial"/>
          <w:color w:val="auto"/>
          <w:sz w:val="32"/>
          <w:szCs w:val="32"/>
          <w:u w:val="single"/>
        </w:rPr>
      </w:pPr>
      <w:bookmarkStart w:id="28" w:name="_Toc225190915"/>
      <w:r w:rsidRPr="005B73CD">
        <w:rPr>
          <w:rFonts w:ascii="Arial" w:hAnsi="Arial" w:cs="Arial"/>
          <w:color w:val="auto"/>
          <w:sz w:val="32"/>
          <w:szCs w:val="32"/>
          <w:u w:val="single"/>
        </w:rPr>
        <w:lastRenderedPageBreak/>
        <w:t>Reference list</w:t>
      </w:r>
      <w:r w:rsidR="00A42A48" w:rsidRPr="005B73CD">
        <w:rPr>
          <w:rFonts w:ascii="Arial" w:hAnsi="Arial" w:cs="Arial"/>
          <w:color w:val="auto"/>
          <w:sz w:val="32"/>
          <w:szCs w:val="32"/>
          <w:u w:val="single"/>
        </w:rPr>
        <w:t>:</w:t>
      </w:r>
      <w:bookmarkEnd w:id="27"/>
      <w:bookmarkEnd w:id="28"/>
    </w:p>
    <w:p w14:paraId="34DE1D0B" w14:textId="0A1BA312" w:rsidR="6FFAAECD" w:rsidRDefault="6FFAAECD" w:rsidP="532A54D2">
      <w:pPr>
        <w:rPr>
          <w:rFonts w:ascii="Arial" w:eastAsia="Arial" w:hAnsi="Arial" w:cs="Arial"/>
        </w:rPr>
      </w:pPr>
      <w:r w:rsidRPr="532A54D2">
        <w:rPr>
          <w:rFonts w:ascii="Arial" w:eastAsia="Arial" w:hAnsi="Arial" w:cs="Arial"/>
          <w:color w:val="2A2A2A"/>
        </w:rPr>
        <w:t xml:space="preserve">Ellwardt, L. Tilburg, T. G </w:t>
      </w:r>
      <w:r w:rsidR="1DE0335C" w:rsidRPr="532A54D2">
        <w:rPr>
          <w:rFonts w:ascii="Arial" w:eastAsia="Arial" w:hAnsi="Arial" w:cs="Arial"/>
          <w:color w:val="2A2A2A"/>
        </w:rPr>
        <w:t>V</w:t>
      </w:r>
      <w:r w:rsidRPr="532A54D2">
        <w:rPr>
          <w:rFonts w:ascii="Arial" w:eastAsia="Arial" w:hAnsi="Arial" w:cs="Arial"/>
          <w:color w:val="2A2A2A"/>
        </w:rPr>
        <w:t xml:space="preserve"> Relationship Difficulty Is Associated With Poorer Mental Health in Later Life, </w:t>
      </w:r>
      <w:r w:rsidRPr="532A54D2">
        <w:rPr>
          <w:rFonts w:ascii="Arial" w:eastAsia="Arial" w:hAnsi="Arial" w:cs="Arial"/>
          <w:i/>
          <w:iCs/>
          <w:color w:val="2A2A2A"/>
        </w:rPr>
        <w:t>The Journals of Gerontology: Series B</w:t>
      </w:r>
      <w:r w:rsidRPr="532A54D2">
        <w:rPr>
          <w:rFonts w:ascii="Arial" w:eastAsia="Arial" w:hAnsi="Arial" w:cs="Arial"/>
          <w:color w:val="2A2A2A"/>
        </w:rPr>
        <w:t xml:space="preserve">, Volume 80, Issue 7, July 2025, gbaf094, </w:t>
      </w:r>
      <w:hyperlink r:id="rId12">
        <w:r w:rsidRPr="532A54D2">
          <w:rPr>
            <w:rStyle w:val="Hyperlink"/>
            <w:rFonts w:ascii="Arial" w:eastAsia="Arial" w:hAnsi="Arial" w:cs="Arial"/>
            <w:color w:val="006FB7"/>
            <w:u w:val="none"/>
          </w:rPr>
          <w:t>https://doi.org/10.1093/geronb/gbaf094</w:t>
        </w:r>
      </w:hyperlink>
    </w:p>
    <w:p w14:paraId="7040D0BD" w14:textId="77777777" w:rsidR="00A42A48" w:rsidRPr="00271656" w:rsidRDefault="00A42A48" w:rsidP="00271656">
      <w:pPr>
        <w:spacing w:line="360" w:lineRule="auto"/>
        <w:rPr>
          <w:rFonts w:ascii="Arial" w:hAnsi="Arial" w:cs="Arial"/>
        </w:rPr>
      </w:pPr>
      <w:r w:rsidRPr="00271656">
        <w:rPr>
          <w:rFonts w:ascii="Arial" w:hAnsi="Arial" w:cs="Arial"/>
        </w:rPr>
        <w:t xml:space="preserve">Erber, J. T. (2012) ‘Social interaction and social ties’, in </w:t>
      </w:r>
      <w:r w:rsidRPr="00194D56">
        <w:rPr>
          <w:rFonts w:ascii="Arial" w:hAnsi="Arial" w:cs="Arial"/>
          <w:i/>
          <w:iCs/>
        </w:rPr>
        <w:t>Aging &amp; Older Adulthood</w:t>
      </w:r>
      <w:r w:rsidRPr="00271656">
        <w:rPr>
          <w:rFonts w:ascii="Arial" w:hAnsi="Arial" w:cs="Arial"/>
        </w:rPr>
        <w:t xml:space="preserve">. 3rd </w:t>
      </w:r>
      <w:proofErr w:type="spellStart"/>
      <w:r w:rsidRPr="00271656">
        <w:rPr>
          <w:rFonts w:ascii="Arial" w:hAnsi="Arial" w:cs="Arial"/>
        </w:rPr>
        <w:t>edn</w:t>
      </w:r>
      <w:proofErr w:type="spellEnd"/>
      <w:r w:rsidRPr="00271656">
        <w:rPr>
          <w:rFonts w:ascii="Arial" w:hAnsi="Arial" w:cs="Arial"/>
        </w:rPr>
        <w:t>. Hoboken: Wiley</w:t>
      </w:r>
      <w:r w:rsidRPr="00271656">
        <w:rPr>
          <w:rFonts w:ascii="Cambria Math" w:hAnsi="Cambria Math" w:cs="Cambria Math"/>
        </w:rPr>
        <w:t>‑</w:t>
      </w:r>
      <w:r w:rsidRPr="00271656">
        <w:rPr>
          <w:rFonts w:ascii="Arial" w:hAnsi="Arial" w:cs="Arial"/>
        </w:rPr>
        <w:t>Blackwell, pp. 265–297.</w:t>
      </w:r>
    </w:p>
    <w:p w14:paraId="455D663A" w14:textId="77777777" w:rsidR="00A42A48" w:rsidRPr="00271656" w:rsidRDefault="00A42A48" w:rsidP="00271656">
      <w:pPr>
        <w:spacing w:line="360" w:lineRule="auto"/>
        <w:rPr>
          <w:rFonts w:ascii="Arial" w:hAnsi="Arial" w:cs="Arial"/>
        </w:rPr>
      </w:pPr>
      <w:r w:rsidRPr="532A54D2">
        <w:rPr>
          <w:rFonts w:ascii="Arial" w:hAnsi="Arial" w:cs="Arial"/>
        </w:rPr>
        <w:t xml:space="preserve">Gardiner, C., Geldenhuys, G. and Gott, M. (2018) ‘Interventions to reduce social isolation and loneliness among older people: An integrative review’, </w:t>
      </w:r>
      <w:r w:rsidRPr="00727501">
        <w:rPr>
          <w:rFonts w:ascii="Arial" w:hAnsi="Arial" w:cs="Arial"/>
          <w:i/>
          <w:iCs/>
        </w:rPr>
        <w:t>Health &amp; Social Care in the Community,</w:t>
      </w:r>
      <w:r w:rsidRPr="532A54D2">
        <w:rPr>
          <w:rFonts w:ascii="Arial" w:hAnsi="Arial" w:cs="Arial"/>
        </w:rPr>
        <w:t xml:space="preserve"> 26(2), pp. 147–157. </w:t>
      </w:r>
      <w:hyperlink r:id="rId13">
        <w:r w:rsidRPr="532A54D2">
          <w:rPr>
            <w:rStyle w:val="Hyperlink"/>
            <w:rFonts w:ascii="Arial" w:hAnsi="Arial" w:cs="Arial"/>
          </w:rPr>
          <w:t>https://doi.org/10.1111/hsc.12367</w:t>
        </w:r>
      </w:hyperlink>
    </w:p>
    <w:p w14:paraId="4F15E56C" w14:textId="0935DE9D" w:rsidR="3DB4DC7D" w:rsidRDefault="3DB4DC7D" w:rsidP="532A54D2">
      <w:pPr>
        <w:spacing w:line="360" w:lineRule="auto"/>
        <w:rPr>
          <w:rFonts w:ascii="Arial" w:eastAsia="Arial" w:hAnsi="Arial" w:cs="Arial"/>
        </w:rPr>
      </w:pPr>
      <w:r w:rsidRPr="532A54D2">
        <w:rPr>
          <w:rFonts w:ascii="Arial" w:eastAsia="Arial" w:hAnsi="Arial" w:cs="Arial"/>
        </w:rPr>
        <w:t xml:space="preserve">Goll, J.C., Charlesworth, G., Scior, K. and Stott, J. (2015) ‘Barriers to social participation among lonely older adults: The influence of social fears and identity’, </w:t>
      </w:r>
      <w:r w:rsidRPr="532A54D2">
        <w:rPr>
          <w:rFonts w:ascii="Arial" w:eastAsia="Arial" w:hAnsi="Arial" w:cs="Arial"/>
          <w:i/>
          <w:iCs/>
        </w:rPr>
        <w:t>PLOS ONE</w:t>
      </w:r>
      <w:r w:rsidRPr="532A54D2">
        <w:rPr>
          <w:rFonts w:ascii="Arial" w:eastAsia="Arial" w:hAnsi="Arial" w:cs="Arial"/>
        </w:rPr>
        <w:t>, 10(2).</w:t>
      </w:r>
      <w:r w:rsidR="741DC9DD" w:rsidRPr="532A54D2">
        <w:rPr>
          <w:rFonts w:ascii="Arial" w:eastAsia="Arial" w:hAnsi="Arial" w:cs="Arial"/>
        </w:rPr>
        <w:t xml:space="preserve"> </w:t>
      </w:r>
      <w:r w:rsidR="741DC9DD" w:rsidRPr="532A54D2">
        <w:rPr>
          <w:rFonts w:ascii="Arial" w:eastAsia="Arial" w:hAnsi="Arial" w:cs="Arial"/>
          <w:color w:val="1B1B1B"/>
          <w:sz w:val="24"/>
          <w:szCs w:val="24"/>
        </w:rPr>
        <w:t xml:space="preserve">doi: </w:t>
      </w:r>
      <w:hyperlink r:id="rId14">
        <w:r w:rsidR="741DC9DD" w:rsidRPr="532A54D2">
          <w:rPr>
            <w:rStyle w:val="Hyperlink"/>
            <w:rFonts w:ascii="Arial" w:eastAsia="Arial" w:hAnsi="Arial" w:cs="Arial"/>
            <w:color w:val="1A4480"/>
            <w:sz w:val="24"/>
            <w:szCs w:val="24"/>
          </w:rPr>
          <w:t>10.1371/journal.pone.0116664</w:t>
        </w:r>
      </w:hyperlink>
    </w:p>
    <w:p w14:paraId="7CFB8143" w14:textId="1D68EBB6" w:rsidR="006B02EB" w:rsidRDefault="006B02EB" w:rsidP="006B02EB">
      <w:pPr>
        <w:spacing w:line="360" w:lineRule="auto"/>
        <w:rPr>
          <w:rFonts w:ascii="Arial" w:hAnsi="Arial" w:cs="Arial"/>
        </w:rPr>
      </w:pPr>
      <w:r w:rsidRPr="532A54D2">
        <w:rPr>
          <w:rFonts w:ascii="Arial" w:hAnsi="Arial" w:cs="Arial"/>
        </w:rPr>
        <w:t>Holder, J.M. and Jolley, D. (2012) Forced relocation between nursing homes: residents’ health outcomes and potential moderators</w:t>
      </w:r>
      <w:r w:rsidR="007A16E2" w:rsidRPr="532A54D2">
        <w:rPr>
          <w:rFonts w:ascii="Arial" w:hAnsi="Arial" w:cs="Arial"/>
        </w:rPr>
        <w:t xml:space="preserve"> Available at:</w:t>
      </w:r>
      <w:r w:rsidR="007A16E2">
        <w:t xml:space="preserve"> </w:t>
      </w:r>
      <w:hyperlink r:id="rId15">
        <w:r w:rsidR="007A16E2" w:rsidRPr="532A54D2">
          <w:rPr>
            <w:rStyle w:val="Hyperlink"/>
            <w:rFonts w:ascii="Arial" w:hAnsi="Arial" w:cs="Arial"/>
          </w:rPr>
          <w:t>https://www.cambridge.org/core/journals/reviews-in-clinical-gerontology/article/abs/forced-relocation-between-nursing-homes-residents-health-outcomes-and-potential-moderators/73910BA6C66A592C19B85343400B38D8</w:t>
        </w:r>
      </w:hyperlink>
      <w:r w:rsidR="5DA26B51" w:rsidRPr="532A54D2">
        <w:rPr>
          <w:rFonts w:ascii="Arial" w:hAnsi="Arial" w:cs="Arial"/>
        </w:rPr>
        <w:t xml:space="preserve"> (Accessed on: 16</w:t>
      </w:r>
      <w:r w:rsidR="5DA26B51" w:rsidRPr="532A54D2">
        <w:rPr>
          <w:rFonts w:ascii="Arial" w:hAnsi="Arial" w:cs="Arial"/>
          <w:vertAlign w:val="superscript"/>
        </w:rPr>
        <w:t>th</w:t>
      </w:r>
      <w:r w:rsidR="5DA26B51" w:rsidRPr="532A54D2">
        <w:rPr>
          <w:rFonts w:ascii="Arial" w:hAnsi="Arial" w:cs="Arial"/>
        </w:rPr>
        <w:t xml:space="preserve"> March 2026).</w:t>
      </w:r>
    </w:p>
    <w:p w14:paraId="55AA7CEC" w14:textId="1EA43DD2" w:rsidR="5870D4FB" w:rsidRDefault="5870D4FB" w:rsidP="532A54D2">
      <w:pPr>
        <w:spacing w:line="360" w:lineRule="auto"/>
        <w:rPr>
          <w:rFonts w:ascii="Segoe UI" w:eastAsia="Segoe UI" w:hAnsi="Segoe UI" w:cs="Segoe UI"/>
          <w:color w:val="212121"/>
          <w:sz w:val="24"/>
          <w:szCs w:val="24"/>
        </w:rPr>
      </w:pPr>
      <w:r w:rsidRPr="532A54D2">
        <w:rPr>
          <w:rFonts w:ascii="Arial" w:eastAsia="Arial" w:hAnsi="Arial" w:cs="Arial"/>
        </w:rPr>
        <w:t xml:space="preserve">Holt‑Lunstad, J., Smith, T.B. &amp; Layton, J.B. (2010) ‘Social relationships and mortality risk: A meta‑analytic review’, </w:t>
      </w:r>
      <w:r w:rsidRPr="532A54D2">
        <w:rPr>
          <w:rFonts w:ascii="Arial" w:eastAsia="Arial" w:hAnsi="Arial" w:cs="Arial"/>
          <w:i/>
          <w:iCs/>
        </w:rPr>
        <w:t>PLoS Medicine</w:t>
      </w:r>
      <w:r w:rsidRPr="532A54D2">
        <w:rPr>
          <w:rFonts w:ascii="Arial" w:eastAsia="Arial" w:hAnsi="Arial" w:cs="Arial"/>
        </w:rPr>
        <w:t>, 7(7), e1000316.</w:t>
      </w:r>
    </w:p>
    <w:p w14:paraId="76659847" w14:textId="1DF666F2" w:rsidR="3B5F79EA" w:rsidRDefault="3B5F79EA" w:rsidP="532A54D2">
      <w:pPr>
        <w:spacing w:line="360" w:lineRule="auto"/>
        <w:rPr>
          <w:rFonts w:ascii="Arial" w:eastAsia="Arial" w:hAnsi="Arial" w:cs="Arial"/>
          <w:color w:val="212121"/>
        </w:rPr>
      </w:pPr>
      <w:hyperlink r:id="rId16">
        <w:r w:rsidRPr="532A54D2">
          <w:rPr>
            <w:rStyle w:val="Hyperlink"/>
            <w:rFonts w:ascii="Arial" w:eastAsia="Arial" w:hAnsi="Arial" w:cs="Arial"/>
          </w:rPr>
          <w:t>https://doi.org/10.1371/journal.pmed.1000316</w:t>
        </w:r>
      </w:hyperlink>
      <w:r w:rsidR="634BD783" w:rsidRPr="532A54D2">
        <w:rPr>
          <w:rFonts w:ascii="Arial" w:eastAsia="Arial" w:hAnsi="Arial" w:cs="Arial"/>
        </w:rPr>
        <w:t xml:space="preserve"> </w:t>
      </w:r>
    </w:p>
    <w:sectPr w:rsidR="3B5F79EA" w:rsidSect="00BA160F">
      <w:footerReference w:type="defaul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2ABE3" w14:textId="77777777" w:rsidR="00B02411" w:rsidRDefault="00B02411" w:rsidP="00BA160F">
      <w:pPr>
        <w:spacing w:after="0" w:line="240" w:lineRule="auto"/>
      </w:pPr>
      <w:r>
        <w:separator/>
      </w:r>
    </w:p>
  </w:endnote>
  <w:endnote w:type="continuationSeparator" w:id="0">
    <w:p w14:paraId="3D81596C" w14:textId="77777777" w:rsidR="00B02411" w:rsidRDefault="00B02411" w:rsidP="00BA16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2981652"/>
      <w:docPartObj>
        <w:docPartGallery w:val="Page Numbers (Bottom of Page)"/>
        <w:docPartUnique/>
      </w:docPartObj>
    </w:sdtPr>
    <w:sdtEndPr>
      <w:rPr>
        <w:noProof/>
      </w:rPr>
    </w:sdtEndPr>
    <w:sdtContent>
      <w:p w14:paraId="3428273D" w14:textId="5D485804" w:rsidR="007B702F" w:rsidRDefault="007B70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E98D2E" w14:textId="77777777" w:rsidR="007B702F" w:rsidRDefault="007B70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8853568"/>
      <w:docPartObj>
        <w:docPartGallery w:val="Page Numbers (Bottom of Page)"/>
        <w:docPartUnique/>
      </w:docPartObj>
    </w:sdtPr>
    <w:sdtEndPr>
      <w:rPr>
        <w:noProof/>
      </w:rPr>
    </w:sdtEndPr>
    <w:sdtContent>
      <w:p w14:paraId="2EDABACD" w14:textId="7B79104F" w:rsidR="00BA160F" w:rsidRDefault="00BA16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1A6D2A" w14:textId="77777777" w:rsidR="00BA160F" w:rsidRDefault="00BA16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D9745" w14:textId="77777777" w:rsidR="00B02411" w:rsidRDefault="00B02411" w:rsidP="00BA160F">
      <w:pPr>
        <w:spacing w:after="0" w:line="240" w:lineRule="auto"/>
      </w:pPr>
      <w:r>
        <w:separator/>
      </w:r>
    </w:p>
  </w:footnote>
  <w:footnote w:type="continuationSeparator" w:id="0">
    <w:p w14:paraId="1FA41EE6" w14:textId="77777777" w:rsidR="00B02411" w:rsidRDefault="00B02411" w:rsidP="00BA160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jmrkEaaEENe7" int2:id="Ub2U69s5">
      <int2:state int2:value="Rejected" int2:type="spell"/>
    </int2:textHash>
    <int2:textHash int2:hashCode="TaUNCpEh0sOBot" int2:id="a0dxeU6l">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21AAC"/>
    <w:multiLevelType w:val="hybridMultilevel"/>
    <w:tmpl w:val="BD226468"/>
    <w:lvl w:ilvl="0" w:tplc="0809000F">
      <w:start w:val="1"/>
      <w:numFmt w:val="decimal"/>
      <w:lvlText w:val="%1."/>
      <w:lvlJc w:val="left"/>
      <w:pPr>
        <w:ind w:left="5038" w:hanging="360"/>
      </w:pPr>
    </w:lvl>
    <w:lvl w:ilvl="1" w:tplc="08090019" w:tentative="1">
      <w:start w:val="1"/>
      <w:numFmt w:val="lowerLetter"/>
      <w:lvlText w:val="%2."/>
      <w:lvlJc w:val="left"/>
      <w:pPr>
        <w:ind w:left="5758" w:hanging="360"/>
      </w:pPr>
    </w:lvl>
    <w:lvl w:ilvl="2" w:tplc="0809001B" w:tentative="1">
      <w:start w:val="1"/>
      <w:numFmt w:val="lowerRoman"/>
      <w:lvlText w:val="%3."/>
      <w:lvlJc w:val="right"/>
      <w:pPr>
        <w:ind w:left="6478" w:hanging="180"/>
      </w:pPr>
    </w:lvl>
    <w:lvl w:ilvl="3" w:tplc="0809000F" w:tentative="1">
      <w:start w:val="1"/>
      <w:numFmt w:val="decimal"/>
      <w:lvlText w:val="%4."/>
      <w:lvlJc w:val="left"/>
      <w:pPr>
        <w:ind w:left="7198" w:hanging="360"/>
      </w:pPr>
    </w:lvl>
    <w:lvl w:ilvl="4" w:tplc="08090019" w:tentative="1">
      <w:start w:val="1"/>
      <w:numFmt w:val="lowerLetter"/>
      <w:lvlText w:val="%5."/>
      <w:lvlJc w:val="left"/>
      <w:pPr>
        <w:ind w:left="7918" w:hanging="360"/>
      </w:pPr>
    </w:lvl>
    <w:lvl w:ilvl="5" w:tplc="0809001B" w:tentative="1">
      <w:start w:val="1"/>
      <w:numFmt w:val="lowerRoman"/>
      <w:lvlText w:val="%6."/>
      <w:lvlJc w:val="right"/>
      <w:pPr>
        <w:ind w:left="8638" w:hanging="180"/>
      </w:pPr>
    </w:lvl>
    <w:lvl w:ilvl="6" w:tplc="0809000F" w:tentative="1">
      <w:start w:val="1"/>
      <w:numFmt w:val="decimal"/>
      <w:lvlText w:val="%7."/>
      <w:lvlJc w:val="left"/>
      <w:pPr>
        <w:ind w:left="9358" w:hanging="360"/>
      </w:pPr>
    </w:lvl>
    <w:lvl w:ilvl="7" w:tplc="08090019" w:tentative="1">
      <w:start w:val="1"/>
      <w:numFmt w:val="lowerLetter"/>
      <w:lvlText w:val="%8."/>
      <w:lvlJc w:val="left"/>
      <w:pPr>
        <w:ind w:left="10078" w:hanging="360"/>
      </w:pPr>
    </w:lvl>
    <w:lvl w:ilvl="8" w:tplc="0809001B" w:tentative="1">
      <w:start w:val="1"/>
      <w:numFmt w:val="lowerRoman"/>
      <w:lvlText w:val="%9."/>
      <w:lvlJc w:val="right"/>
      <w:pPr>
        <w:ind w:left="10798" w:hanging="180"/>
      </w:pPr>
    </w:lvl>
  </w:abstractNum>
  <w:abstractNum w:abstractNumId="1" w15:restartNumberingAfterBreak="0">
    <w:nsid w:val="2DB7009A"/>
    <w:multiLevelType w:val="hybridMultilevel"/>
    <w:tmpl w:val="59EAE2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B1545C"/>
    <w:multiLevelType w:val="hybridMultilevel"/>
    <w:tmpl w:val="158262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4335417">
    <w:abstractNumId w:val="2"/>
  </w:num>
  <w:num w:numId="2" w16cid:durableId="1722171523">
    <w:abstractNumId w:val="0"/>
  </w:num>
  <w:num w:numId="3" w16cid:durableId="301499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60F"/>
    <w:rsid w:val="000043AC"/>
    <w:rsid w:val="0003268A"/>
    <w:rsid w:val="00066743"/>
    <w:rsid w:val="000851F6"/>
    <w:rsid w:val="000B68B3"/>
    <w:rsid w:val="000B73F9"/>
    <w:rsid w:val="000C0230"/>
    <w:rsid w:val="000C5C1D"/>
    <w:rsid w:val="000D2B48"/>
    <w:rsid w:val="000D6E22"/>
    <w:rsid w:val="00106BEB"/>
    <w:rsid w:val="0011058F"/>
    <w:rsid w:val="00115720"/>
    <w:rsid w:val="001209E1"/>
    <w:rsid w:val="0012103D"/>
    <w:rsid w:val="001318C5"/>
    <w:rsid w:val="00141257"/>
    <w:rsid w:val="00150C95"/>
    <w:rsid w:val="00151222"/>
    <w:rsid w:val="00181222"/>
    <w:rsid w:val="00183AFF"/>
    <w:rsid w:val="00194D56"/>
    <w:rsid w:val="0019F3B5"/>
    <w:rsid w:val="001E44E0"/>
    <w:rsid w:val="001F4E68"/>
    <w:rsid w:val="001F6802"/>
    <w:rsid w:val="002108A4"/>
    <w:rsid w:val="00221625"/>
    <w:rsid w:val="002241FE"/>
    <w:rsid w:val="002644E0"/>
    <w:rsid w:val="00271656"/>
    <w:rsid w:val="0027719F"/>
    <w:rsid w:val="00285CE0"/>
    <w:rsid w:val="002A7BC0"/>
    <w:rsid w:val="002C5C02"/>
    <w:rsid w:val="002D61E0"/>
    <w:rsid w:val="002F3018"/>
    <w:rsid w:val="00302FFE"/>
    <w:rsid w:val="00311319"/>
    <w:rsid w:val="003167B6"/>
    <w:rsid w:val="00323B9D"/>
    <w:rsid w:val="0032617A"/>
    <w:rsid w:val="0032661A"/>
    <w:rsid w:val="00327817"/>
    <w:rsid w:val="003323BF"/>
    <w:rsid w:val="00346810"/>
    <w:rsid w:val="003629AA"/>
    <w:rsid w:val="00391F67"/>
    <w:rsid w:val="003942F4"/>
    <w:rsid w:val="003A3491"/>
    <w:rsid w:val="003A3E6E"/>
    <w:rsid w:val="003D20CE"/>
    <w:rsid w:val="003F4AA4"/>
    <w:rsid w:val="00407154"/>
    <w:rsid w:val="00421232"/>
    <w:rsid w:val="004575D4"/>
    <w:rsid w:val="004730E5"/>
    <w:rsid w:val="004738B6"/>
    <w:rsid w:val="00474A8E"/>
    <w:rsid w:val="00491AFF"/>
    <w:rsid w:val="004A2E9C"/>
    <w:rsid w:val="004B0B55"/>
    <w:rsid w:val="004B0E27"/>
    <w:rsid w:val="004B5AF2"/>
    <w:rsid w:val="004C301F"/>
    <w:rsid w:val="004E01FF"/>
    <w:rsid w:val="004F409D"/>
    <w:rsid w:val="00510F24"/>
    <w:rsid w:val="00532BE8"/>
    <w:rsid w:val="0056062F"/>
    <w:rsid w:val="00562E08"/>
    <w:rsid w:val="005834E7"/>
    <w:rsid w:val="005A01B0"/>
    <w:rsid w:val="005B3B03"/>
    <w:rsid w:val="005B73CD"/>
    <w:rsid w:val="005C302D"/>
    <w:rsid w:val="005C6ABC"/>
    <w:rsid w:val="005D7E70"/>
    <w:rsid w:val="005D7F12"/>
    <w:rsid w:val="005E0A66"/>
    <w:rsid w:val="005F6F3F"/>
    <w:rsid w:val="00612D2B"/>
    <w:rsid w:val="00631F02"/>
    <w:rsid w:val="00634F59"/>
    <w:rsid w:val="006355A1"/>
    <w:rsid w:val="00643A84"/>
    <w:rsid w:val="006543BB"/>
    <w:rsid w:val="00664D7E"/>
    <w:rsid w:val="00665F91"/>
    <w:rsid w:val="00673BD5"/>
    <w:rsid w:val="0068113B"/>
    <w:rsid w:val="006A4D40"/>
    <w:rsid w:val="006B02EB"/>
    <w:rsid w:val="006E19B2"/>
    <w:rsid w:val="006F037F"/>
    <w:rsid w:val="006F1887"/>
    <w:rsid w:val="006F6F20"/>
    <w:rsid w:val="007076C2"/>
    <w:rsid w:val="00712934"/>
    <w:rsid w:val="00727501"/>
    <w:rsid w:val="007367A5"/>
    <w:rsid w:val="00742940"/>
    <w:rsid w:val="0074443A"/>
    <w:rsid w:val="007614BD"/>
    <w:rsid w:val="00761F23"/>
    <w:rsid w:val="00772678"/>
    <w:rsid w:val="007A16E2"/>
    <w:rsid w:val="007A584A"/>
    <w:rsid w:val="007B3F69"/>
    <w:rsid w:val="007B702F"/>
    <w:rsid w:val="007C73C8"/>
    <w:rsid w:val="007D439D"/>
    <w:rsid w:val="007E159B"/>
    <w:rsid w:val="007E7DFB"/>
    <w:rsid w:val="00810E5E"/>
    <w:rsid w:val="00825BC7"/>
    <w:rsid w:val="00826727"/>
    <w:rsid w:val="0083471A"/>
    <w:rsid w:val="00834C08"/>
    <w:rsid w:val="00843E6D"/>
    <w:rsid w:val="008758E6"/>
    <w:rsid w:val="00875F56"/>
    <w:rsid w:val="008877C0"/>
    <w:rsid w:val="00893E71"/>
    <w:rsid w:val="008A6F24"/>
    <w:rsid w:val="008C551C"/>
    <w:rsid w:val="008F115F"/>
    <w:rsid w:val="008F2227"/>
    <w:rsid w:val="009002EB"/>
    <w:rsid w:val="0090223E"/>
    <w:rsid w:val="009069D0"/>
    <w:rsid w:val="0091296D"/>
    <w:rsid w:val="00914D0D"/>
    <w:rsid w:val="0092731F"/>
    <w:rsid w:val="00933778"/>
    <w:rsid w:val="009342C5"/>
    <w:rsid w:val="00936365"/>
    <w:rsid w:val="00936572"/>
    <w:rsid w:val="00937130"/>
    <w:rsid w:val="00941DEF"/>
    <w:rsid w:val="0097249A"/>
    <w:rsid w:val="0097465B"/>
    <w:rsid w:val="00975280"/>
    <w:rsid w:val="00975A02"/>
    <w:rsid w:val="009A0C2F"/>
    <w:rsid w:val="009A106F"/>
    <w:rsid w:val="009B642B"/>
    <w:rsid w:val="009C6B04"/>
    <w:rsid w:val="009D3A7F"/>
    <w:rsid w:val="009E0C5F"/>
    <w:rsid w:val="009E0DD7"/>
    <w:rsid w:val="009F264C"/>
    <w:rsid w:val="00A032F3"/>
    <w:rsid w:val="00A42A48"/>
    <w:rsid w:val="00A47F48"/>
    <w:rsid w:val="00A611D3"/>
    <w:rsid w:val="00A84D78"/>
    <w:rsid w:val="00A915D5"/>
    <w:rsid w:val="00AA3200"/>
    <w:rsid w:val="00AA61F0"/>
    <w:rsid w:val="00AB1896"/>
    <w:rsid w:val="00AD30ED"/>
    <w:rsid w:val="00AD5828"/>
    <w:rsid w:val="00AF17A3"/>
    <w:rsid w:val="00B02411"/>
    <w:rsid w:val="00B22AE0"/>
    <w:rsid w:val="00B24541"/>
    <w:rsid w:val="00B2661C"/>
    <w:rsid w:val="00B372FA"/>
    <w:rsid w:val="00B40EE0"/>
    <w:rsid w:val="00B42085"/>
    <w:rsid w:val="00B52107"/>
    <w:rsid w:val="00B677D4"/>
    <w:rsid w:val="00B70F23"/>
    <w:rsid w:val="00B775C5"/>
    <w:rsid w:val="00B87190"/>
    <w:rsid w:val="00B93FFE"/>
    <w:rsid w:val="00BA160F"/>
    <w:rsid w:val="00BB1E45"/>
    <w:rsid w:val="00BC38EB"/>
    <w:rsid w:val="00BE1E75"/>
    <w:rsid w:val="00BE2AF0"/>
    <w:rsid w:val="00BF32F3"/>
    <w:rsid w:val="00BF435B"/>
    <w:rsid w:val="00BF43EC"/>
    <w:rsid w:val="00BF513A"/>
    <w:rsid w:val="00BF65B3"/>
    <w:rsid w:val="00C06BEF"/>
    <w:rsid w:val="00C31E16"/>
    <w:rsid w:val="00C348E1"/>
    <w:rsid w:val="00C40514"/>
    <w:rsid w:val="00C4453C"/>
    <w:rsid w:val="00C44DF4"/>
    <w:rsid w:val="00C56849"/>
    <w:rsid w:val="00C60D39"/>
    <w:rsid w:val="00C6210A"/>
    <w:rsid w:val="00CD09A7"/>
    <w:rsid w:val="00CD4923"/>
    <w:rsid w:val="00CE2C82"/>
    <w:rsid w:val="00CE4703"/>
    <w:rsid w:val="00CE76A5"/>
    <w:rsid w:val="00D56CA6"/>
    <w:rsid w:val="00D60F16"/>
    <w:rsid w:val="00D647ED"/>
    <w:rsid w:val="00D7057E"/>
    <w:rsid w:val="00D83A2E"/>
    <w:rsid w:val="00D86AF5"/>
    <w:rsid w:val="00DB2E09"/>
    <w:rsid w:val="00DB30A5"/>
    <w:rsid w:val="00DD0FF5"/>
    <w:rsid w:val="00DF3406"/>
    <w:rsid w:val="00DF62C5"/>
    <w:rsid w:val="00E2497C"/>
    <w:rsid w:val="00E33986"/>
    <w:rsid w:val="00E3684F"/>
    <w:rsid w:val="00E613ED"/>
    <w:rsid w:val="00E623E0"/>
    <w:rsid w:val="00E75F8B"/>
    <w:rsid w:val="00EC2066"/>
    <w:rsid w:val="00EC5A85"/>
    <w:rsid w:val="00EE0232"/>
    <w:rsid w:val="00EE3BF4"/>
    <w:rsid w:val="00F16F2D"/>
    <w:rsid w:val="00F73E58"/>
    <w:rsid w:val="00F74C81"/>
    <w:rsid w:val="00F74CFB"/>
    <w:rsid w:val="00F77FAC"/>
    <w:rsid w:val="00FA7FD3"/>
    <w:rsid w:val="00FB6BF2"/>
    <w:rsid w:val="00FC4AE4"/>
    <w:rsid w:val="00FC550E"/>
    <w:rsid w:val="00FC7494"/>
    <w:rsid w:val="00FF3B57"/>
    <w:rsid w:val="0169961C"/>
    <w:rsid w:val="033E0A42"/>
    <w:rsid w:val="0369FBAF"/>
    <w:rsid w:val="0563AF15"/>
    <w:rsid w:val="06822B67"/>
    <w:rsid w:val="07550DC5"/>
    <w:rsid w:val="07D4D068"/>
    <w:rsid w:val="092FA8C2"/>
    <w:rsid w:val="0941F0A4"/>
    <w:rsid w:val="0A38CC9B"/>
    <w:rsid w:val="0A48AA65"/>
    <w:rsid w:val="0A4B81DF"/>
    <w:rsid w:val="0B4225FD"/>
    <w:rsid w:val="0D18694C"/>
    <w:rsid w:val="0DF5C7CD"/>
    <w:rsid w:val="0EB348FE"/>
    <w:rsid w:val="0F243E28"/>
    <w:rsid w:val="1094AB15"/>
    <w:rsid w:val="125CC555"/>
    <w:rsid w:val="12B0B4BD"/>
    <w:rsid w:val="12D468E1"/>
    <w:rsid w:val="12E81C3E"/>
    <w:rsid w:val="14832EF4"/>
    <w:rsid w:val="159B87E0"/>
    <w:rsid w:val="1A1A37CA"/>
    <w:rsid w:val="1AF8CB79"/>
    <w:rsid w:val="1B75B31F"/>
    <w:rsid w:val="1D72C9D8"/>
    <w:rsid w:val="1DE0335C"/>
    <w:rsid w:val="1E1FF978"/>
    <w:rsid w:val="1FB48EFB"/>
    <w:rsid w:val="24660C83"/>
    <w:rsid w:val="25FF3FBE"/>
    <w:rsid w:val="282C88DD"/>
    <w:rsid w:val="284D89CD"/>
    <w:rsid w:val="2AA632DB"/>
    <w:rsid w:val="2B5DAFFE"/>
    <w:rsid w:val="2C2F0FAC"/>
    <w:rsid w:val="2D92A792"/>
    <w:rsid w:val="2FE10A52"/>
    <w:rsid w:val="31535F4E"/>
    <w:rsid w:val="33473835"/>
    <w:rsid w:val="34ACAA5A"/>
    <w:rsid w:val="35C4B64A"/>
    <w:rsid w:val="35E5D31A"/>
    <w:rsid w:val="3854F9D3"/>
    <w:rsid w:val="38A3CF45"/>
    <w:rsid w:val="3A2CB3A2"/>
    <w:rsid w:val="3A46C6C2"/>
    <w:rsid w:val="3AC0E4EE"/>
    <w:rsid w:val="3B5F79EA"/>
    <w:rsid w:val="3B851C87"/>
    <w:rsid w:val="3C67FFD7"/>
    <w:rsid w:val="3D67BDF9"/>
    <w:rsid w:val="3DB4DC7D"/>
    <w:rsid w:val="3FC74351"/>
    <w:rsid w:val="41D0E5E5"/>
    <w:rsid w:val="43BBA8D4"/>
    <w:rsid w:val="46D3038B"/>
    <w:rsid w:val="480D96F9"/>
    <w:rsid w:val="4895BD00"/>
    <w:rsid w:val="49622E42"/>
    <w:rsid w:val="4C887126"/>
    <w:rsid w:val="4D6CB655"/>
    <w:rsid w:val="4DE2032D"/>
    <w:rsid w:val="4FEB6E0C"/>
    <w:rsid w:val="529F0A34"/>
    <w:rsid w:val="52FC576A"/>
    <w:rsid w:val="532A54D2"/>
    <w:rsid w:val="540DD1C1"/>
    <w:rsid w:val="54D80B07"/>
    <w:rsid w:val="5588C593"/>
    <w:rsid w:val="580187D5"/>
    <w:rsid w:val="5811AF7C"/>
    <w:rsid w:val="5870D4FB"/>
    <w:rsid w:val="58C9E593"/>
    <w:rsid w:val="5ACBD130"/>
    <w:rsid w:val="5DA26B51"/>
    <w:rsid w:val="5F9C3AF4"/>
    <w:rsid w:val="634BD783"/>
    <w:rsid w:val="654F416C"/>
    <w:rsid w:val="68340548"/>
    <w:rsid w:val="68B40CD0"/>
    <w:rsid w:val="68F2D027"/>
    <w:rsid w:val="69DEE48E"/>
    <w:rsid w:val="6A7C143B"/>
    <w:rsid w:val="6B9DA95D"/>
    <w:rsid w:val="6BF5F736"/>
    <w:rsid w:val="6DE2B61E"/>
    <w:rsid w:val="6F31182F"/>
    <w:rsid w:val="6FFAAECD"/>
    <w:rsid w:val="70921FA5"/>
    <w:rsid w:val="70A8A9F7"/>
    <w:rsid w:val="7117A929"/>
    <w:rsid w:val="71F0A9BC"/>
    <w:rsid w:val="72364961"/>
    <w:rsid w:val="723E6552"/>
    <w:rsid w:val="739EBC75"/>
    <w:rsid w:val="73A725A4"/>
    <w:rsid w:val="741DC9DD"/>
    <w:rsid w:val="7455ED2C"/>
    <w:rsid w:val="780D55BB"/>
    <w:rsid w:val="7825E71B"/>
    <w:rsid w:val="78CE994C"/>
    <w:rsid w:val="7A57B8D5"/>
    <w:rsid w:val="7BE9CF5C"/>
    <w:rsid w:val="7EC84B75"/>
    <w:rsid w:val="7EE89E88"/>
    <w:rsid w:val="7EEC6AE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C9480"/>
  <w15:chartTrackingRefBased/>
  <w15:docId w15:val="{FB1D3184-FB03-400F-96E3-DD5EC1043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6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16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16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A16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16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16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16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16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16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6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16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16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A16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16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16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16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16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160F"/>
    <w:rPr>
      <w:rFonts w:eastAsiaTheme="majorEastAsia" w:cstheme="majorBidi"/>
      <w:color w:val="272727" w:themeColor="text1" w:themeTint="D8"/>
    </w:rPr>
  </w:style>
  <w:style w:type="paragraph" w:styleId="Title">
    <w:name w:val="Title"/>
    <w:basedOn w:val="Normal"/>
    <w:next w:val="Normal"/>
    <w:link w:val="TitleChar"/>
    <w:uiPriority w:val="10"/>
    <w:qFormat/>
    <w:rsid w:val="00BA16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6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16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16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160F"/>
    <w:pPr>
      <w:spacing w:before="160"/>
      <w:jc w:val="center"/>
    </w:pPr>
    <w:rPr>
      <w:i/>
      <w:iCs/>
      <w:color w:val="404040" w:themeColor="text1" w:themeTint="BF"/>
    </w:rPr>
  </w:style>
  <w:style w:type="character" w:customStyle="1" w:styleId="QuoteChar">
    <w:name w:val="Quote Char"/>
    <w:basedOn w:val="DefaultParagraphFont"/>
    <w:link w:val="Quote"/>
    <w:uiPriority w:val="29"/>
    <w:rsid w:val="00BA160F"/>
    <w:rPr>
      <w:i/>
      <w:iCs/>
      <w:color w:val="404040" w:themeColor="text1" w:themeTint="BF"/>
    </w:rPr>
  </w:style>
  <w:style w:type="paragraph" w:styleId="ListParagraph">
    <w:name w:val="List Paragraph"/>
    <w:basedOn w:val="Normal"/>
    <w:uiPriority w:val="34"/>
    <w:qFormat/>
    <w:rsid w:val="00BA160F"/>
    <w:pPr>
      <w:ind w:left="720"/>
      <w:contextualSpacing/>
    </w:pPr>
  </w:style>
  <w:style w:type="character" w:styleId="IntenseEmphasis">
    <w:name w:val="Intense Emphasis"/>
    <w:basedOn w:val="DefaultParagraphFont"/>
    <w:uiPriority w:val="21"/>
    <w:qFormat/>
    <w:rsid w:val="00BA160F"/>
    <w:rPr>
      <w:i/>
      <w:iCs/>
      <w:color w:val="0F4761" w:themeColor="accent1" w:themeShade="BF"/>
    </w:rPr>
  </w:style>
  <w:style w:type="paragraph" w:styleId="IntenseQuote">
    <w:name w:val="Intense Quote"/>
    <w:basedOn w:val="Normal"/>
    <w:next w:val="Normal"/>
    <w:link w:val="IntenseQuoteChar"/>
    <w:uiPriority w:val="30"/>
    <w:qFormat/>
    <w:rsid w:val="00BA16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160F"/>
    <w:rPr>
      <w:i/>
      <w:iCs/>
      <w:color w:val="0F4761" w:themeColor="accent1" w:themeShade="BF"/>
    </w:rPr>
  </w:style>
  <w:style w:type="character" w:styleId="IntenseReference">
    <w:name w:val="Intense Reference"/>
    <w:basedOn w:val="DefaultParagraphFont"/>
    <w:uiPriority w:val="32"/>
    <w:qFormat/>
    <w:rsid w:val="00BA160F"/>
    <w:rPr>
      <w:b/>
      <w:bCs/>
      <w:smallCaps/>
      <w:color w:val="0F4761" w:themeColor="accent1" w:themeShade="BF"/>
      <w:spacing w:val="5"/>
    </w:rPr>
  </w:style>
  <w:style w:type="paragraph" w:styleId="NoSpacing">
    <w:name w:val="No Spacing"/>
    <w:link w:val="NoSpacingChar"/>
    <w:uiPriority w:val="1"/>
    <w:qFormat/>
    <w:rsid w:val="00BA160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A160F"/>
    <w:rPr>
      <w:rFonts w:eastAsiaTheme="minorEastAsia"/>
      <w:kern w:val="0"/>
      <w:lang w:val="en-US"/>
      <w14:ligatures w14:val="none"/>
    </w:rPr>
  </w:style>
  <w:style w:type="paragraph" w:styleId="Header">
    <w:name w:val="header"/>
    <w:basedOn w:val="Normal"/>
    <w:link w:val="HeaderChar"/>
    <w:uiPriority w:val="99"/>
    <w:unhideWhenUsed/>
    <w:rsid w:val="00BA16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60F"/>
  </w:style>
  <w:style w:type="paragraph" w:styleId="Footer">
    <w:name w:val="footer"/>
    <w:basedOn w:val="Normal"/>
    <w:link w:val="FooterChar"/>
    <w:uiPriority w:val="99"/>
    <w:unhideWhenUsed/>
    <w:rsid w:val="00BA16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60F"/>
  </w:style>
  <w:style w:type="paragraph" w:styleId="TOCHeading">
    <w:name w:val="TOC Heading"/>
    <w:basedOn w:val="Heading1"/>
    <w:next w:val="Normal"/>
    <w:uiPriority w:val="39"/>
    <w:unhideWhenUsed/>
    <w:qFormat/>
    <w:rsid w:val="00FC749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15720"/>
    <w:pPr>
      <w:spacing w:after="100"/>
    </w:pPr>
  </w:style>
  <w:style w:type="paragraph" w:styleId="TOC2">
    <w:name w:val="toc 2"/>
    <w:basedOn w:val="Normal"/>
    <w:next w:val="Normal"/>
    <w:autoRedefine/>
    <w:uiPriority w:val="39"/>
    <w:unhideWhenUsed/>
    <w:rsid w:val="00115720"/>
    <w:pPr>
      <w:spacing w:after="100"/>
      <w:ind w:left="220"/>
    </w:pPr>
  </w:style>
  <w:style w:type="paragraph" w:styleId="TOC3">
    <w:name w:val="toc 3"/>
    <w:basedOn w:val="Normal"/>
    <w:next w:val="Normal"/>
    <w:autoRedefine/>
    <w:uiPriority w:val="39"/>
    <w:unhideWhenUsed/>
    <w:rsid w:val="00115720"/>
    <w:pPr>
      <w:spacing w:after="100"/>
      <w:ind w:left="440"/>
    </w:pPr>
  </w:style>
  <w:style w:type="character" w:styleId="Hyperlink">
    <w:name w:val="Hyperlink"/>
    <w:basedOn w:val="DefaultParagraphFont"/>
    <w:uiPriority w:val="99"/>
    <w:unhideWhenUsed/>
    <w:rsid w:val="00115720"/>
    <w:rPr>
      <w:color w:val="467886" w:themeColor="hyperlink"/>
      <w:u w:val="single"/>
    </w:rPr>
  </w:style>
  <w:style w:type="character" w:styleId="SubtleReference">
    <w:name w:val="Subtle Reference"/>
    <w:basedOn w:val="DefaultParagraphFont"/>
    <w:uiPriority w:val="31"/>
    <w:qFormat/>
    <w:rsid w:val="009D3A7F"/>
    <w:rPr>
      <w:smallCaps/>
      <w:color w:val="5A5A5A" w:themeColor="text1" w:themeTint="A5"/>
    </w:rPr>
  </w:style>
  <w:style w:type="character" w:styleId="UnresolvedMention">
    <w:name w:val="Unresolved Mention"/>
    <w:basedOn w:val="DefaultParagraphFont"/>
    <w:uiPriority w:val="99"/>
    <w:semiHidden/>
    <w:unhideWhenUsed/>
    <w:rsid w:val="00C31E16"/>
    <w:rPr>
      <w:color w:val="605E5C"/>
      <w:shd w:val="clear" w:color="auto" w:fill="E1DFDD"/>
    </w:rPr>
  </w:style>
  <w:style w:type="character" w:styleId="FollowedHyperlink">
    <w:name w:val="FollowedHyperlink"/>
    <w:basedOn w:val="DefaultParagraphFont"/>
    <w:uiPriority w:val="99"/>
    <w:semiHidden/>
    <w:unhideWhenUsed/>
    <w:rsid w:val="003323B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11/hsc.12367" TargetMode="External"/><Relationship Id="rId18" Type="http://schemas.openxmlformats.org/officeDocument/2006/relationships/footer" Target="footer2.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webSettings" Target="webSettings.xml"/><Relationship Id="rId12" Type="http://schemas.openxmlformats.org/officeDocument/2006/relationships/hyperlink" Target="https://doi.org/10.1093/geronb/gbaf094"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371/journal.pmed.100031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11/opn.12267" TargetMode="External"/><Relationship Id="rId5" Type="http://schemas.openxmlformats.org/officeDocument/2006/relationships/styles" Target="styles.xml"/><Relationship Id="rId15" Type="http://schemas.openxmlformats.org/officeDocument/2006/relationships/hyperlink" Target="https://www.cambridge.org/core/journals/reviews-in-clinical-gerontology/article/abs/forced-relocation-between-nursing-homes-residents-health-outcomes-and-potential-moderators/73910BA6C66A592C19B85343400B38D8" TargetMode="External"/><Relationship Id="rId10" Type="http://schemas.openxmlformats.org/officeDocument/2006/relationships/hyperlink" Target="https://doi.org/10.4135/9781506307633.n858"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371/journal.pone.0116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7adcbd794114af3836b251ef08265d10">
  <xsd:schema xmlns:xsd="http://www.w3.org/2001/XMLSchema" xmlns:xs="http://www.w3.org/2001/XMLSchema" xmlns:p="http://schemas.microsoft.com/office/2006/metadata/properties" xmlns:ns3="f799553d-1ac0-48da-9ae3-fe400ced9c3b" targetNamespace="http://schemas.microsoft.com/office/2006/metadata/properties" ma:root="true" ma:fieldsID="275d90cdf51ddda695654db04be2c389"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801F2B-DCF0-4613-B979-3841450DBF3F}">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A9B14452-D33C-4DB3-AE19-C1B972E686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CD5964-24DC-423D-A553-8D9DB9BC7C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8</Pages>
  <Words>1921</Words>
  <Characters>10952</Characters>
  <Application>Microsoft Office Word</Application>
  <DocSecurity>0</DocSecurity>
  <Lines>91</Lines>
  <Paragraphs>25</Paragraphs>
  <ScaleCrop>false</ScaleCrop>
  <Company/>
  <LinksUpToDate>false</LinksUpToDate>
  <CharactersWithSpaces>12848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westwood</dc:creator>
  <cp:keywords/>
  <dc:description/>
  <cp:lastModifiedBy>Samantha Louise Westwood (2436467)</cp:lastModifiedBy>
  <cp:revision>201</cp:revision>
  <dcterms:created xsi:type="dcterms:W3CDTF">2026-03-09T09:17:00Z</dcterms:created>
  <dcterms:modified xsi:type="dcterms:W3CDTF">2026-03-23T20:42:00Z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