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E3C91B" w14:textId="77777777" w:rsidR="00F208A5" w:rsidRPr="00F208A5" w:rsidRDefault="00F208A5" w:rsidP="00F208A5">
      <w:r w:rsidRPr="00F208A5">
        <w:t>5HR03  - Melanie Warne 2419781</w:t>
      </w:r>
      <w:r w:rsidRPr="00F208A5">
        <w:br/>
        <w:t>Reward for performance and contribution</w:t>
      </w:r>
    </w:p>
    <w:p w14:paraId="28A6F2D1" w14:textId="77777777" w:rsidR="00F208A5" w:rsidRPr="00D629B8" w:rsidRDefault="00F208A5" w:rsidP="00F208A5">
      <w:r w:rsidRPr="00D629B8">
        <w:t>AC 1.1</w:t>
      </w:r>
    </w:p>
    <w:p w14:paraId="27BE05E2" w14:textId="77777777" w:rsidR="00F208A5" w:rsidRPr="00D629B8" w:rsidRDefault="00F208A5" w:rsidP="00F208A5">
      <w:pPr>
        <w:rPr>
          <w:strike/>
        </w:rPr>
      </w:pPr>
      <w:r w:rsidRPr="00D629B8">
        <w:rPr>
          <w:strike/>
        </w:rPr>
        <w:t>Reward plays a central role in shaping organisational culture and supporting performance management, particularly in organisations such as ParcelCare that are struggling to attract, recruit and retain staff. The principles of reward provide a framework for ensuring reward practices are fair, motivating and aligned with organisational objectives (Armstrong and Taylor, 2023).</w:t>
      </w:r>
    </w:p>
    <w:p w14:paraId="3FF46D4B" w14:textId="77777777" w:rsidR="00F208A5" w:rsidRPr="00D629B8" w:rsidRDefault="00F208A5" w:rsidP="00F208A5">
      <w:pPr>
        <w:rPr>
          <w:strike/>
        </w:rPr>
      </w:pPr>
      <w:r w:rsidRPr="00D629B8">
        <w:rPr>
          <w:strike/>
        </w:rPr>
        <w:t>A core principle of reward is fairness and equity. Employees are more likely to be engaged and committed when reward outcomes are perceived as fair in relation to role demands, contribution and market value. Armstrong and Taylor (2023) argue that perceived unfairness in pay or benefits can quickly undermine trust and employee relations. For ParcelCare, where operational employees may directly compare pay and conditions with competitors, ensuring both internal and external equity is essential. </w:t>
      </w:r>
      <w:r w:rsidRPr="00D629B8">
        <w:rPr>
          <w:i/>
          <w:iCs/>
          <w:strike/>
        </w:rPr>
        <w:t>HR Magazine</w:t>
      </w:r>
      <w:r w:rsidRPr="00D629B8">
        <w:rPr>
          <w:strike/>
        </w:rPr>
        <w:t> (2022) highlights that fairness in reward is closely linked to organisational culture, with transparent pay practices supporting trust and engagement. This principle underpins performance management by reinforcing consistent standards and expectations.</w:t>
      </w:r>
    </w:p>
    <w:p w14:paraId="1F11A6F2" w14:textId="77777777" w:rsidR="00F208A5" w:rsidRPr="00D629B8" w:rsidRDefault="00F208A5" w:rsidP="00F208A5">
      <w:pPr>
        <w:rPr>
          <w:strike/>
        </w:rPr>
      </w:pPr>
      <w:r w:rsidRPr="00D629B8">
        <w:rPr>
          <w:strike/>
        </w:rPr>
        <w:t>Another key principle is alignment with organisational goals. Reward systems should reinforce behaviours and performance that contribute to business objectives. CIPD (2023) states that reward should encourage the right outcomes rather than simply rewarding activity. At ParcelCare, linking reward to delivery accuracy, customer satisfaction or safety performance can help embed a performance-focused culture. </w:t>
      </w:r>
      <w:r w:rsidRPr="00D629B8">
        <w:rPr>
          <w:i/>
          <w:iCs/>
          <w:strike/>
        </w:rPr>
        <w:t>Harvard Business Review</w:t>
      </w:r>
      <w:r w:rsidRPr="00D629B8">
        <w:rPr>
          <w:strike/>
        </w:rPr>
        <w:t> (HBR, 2019) suggests that reward systems aligned to strategy are more effective in sustaining performance than those focused solely on short-term incentives.</w:t>
      </w:r>
    </w:p>
    <w:p w14:paraId="033E5D72" w14:textId="77777777" w:rsidR="00F208A5" w:rsidRPr="00D629B8" w:rsidRDefault="00F208A5" w:rsidP="00F208A5">
      <w:pPr>
        <w:rPr>
          <w:strike/>
        </w:rPr>
      </w:pPr>
      <w:r w:rsidRPr="00D629B8">
        <w:rPr>
          <w:strike/>
        </w:rPr>
        <w:t>Transparency and consistency are also fundamental principles of reward. Employees need to understand how reward decisions are made and how performance is assessed. Armstrong and Taylor (2023) note that transparent reward structures reduce perceptions of bias and support constructive performance discussions. For ParcelCare, clear communication around pay progression, bonuses and recognition schemes can help managers apply performance management processes consistently across sites.</w:t>
      </w:r>
    </w:p>
    <w:p w14:paraId="0A93957D" w14:textId="77777777" w:rsidR="00F208A5" w:rsidRPr="00D629B8" w:rsidRDefault="00F208A5" w:rsidP="00F208A5">
      <w:pPr>
        <w:rPr>
          <w:strike/>
        </w:rPr>
      </w:pPr>
      <w:r w:rsidRPr="00D629B8">
        <w:rPr>
          <w:strike/>
        </w:rPr>
        <w:t>The principle of total reward recognises that employees value more than pay alone. Total reward includes benefits, development opportunities, recognition and work–life balance (CIPD, 2023). HBR (2018) highlights that non-financial rewards such as development and meaningful work are strongly linked to long-term motivation. For ParcelCare, offering training pathways, recognition and flexible working where possible can strengthen organisational culture and support sustained performance.</w:t>
      </w:r>
    </w:p>
    <w:p w14:paraId="5ADAA34B" w14:textId="77777777" w:rsidR="00F208A5" w:rsidRPr="00D629B8" w:rsidRDefault="00F208A5" w:rsidP="00F208A5">
      <w:pPr>
        <w:rPr>
          <w:strike/>
        </w:rPr>
      </w:pPr>
      <w:r w:rsidRPr="00D629B8">
        <w:rPr>
          <w:strike/>
        </w:rPr>
        <w:lastRenderedPageBreak/>
        <w:t>Overall, applying reward principles effectively helps create a culture where performance is recognised, expectations are clear and employees feel valued. For ParcelCare, a fair, transparent and strategically aligned reward approach is essential to strengthening organisational culture and improving performance management outcomes.</w:t>
      </w:r>
    </w:p>
    <w:p w14:paraId="1CB609AC" w14:textId="77777777" w:rsidR="00D629B8" w:rsidRPr="00D629B8" w:rsidRDefault="00D629B8" w:rsidP="00D629B8">
      <w:pPr>
        <w:rPr>
          <w:color w:val="FF0000"/>
        </w:rPr>
      </w:pPr>
      <w:r w:rsidRPr="00D629B8">
        <w:rPr>
          <w:color w:val="FF0000"/>
        </w:rPr>
        <w:t>Reward plays an important role in shaping organisational culture and influencing how performance is managed. This is particularly relevant for GreenFriendlyEco, where increasing turnover, limited incentive provision and a negative culture suggest that reward practices are not currently reinforcing engagement or sustained performance. Sound reward principles provide a structure to ensure reward decisions are fair, transparent and aligned with organisational priorities (Armstrong and Taylor, 2023).</w:t>
      </w:r>
    </w:p>
    <w:p w14:paraId="0E9DDA9D" w14:textId="51E3D45D" w:rsidR="00D629B8" w:rsidRPr="00D629B8" w:rsidRDefault="00D629B8" w:rsidP="00D629B8">
      <w:pPr>
        <w:rPr>
          <w:color w:val="FF0000"/>
        </w:rPr>
      </w:pPr>
      <w:r w:rsidRPr="00D629B8">
        <w:rPr>
          <w:color w:val="FF0000"/>
        </w:rPr>
        <w:t>A core principle is fairness and equity. Employees are more likely to remain committed when reward outcomes are perceived as fair in relation to their contribution and comparable roles. Armstrong and Taylor (2023)</w:t>
      </w:r>
      <w:r w:rsidRPr="00D629B8">
        <w:rPr>
          <w:strike/>
        </w:rPr>
        <w:t xml:space="preserve"> </w:t>
      </w:r>
      <w:r w:rsidRPr="00D629B8">
        <w:rPr>
          <w:color w:val="FF0000"/>
        </w:rPr>
        <w:t>argue that perceived unfairness in pay or benefits can quickly undermine trust and employee relations. At GreenFriendlyEco, enhanced reward schemes apply only to senior staff, which may reinforce a divide between management and production employees. This imbalance may contribute to dissatisfaction and turnover. Research supports this view, with organisational justice theory demonstrating that perceptions of distributive fairness significantly influence engagement and commitment (Colquitt et al., 2013). Equity theory further suggests that employees compare their effort and rewards with others, and where inequity is perceived, motivation may decline (Adams, 1965). In this context, reviewing reward distribution could play a role in rebuilding trust.</w:t>
      </w:r>
    </w:p>
    <w:p w14:paraId="58D86551" w14:textId="69AF8260" w:rsidR="00D629B8" w:rsidRPr="00D629B8" w:rsidRDefault="00D629B8" w:rsidP="00D629B8">
      <w:pPr>
        <w:rPr>
          <w:color w:val="FF0000"/>
        </w:rPr>
      </w:pPr>
      <w:r w:rsidRPr="00D629B8">
        <w:rPr>
          <w:color w:val="FF0000"/>
        </w:rPr>
        <w:t>Another key principle is alignment with organisational goals and objectives. Reward systems should reinforce behaviours that support business strategy rather than operate independently from it (CIPD, 2023). For GreenFriendlyEco, this could include encouraging productivity, product quality and safe working practices. Evidence suggests that reward systems aligned with strategic priorities are more likely to contribute to sustainable performance than those focused purely on short-term financial gain (HBR, 2019). Incentives linked to quality improvement or team-based production targets may therefore strengthen the link between performance management and reward.</w:t>
      </w:r>
    </w:p>
    <w:p w14:paraId="00B3BBAE" w14:textId="77777777" w:rsidR="00D629B8" w:rsidRPr="00D629B8" w:rsidRDefault="00D629B8" w:rsidP="00D629B8">
      <w:pPr>
        <w:rPr>
          <w:color w:val="FF0000"/>
        </w:rPr>
      </w:pPr>
      <w:r w:rsidRPr="00D629B8">
        <w:rPr>
          <w:color w:val="FF0000"/>
        </w:rPr>
        <w:t xml:space="preserve">Transparency and consistency are equally important. Employees need clarity around how pay decisions are made and how performance is assessed. Clear processes reduce perceptions of bias and support constructive dialogue between managers and employees (Armstrong and Taylor, 2023). At GreenFriendlyEco, where performance is based on measured day work without incentive structures, there may be limited visibility of how individual effort connects to reward. Introducing clearer metrics and </w:t>
      </w:r>
      <w:r w:rsidRPr="00D629B8">
        <w:rPr>
          <w:color w:val="FF0000"/>
        </w:rPr>
        <w:lastRenderedPageBreak/>
        <w:t>openly communicating how reward decisions are reached could support a more credible and structured performance management system.</w:t>
      </w:r>
    </w:p>
    <w:p w14:paraId="6EE7DC6E" w14:textId="0508F206" w:rsidR="00D629B8" w:rsidRPr="00D629B8" w:rsidRDefault="00D629B8" w:rsidP="00F208A5">
      <w:pPr>
        <w:rPr>
          <w:color w:val="FF0000"/>
        </w:rPr>
      </w:pPr>
      <w:r w:rsidRPr="00D629B8">
        <w:rPr>
          <w:color w:val="FF0000"/>
        </w:rPr>
        <w:t>Overall, applying reward principles consistently could help GreenFriendlyEco move towards a more balanced and performance-oriented culture, where employees feel valued and understand how their contribution supports organisational success.</w:t>
      </w:r>
    </w:p>
    <w:p w14:paraId="10B75EA3" w14:textId="77777777" w:rsidR="00F208A5" w:rsidRPr="00D629B8" w:rsidRDefault="00F208A5" w:rsidP="00F208A5">
      <w:r w:rsidRPr="00D629B8">
        <w:t>AC 1.2</w:t>
      </w:r>
    </w:p>
    <w:p w14:paraId="65B65B12" w14:textId="77777777" w:rsidR="00F208A5" w:rsidRPr="00D629B8" w:rsidRDefault="00F208A5" w:rsidP="00F208A5">
      <w:pPr>
        <w:rPr>
          <w:strike/>
        </w:rPr>
      </w:pPr>
      <w:r w:rsidRPr="00D629B8">
        <w:rPr>
          <w:strike/>
        </w:rPr>
        <w:t>Extrinsic and intrinsic rewards both contribute to improving employee contribution and sustaining organisational performance, but they influence motivation in different ways. For ParcelCare, which is experiencing recruitment and retention difficulties, understanding how these reward types operate is essential to developing an effective and balanced reward strategy.</w:t>
      </w:r>
    </w:p>
    <w:p w14:paraId="1FD0A2CC" w14:textId="77777777" w:rsidR="00F208A5" w:rsidRPr="00D629B8" w:rsidRDefault="00F208A5" w:rsidP="00F208A5">
      <w:pPr>
        <w:rPr>
          <w:strike/>
        </w:rPr>
      </w:pPr>
      <w:r w:rsidRPr="00D629B8">
        <w:rPr>
          <w:strike/>
        </w:rPr>
        <w:t>Extrinsic rewards are tangible and typically financial in nature, including pay, bonuses, allowances and benefits. These rewards play a significant role in attracting employees and meeting basic expectations, particularly in competitive labour markets. Armstrong and Taylor (2023) argue that pay remains a critical factor in recruitment and short-term motivation, especially in operational roles with high turnover. For ParcelCare, competitive base pay, overtime premiums and attendance-related incentives may improve employee contribution by encouraging reliability and output. CIPD (2023) similarly notes that extrinsic rewards are effective in reinforcing measurable performance outcomes, although their motivational impact can be limited if used in isolation.</w:t>
      </w:r>
    </w:p>
    <w:p w14:paraId="22023D1C" w14:textId="77777777" w:rsidR="00F208A5" w:rsidRPr="00D629B8" w:rsidRDefault="00F208A5" w:rsidP="00F208A5">
      <w:pPr>
        <w:rPr>
          <w:strike/>
        </w:rPr>
      </w:pPr>
      <w:r w:rsidRPr="00D629B8">
        <w:rPr>
          <w:strike/>
        </w:rPr>
        <w:t>However, research suggests that extrinsic rewards alone rarely sustain long-term performance. </w:t>
      </w:r>
      <w:r w:rsidRPr="00D629B8">
        <w:rPr>
          <w:i/>
          <w:iCs/>
          <w:strike/>
        </w:rPr>
        <w:t>Harvard Business Review</w:t>
      </w:r>
      <w:r w:rsidRPr="00D629B8">
        <w:rPr>
          <w:strike/>
        </w:rPr>
        <w:t> (2017) highlights that financial incentives can lead to compliance rather than commitment, particularly where work is repetitive or target-driven. In the context of ParcelCare, an over-reliance on financial incentives may improve short-term productivity but fail to address underlying engagement or retention issues, limiting their contribution to sustained organisational performance.</w:t>
      </w:r>
    </w:p>
    <w:p w14:paraId="4AEF1C36" w14:textId="77777777" w:rsidR="00F208A5" w:rsidRPr="00D629B8" w:rsidRDefault="00F208A5" w:rsidP="00F208A5">
      <w:pPr>
        <w:rPr>
          <w:strike/>
        </w:rPr>
      </w:pPr>
      <w:r w:rsidRPr="00D629B8">
        <w:rPr>
          <w:strike/>
        </w:rPr>
        <w:t>In contrast, intrinsic rewards relate to the satisfaction gained from the work itself, including recognition, development opportunities, autonomy and a sense of purpose. CIPD (2023) emphasises that intrinsic rewards are strongly linked to engagement, discretionary effort and long-term retention. For ParcelCare, opportunities for training, progression into supervisory roles and meaningful recognition for customer service or safety behaviours may enhance employees’ sense of value and commitment. HBR (2018) argues that intrinsic motivation is closely associated with sustained performance, as employees are motivated by mastery, growth and contribution rather than purely financial gain.</w:t>
      </w:r>
    </w:p>
    <w:p w14:paraId="521A1091" w14:textId="77777777" w:rsidR="00F208A5" w:rsidRPr="00D629B8" w:rsidRDefault="00F208A5" w:rsidP="00F208A5">
      <w:pPr>
        <w:rPr>
          <w:strike/>
        </w:rPr>
      </w:pPr>
      <w:r w:rsidRPr="00D629B8">
        <w:rPr>
          <w:strike/>
        </w:rPr>
        <w:lastRenderedPageBreak/>
        <w:t>From an organisational perspective, intrinsic rewards also support a positive culture and stronger performance management outcomes. </w:t>
      </w:r>
      <w:r w:rsidRPr="00D629B8">
        <w:rPr>
          <w:i/>
          <w:iCs/>
          <w:strike/>
        </w:rPr>
        <w:t>HR Magazine</w:t>
      </w:r>
      <w:r w:rsidRPr="00D629B8">
        <w:rPr>
          <w:strike/>
        </w:rPr>
        <w:t> (2022) notes that organisations investing in development and recognition are more likely to experience lower turnover and higher engagement. However, intrinsic rewards are less effective if extrinsic rewards are perceived as unfair or insufficient, particularly in lower-paid operational roles (Armstrong and Taylor, 2023).</w:t>
      </w:r>
    </w:p>
    <w:p w14:paraId="4CFA796B" w14:textId="77777777" w:rsidR="00F208A5" w:rsidRPr="00D629B8" w:rsidRDefault="00F208A5" w:rsidP="00F208A5">
      <w:pPr>
        <w:rPr>
          <w:strike/>
        </w:rPr>
      </w:pPr>
      <w:r w:rsidRPr="00D629B8">
        <w:rPr>
          <w:strike/>
        </w:rPr>
        <w:t>Overall, extrinsic and intrinsic rewards contribute most effectively to employee contribution and sustained performance when combined within a total reward approach. For ParcelCare, ensuring fair pay while investing in recognition, development and meaningful work can support both immediate performance outcomes and long-term organisational sustainability (CIPD, 2023).</w:t>
      </w:r>
    </w:p>
    <w:p w14:paraId="17C25B51" w14:textId="75C7650D" w:rsidR="00D629B8" w:rsidRPr="00D629B8" w:rsidRDefault="00D629B8" w:rsidP="00D629B8">
      <w:pPr>
        <w:rPr>
          <w:color w:val="FF0000"/>
        </w:rPr>
      </w:pPr>
      <w:r w:rsidRPr="00D629B8">
        <w:rPr>
          <w:color w:val="FF0000"/>
        </w:rPr>
        <w:t>Extrinsic and intrinsic rewards both contribute to employee contribution and sustained organisational performance, but they influence motivation in different ways. For GreenFriendlyEco, where high turnover and a negative culture are ongoing concerns, understanding the balance between these reward types is important when reviewing the current reward strategy.</w:t>
      </w:r>
    </w:p>
    <w:p w14:paraId="1635FF3B" w14:textId="77777777" w:rsidR="00D629B8" w:rsidRPr="00D629B8" w:rsidRDefault="00D629B8" w:rsidP="00D629B8">
      <w:pPr>
        <w:rPr>
          <w:color w:val="FF0000"/>
        </w:rPr>
      </w:pPr>
      <w:r w:rsidRPr="00D629B8">
        <w:rPr>
          <w:color w:val="FF0000"/>
        </w:rPr>
        <w:t>Extrinsic rewards are tangible and typically financial, such as pay, bonuses and benefits. These rewards help meet employees’ basic expectations and are often central to attraction and short-term motivation. Armstrong and Taylor (2023) recognise that base pay remains a primary factor in recruitment decisions, particularly in competitive labour markets. In the case of GreenFriendlyEco, the absence of incentive schemes may weaken the visible connection between performance and reward, potentially limiting motivation. Introducing incentives linked to production targets, quality standards or attendance could therefore improve individual contribution in the short term. Research also suggests that financial incentives can increase performance where outputs are measurable and clearly defined (Gerhart and Fang, 2015). This may be particularly relevant in a manufacturing context.</w:t>
      </w:r>
    </w:p>
    <w:p w14:paraId="308D34E1" w14:textId="77777777" w:rsidR="00D629B8" w:rsidRPr="00D629B8" w:rsidRDefault="00D629B8" w:rsidP="00D629B8">
      <w:pPr>
        <w:rPr>
          <w:color w:val="FF0000"/>
        </w:rPr>
      </w:pPr>
      <w:r w:rsidRPr="00D629B8">
        <w:rPr>
          <w:color w:val="FF0000"/>
        </w:rPr>
        <w:t>However, extrinsic rewards have limitations. While they may improve output, they do not necessarily create long-term engagement. Harvard Business Review (2017) argues that financial incentives can sometimes encourage compliance rather than commitment. From a theoretical perspective, Self-Determination Theory suggests that over-reliance on external rewards can weaken intrinsic motivation if employees feel controlled rather than valued (Deci, Koestner and Ryan, 1999). For GreenFriendlyEco, relying solely on production bonuses may therefore increase productivity temporarily without addressing underlying cultural issues.</w:t>
      </w:r>
    </w:p>
    <w:p w14:paraId="3432694A" w14:textId="77777777" w:rsidR="00D629B8" w:rsidRPr="00D629B8" w:rsidRDefault="00D629B8" w:rsidP="00D629B8">
      <w:pPr>
        <w:rPr>
          <w:color w:val="FF0000"/>
        </w:rPr>
      </w:pPr>
      <w:r w:rsidRPr="00D629B8">
        <w:rPr>
          <w:color w:val="FF0000"/>
        </w:rPr>
        <w:t xml:space="preserve">In contrast, intrinsic rewards relate to the satisfaction employees gain from meaningful work, recognition and personal development. CIPD (2023) emphasises that intrinsic rewards are closely associated with engagement and retention. Providing opportunities </w:t>
      </w:r>
      <w:r w:rsidRPr="00D629B8">
        <w:rPr>
          <w:color w:val="FF0000"/>
        </w:rPr>
        <w:lastRenderedPageBreak/>
        <w:t>for skills development, career progression and recognition could help GreenFriendlyEco build stronger commitment among production employees. Research shows that intrinsic motivation is positively associated with sustained performance and discretionary effort (HBR, 2018). In manufacturing settings, recognising improvements in quality or teamwork can also reinforce positive behaviours without relying exclusively on financial incentives.</w:t>
      </w:r>
    </w:p>
    <w:p w14:paraId="0CFE15A6" w14:textId="77777777" w:rsidR="00D629B8" w:rsidRPr="00D629B8" w:rsidRDefault="00D629B8" w:rsidP="00D629B8">
      <w:pPr>
        <w:rPr>
          <w:color w:val="FF0000"/>
        </w:rPr>
      </w:pPr>
      <w:r w:rsidRPr="00D629B8">
        <w:rPr>
          <w:color w:val="FF0000"/>
        </w:rPr>
        <w:t>Intrinsic rewards may also contribute more strongly to cultural change. HR Magazine (2022) notes that organisations investing in development and recognition tend to see improved morale and lower turnover. For GreenFriendlyEco, embedding recognition and progression opportunities could help address the current negative culture more effectively than financial incentives alone.</w:t>
      </w:r>
    </w:p>
    <w:p w14:paraId="4010E98B" w14:textId="43397DBC" w:rsidR="00F208A5" w:rsidRPr="00D629B8" w:rsidRDefault="00D629B8" w:rsidP="00F208A5">
      <w:pPr>
        <w:rPr>
          <w:color w:val="FF0000"/>
        </w:rPr>
      </w:pPr>
      <w:r w:rsidRPr="00D629B8">
        <w:rPr>
          <w:color w:val="FF0000"/>
        </w:rPr>
        <w:t>Overall, extrinsic rewards can support measurable short-term improvements in performance, whereas intrinsic rewards are more closely linked to sustained engagement and long-term organisational effectiveness. A balanced approach that combines fair financial reward with recognition and development opportunities is therefore likely to be most appropriate for GreenFriendlyEco.</w:t>
      </w:r>
    </w:p>
    <w:p w14:paraId="63DC5402" w14:textId="77777777" w:rsidR="00F208A5" w:rsidRPr="00D629B8" w:rsidRDefault="00F208A5" w:rsidP="00F208A5">
      <w:r w:rsidRPr="00D629B8">
        <w:t>AC 2.1</w:t>
      </w:r>
    </w:p>
    <w:p w14:paraId="168FBAC1" w14:textId="77777777" w:rsidR="00F208A5" w:rsidRPr="00D629B8" w:rsidRDefault="00F208A5" w:rsidP="00F208A5">
      <w:pPr>
        <w:rPr>
          <w:strike/>
        </w:rPr>
      </w:pPr>
      <w:r w:rsidRPr="00D629B8">
        <w:rPr>
          <w:strike/>
        </w:rPr>
        <w:t>Grade and pay structures provide a formal framework for determining how jobs are valued and rewarded within an organisation. They play an important role in supporting fairness, transparency and consistency in reward management. Different types of grade and pay structures vary in complexity and suitability depending on organisational size, strategy and workforce composition.</w:t>
      </w:r>
    </w:p>
    <w:p w14:paraId="22FC326A" w14:textId="77777777" w:rsidR="00F208A5" w:rsidRPr="00D629B8" w:rsidRDefault="00F208A5" w:rsidP="00F208A5">
      <w:pPr>
        <w:rPr>
          <w:strike/>
        </w:rPr>
      </w:pPr>
      <w:r w:rsidRPr="00D629B8">
        <w:rPr>
          <w:strike/>
        </w:rPr>
        <w:t>A graded pay structure is one of the most common approaches and consists of a hierarchy of job grades, each with a corresponding pay range. Jobs are evaluated and allocated to grades based on factors such as responsibility, skills and contribution. Armstrong and Taylor (2023) note that graded structures support internal equity and provide clear progression opportunities. For ParcelCare, a traditional graded structure could help ensure consistency across operational roles such as drivers, warehouse staff and supervisors. However, rigid grading may limit flexibility in responding to labour market pressures, particularly where certain roles are harder to recruit.</w:t>
      </w:r>
    </w:p>
    <w:p w14:paraId="4026DE1B" w14:textId="2BF2A7D5" w:rsidR="00F208A5" w:rsidRPr="00D629B8" w:rsidRDefault="00F208A5" w:rsidP="00F208A5">
      <w:pPr>
        <w:rPr>
          <w:strike/>
        </w:rPr>
      </w:pPr>
      <w:r w:rsidRPr="00D629B8">
        <w:rPr>
          <w:strike/>
        </w:rPr>
        <w:t>A </w:t>
      </w:r>
      <w:r w:rsidR="00D629B8" w:rsidRPr="00D629B8">
        <w:rPr>
          <w:strike/>
        </w:rPr>
        <w:t>broad banded</w:t>
      </w:r>
      <w:r w:rsidRPr="00D629B8">
        <w:rPr>
          <w:strike/>
        </w:rPr>
        <w:t xml:space="preserve"> pay structure reduces the number of grades by combining several into wider pay bands. This allows greater flexibility in pay progression and role development. According to the Chartered Institute of Personnel and Development (CIPD, 2023), </w:t>
      </w:r>
      <w:r w:rsidR="00D629B8" w:rsidRPr="00D629B8">
        <w:rPr>
          <w:strike/>
        </w:rPr>
        <w:t>broad banding</w:t>
      </w:r>
      <w:r w:rsidRPr="00D629B8">
        <w:rPr>
          <w:strike/>
        </w:rPr>
        <w:t xml:space="preserve"> can support more fluid career paths and encourage skill development. For ParcelCare, broadbanding may be beneficial in operational or technical roles where employees take on varied responsibilities. However, wider bands can reduce transparency and increase the risk of perceived unfairness if pay decisions are not clearly explained.</w:t>
      </w:r>
    </w:p>
    <w:p w14:paraId="2E23843B" w14:textId="77777777" w:rsidR="00F208A5" w:rsidRPr="00D629B8" w:rsidRDefault="00F208A5" w:rsidP="00F208A5">
      <w:pPr>
        <w:rPr>
          <w:strike/>
        </w:rPr>
      </w:pPr>
      <w:r w:rsidRPr="00D629B8">
        <w:rPr>
          <w:strike/>
        </w:rPr>
        <w:lastRenderedPageBreak/>
        <w:t>A job family structure groups roles by function or discipline, such as operations, customer service or logistics management, with separate grading and pay ranges for each family. Armstrong and Taylor (2023) suggest that this approach supports market alignment by recognising different external pay rates for different job types. For ParcelCare, job family structures could help address recruitment challenges by allowing higher pay rates for scarce skills, such as HGV drivers, without disrupting the wider pay framework. The main limitation is increased complexity, which may be harder to manage consistently across a large workforce.</w:t>
      </w:r>
    </w:p>
    <w:p w14:paraId="23949DC8" w14:textId="77777777" w:rsidR="00F208A5" w:rsidRPr="00D629B8" w:rsidRDefault="00F208A5" w:rsidP="00F208A5">
      <w:pPr>
        <w:rPr>
          <w:strike/>
        </w:rPr>
      </w:pPr>
      <w:r w:rsidRPr="00D629B8">
        <w:rPr>
          <w:strike/>
        </w:rPr>
        <w:t>A spot rate or market-based structure sets pay based primarily on external market rates rather than internal grading. This approach is often used for roles where skills are scarce or turnover is high. CIPD (2023) notes that spot rates can improve attraction and retention but may undermine internal equity. At ParcelCare, spot rates could be effective for hard-to-fill delivery roles but risk creating pay disparities if not carefully controlled.</w:t>
      </w:r>
    </w:p>
    <w:p w14:paraId="0699F86E" w14:textId="0F997FEC" w:rsidR="00D629B8" w:rsidRPr="00D629B8" w:rsidRDefault="00F208A5" w:rsidP="00D629B8">
      <w:pPr>
        <w:rPr>
          <w:strike/>
        </w:rPr>
      </w:pPr>
      <w:r w:rsidRPr="00D629B8">
        <w:rPr>
          <w:strike/>
        </w:rPr>
        <w:t>Overall, each type of grade and pay structure has advantages and limitations. For ParcelCare, selecting the most appropriate approach requires balancing fairness, flexibility and market competitiveness to support both operational performance and employee engagement.</w:t>
      </w:r>
    </w:p>
    <w:p w14:paraId="7B8F30B8" w14:textId="5BDC3FCB" w:rsidR="00D629B8" w:rsidRPr="00D629B8" w:rsidRDefault="00D629B8" w:rsidP="00D629B8">
      <w:pPr>
        <w:rPr>
          <w:color w:val="FF0000"/>
        </w:rPr>
      </w:pPr>
      <w:r w:rsidRPr="00D629B8">
        <w:rPr>
          <w:color w:val="FF0000"/>
        </w:rPr>
        <w:t>Grade and pay structures provide a formal framework for determining how jobs are valued and rewarded within an organisation.</w:t>
      </w:r>
      <w:r w:rsidRPr="00D629B8">
        <w:rPr>
          <w:strike/>
          <w:color w:val="FF0000"/>
        </w:rPr>
        <w:t xml:space="preserve"> </w:t>
      </w:r>
      <w:r w:rsidRPr="00D629B8">
        <w:rPr>
          <w:color w:val="FF0000"/>
        </w:rPr>
        <w:t>They support consistency, transparency and fairness in pay decisions, which is particularly important for GreenFriendlyEco given the current negative culture and turnover concerns. Pay structures also influence employee perceptions of internal equity, which research identifies as an important factor in motivation and retention (Milkovich, Newman and Gerhart, 2020). The most appropriate structure depends on organisational size, labour market pressures and workforce needs (Armstrong and Taylor, 2023).</w:t>
      </w:r>
    </w:p>
    <w:p w14:paraId="3F4CF4CF" w14:textId="77777777" w:rsidR="00D629B8" w:rsidRPr="00D629B8" w:rsidRDefault="00D629B8" w:rsidP="00D629B8">
      <w:pPr>
        <w:rPr>
          <w:color w:val="FF0000"/>
        </w:rPr>
      </w:pPr>
      <w:r w:rsidRPr="00D629B8">
        <w:rPr>
          <w:color w:val="FF0000"/>
        </w:rPr>
        <w:t>A graded pay structure is one of the most widely used approaches and consists of a hierarchy of job grades, each linked to a pay range. Roles are evaluated and allocated to grades based on factors such as responsibility, skills and working conditions. This approach supports fairness and provides visible progression opportunities (CIPD, 2023). For GreenFriendlyEco, introducing a clear grading structure could help address perceived inequalities between production and management roles. However, graded structures can be inflexible and may make it harder to respond quickly to changes in labour market conditions.</w:t>
      </w:r>
    </w:p>
    <w:p w14:paraId="06588DAF" w14:textId="77777777" w:rsidR="00D629B8" w:rsidRPr="00D629B8" w:rsidRDefault="00D629B8" w:rsidP="00D629B8">
      <w:pPr>
        <w:rPr>
          <w:color w:val="FF0000"/>
        </w:rPr>
      </w:pPr>
      <w:r w:rsidRPr="00D629B8">
        <w:rPr>
          <w:color w:val="FF0000"/>
        </w:rPr>
        <w:t xml:space="preserve">A broadbanded pay structure reduces the number of grades by combining them into wider pay bands. This allows greater flexibility in pay progression and can support multi-skilling and career development (Armstrong and Taylor, 2023). Such flexibility may be useful in manufacturing environments where employees develop a range of skills over </w:t>
      </w:r>
      <w:r w:rsidRPr="00D629B8">
        <w:rPr>
          <w:color w:val="FF0000"/>
        </w:rPr>
        <w:lastRenderedPageBreak/>
        <w:t>time. On the other hand, wider bands can reduce transparency if employees do not understand how pay decisions are made, which may create uncertainty or perceptions of inconsistency.</w:t>
      </w:r>
    </w:p>
    <w:p w14:paraId="0E4015F2" w14:textId="77777777" w:rsidR="00D629B8" w:rsidRPr="00D629B8" w:rsidRDefault="00D629B8" w:rsidP="00D629B8">
      <w:pPr>
        <w:rPr>
          <w:color w:val="FF0000"/>
        </w:rPr>
      </w:pPr>
      <w:r w:rsidRPr="00D629B8">
        <w:rPr>
          <w:color w:val="FF0000"/>
        </w:rPr>
        <w:t>A job family pay structure groups roles by function, such as production, engineering or management, with separate pay ranges for each group. This approach recognises that different job families face different labour market pressures (CIPD, 2023). For GreenFriendlyEco, this could help ensure competitive pay for skilled technical roles while maintaining internal fairness across the organisation. However, job family structures can be more complex to design and maintain.</w:t>
      </w:r>
    </w:p>
    <w:p w14:paraId="4B968E33" w14:textId="77777777" w:rsidR="00D629B8" w:rsidRPr="00D629B8" w:rsidRDefault="00D629B8" w:rsidP="00D629B8">
      <w:pPr>
        <w:rPr>
          <w:color w:val="FF0000"/>
        </w:rPr>
      </w:pPr>
      <w:r w:rsidRPr="00D629B8">
        <w:rPr>
          <w:color w:val="FF0000"/>
        </w:rPr>
        <w:t>Finally, market-based or spot rate structures determine pay primarily by external market rates rather than internal grading (Armstrong and Taylor, 2023). This can help organisations attract scarce skills, but if used extensively it may create pay differences that employees perceive as unfair.</w:t>
      </w:r>
    </w:p>
    <w:p w14:paraId="709B694E" w14:textId="0ECD466C" w:rsidR="00D629B8" w:rsidRPr="00D629B8" w:rsidRDefault="00D629B8" w:rsidP="00F208A5">
      <w:pPr>
        <w:rPr>
          <w:color w:val="FF0000"/>
        </w:rPr>
      </w:pPr>
      <w:r w:rsidRPr="00D629B8">
        <w:rPr>
          <w:color w:val="FF0000"/>
        </w:rPr>
        <w:t>Overall, each type of pay structure offers distinct benefits and limitations. Organisations must balance fairness, flexibility and competitiveness when selecting an approach.</w:t>
      </w:r>
    </w:p>
    <w:p w14:paraId="6015D1B0" w14:textId="74134DDC" w:rsidR="00F208A5" w:rsidRPr="00D629B8" w:rsidRDefault="00F208A5" w:rsidP="00F208A5">
      <w:r w:rsidRPr="00D629B8">
        <w:t>AC 2.2</w:t>
      </w:r>
    </w:p>
    <w:p w14:paraId="401A45F2" w14:textId="77777777" w:rsidR="00F208A5" w:rsidRPr="00D629B8" w:rsidRDefault="00F208A5" w:rsidP="00F208A5">
      <w:pPr>
        <w:rPr>
          <w:strike/>
        </w:rPr>
      </w:pPr>
      <w:r w:rsidRPr="00D629B8">
        <w:rPr>
          <w:strike/>
        </w:rPr>
        <w:t>Contingent rewards are rewards that are directly linked to performance outcomes or the achievement of specific objectives. They are commonly used within performance management systems to reinforce desired behaviours and can influence performance at individual, team and organisational levels when applied consistently and transparently.</w:t>
      </w:r>
    </w:p>
    <w:p w14:paraId="4AFA3C2A" w14:textId="77777777" w:rsidR="00F208A5" w:rsidRPr="00D629B8" w:rsidRDefault="00F208A5" w:rsidP="00F208A5">
      <w:pPr>
        <w:rPr>
          <w:strike/>
        </w:rPr>
      </w:pPr>
      <w:r w:rsidRPr="00D629B8">
        <w:rPr>
          <w:strike/>
        </w:rPr>
        <w:t>At an individual level, contingent rewards are typically linked to personal targets or behaviours, such as productivity, attendance or quality standards. Examples include performance-related pay, bonuses or recognition awards. Armstrong and Taylor (2023) explain that contingent rewards help clarify performance expectations by explicitly linking effort and results to reward outcomes. For ParcelCare, individual incentives such as attendance bonuses, safe-driving rewards or delivery accuracy payments may encourage reliability and personal accountability in operational roles. </w:t>
      </w:r>
      <w:r w:rsidRPr="00D629B8">
        <w:rPr>
          <w:i/>
          <w:iCs/>
          <w:strike/>
        </w:rPr>
        <w:t>HR Magazine</w:t>
      </w:r>
      <w:r w:rsidRPr="00D629B8">
        <w:rPr>
          <w:strike/>
        </w:rPr>
        <w:t>(2022) notes that clear links between performance and reward can improve short-term motivation, particularly in roles with measurable outputs.</w:t>
      </w:r>
    </w:p>
    <w:p w14:paraId="7CE2FCA2" w14:textId="77777777" w:rsidR="00F208A5" w:rsidRPr="00D629B8" w:rsidRDefault="00F208A5" w:rsidP="00F208A5">
      <w:pPr>
        <w:rPr>
          <w:strike/>
        </w:rPr>
      </w:pPr>
      <w:r w:rsidRPr="00D629B8">
        <w:rPr>
          <w:strike/>
        </w:rPr>
        <w:t xml:space="preserve">At a team level, contingent rewards are based on collective performance rather than individual achievement. These may include team bonuses or shared incentives linked to operational targets. The CIPD  (CIPD, 2023) suggests that team-based contingent rewards can encourage cooperation and reduce unhealthy competition between employees. For ParcelCare, team rewards linked to depot-level outcomes such as on-time delivery rates or customer satisfaction scores may reinforce collaboration across </w:t>
      </w:r>
      <w:r w:rsidRPr="00D629B8">
        <w:rPr>
          <w:strike/>
        </w:rPr>
        <w:lastRenderedPageBreak/>
        <w:t>drivers, warehouse staff and supervisors. </w:t>
      </w:r>
      <w:r w:rsidRPr="00D629B8">
        <w:rPr>
          <w:i/>
          <w:iCs/>
          <w:strike/>
        </w:rPr>
        <w:t>People Management</w:t>
      </w:r>
      <w:r w:rsidRPr="00D629B8">
        <w:rPr>
          <w:strike/>
        </w:rPr>
        <w:t> (2023) highlights that team incentives are particularly effective in operational environments where performance depends on interdependent roles.</w:t>
      </w:r>
    </w:p>
    <w:p w14:paraId="2B02C9D7" w14:textId="77777777" w:rsidR="00F208A5" w:rsidRPr="00D629B8" w:rsidRDefault="00F208A5" w:rsidP="00F208A5">
      <w:pPr>
        <w:rPr>
          <w:strike/>
        </w:rPr>
      </w:pPr>
      <w:r w:rsidRPr="00D629B8">
        <w:rPr>
          <w:strike/>
        </w:rPr>
        <w:t>At an organisational level, contingent rewards are linked to overall business performance, such as profit-related pay or organisation-wide bonus schemes. Armstrong and Taylor (2023) argue that these rewards can help employees see the connection between their contribution and organisational success. For ParcelCare, organisation-wide rewards linked to service performance or efficiency targets may help strengthen alignment with business objectives. </w:t>
      </w:r>
      <w:r w:rsidRPr="00D629B8">
        <w:rPr>
          <w:i/>
          <w:iCs/>
          <w:strike/>
        </w:rPr>
        <w:t>Harvard Business Review</w:t>
      </w:r>
      <w:r w:rsidRPr="00D629B8">
        <w:rPr>
          <w:strike/>
        </w:rPr>
        <w:t> (HBR, 2017) suggests that organisation-level incentives can reinforce a shared sense of purpose when employees understand how collective performance is measured.</w:t>
      </w:r>
    </w:p>
    <w:p w14:paraId="250601AB" w14:textId="77777777" w:rsidR="00F208A5" w:rsidRPr="00D629B8" w:rsidRDefault="00F208A5" w:rsidP="00F208A5">
      <w:pPr>
        <w:rPr>
          <w:strike/>
        </w:rPr>
      </w:pPr>
      <w:r w:rsidRPr="00D629B8">
        <w:rPr>
          <w:strike/>
        </w:rPr>
        <w:t>Across all levels, the effectiveness of contingent rewards depends on how clearly performance criteria are defined and communicated. CIPD (2023) stresses that poorly designed contingent reward schemes may lead to confusion or disengagement if employees perceive targets as unclear or unachievable. Transparency and consistency are therefore essential to ensure contingent rewards support performance management.</w:t>
      </w:r>
    </w:p>
    <w:p w14:paraId="6A05C4D0" w14:textId="53294FA9" w:rsidR="00F208A5" w:rsidRPr="00D629B8" w:rsidRDefault="00F208A5" w:rsidP="00F208A5">
      <w:pPr>
        <w:rPr>
          <w:strike/>
        </w:rPr>
      </w:pPr>
      <w:r w:rsidRPr="00D629B8">
        <w:rPr>
          <w:strike/>
        </w:rPr>
        <w:t>Overall, contingent rewards influence individual, team and organisational performance by reinforcing specific behaviours and outcomes. For ParcelCare, their effective use can support motivation, collaboration and alignment with organisational goals when embedded within a clear and well-communicated reward framework.</w:t>
      </w:r>
    </w:p>
    <w:p w14:paraId="0B913683" w14:textId="77777777" w:rsidR="00D629B8" w:rsidRPr="00D629B8" w:rsidRDefault="00D629B8" w:rsidP="00D629B8">
      <w:pPr>
        <w:rPr>
          <w:color w:val="FF0000"/>
        </w:rPr>
      </w:pPr>
      <w:r w:rsidRPr="00D629B8">
        <w:rPr>
          <w:color w:val="FF0000"/>
        </w:rPr>
        <w:t>Contingent rewards are rewards provided in response to performance or the achievement of agreed objectives. They are commonly used to reinforce desired behaviours and can influence performance at individual, team and organisational levels when carefully designed and communicated (Armstrong and Taylor, 2023).</w:t>
      </w:r>
    </w:p>
    <w:p w14:paraId="5CE507BF" w14:textId="77777777" w:rsidR="00D629B8" w:rsidRPr="00D629B8" w:rsidRDefault="00D629B8" w:rsidP="00D629B8">
      <w:pPr>
        <w:rPr>
          <w:color w:val="FF0000"/>
        </w:rPr>
      </w:pPr>
      <w:r w:rsidRPr="00D629B8">
        <w:rPr>
          <w:color w:val="FF0000"/>
        </w:rPr>
        <w:t>At an individual level, contingent rewards are often linked to personal performance measures such as productivity, attendance or quality standards. Examples include performance-related pay, bonuses or recognition awards. In a manufacturing organisation such as GreenFriendlyEco, incentives linked to output or quality could encourage employees to focus more consistently on performance and reliability. Evidence suggests that performance-related reward can improve motivation where outcomes are clearly measurable (Milkovich, Newman and Gerhart, 2020). This could help address low motivation and strengthen individual contribution within the organisation.</w:t>
      </w:r>
    </w:p>
    <w:p w14:paraId="59670127" w14:textId="77777777" w:rsidR="00D629B8" w:rsidRPr="00D629B8" w:rsidRDefault="00D629B8" w:rsidP="00D629B8">
      <w:pPr>
        <w:rPr>
          <w:color w:val="FF0000"/>
        </w:rPr>
      </w:pPr>
      <w:r w:rsidRPr="00D629B8">
        <w:rPr>
          <w:color w:val="FF0000"/>
        </w:rPr>
        <w:t xml:space="preserve">At a team level, contingent rewards are based on collective outcomes rather than individual achievement. These may include team bonuses linked to production targets, safety improvements or reduced waste. CIPD (2023) notes that team-based incentives can promote cooperation and reduce counterproductive competition. For </w:t>
      </w:r>
      <w:r w:rsidRPr="00D629B8">
        <w:rPr>
          <w:color w:val="FF0000"/>
        </w:rPr>
        <w:lastRenderedPageBreak/>
        <w:t>GreenFriendlyEco, team rewards linked to production efficiency or quality improvements could help strengthen collaboration and shared responsibility for results.</w:t>
      </w:r>
    </w:p>
    <w:p w14:paraId="5FA41C0B" w14:textId="77777777" w:rsidR="00D629B8" w:rsidRPr="00D629B8" w:rsidRDefault="00D629B8" w:rsidP="00D629B8">
      <w:pPr>
        <w:rPr>
          <w:color w:val="FF0000"/>
        </w:rPr>
      </w:pPr>
      <w:r w:rsidRPr="00D629B8">
        <w:rPr>
          <w:color w:val="FF0000"/>
        </w:rPr>
        <w:t>At an organisational level, contingent rewards may be linked to overall business performance, such as profit-sharing or company-wide bonus schemes. These approaches can help employees see the connection between their work and wider organisational success. Research indicates that organisation-level incentives can align employee behaviour with business goals and support performance (Gerhart and Fang, 2015). Introducing incentives linked to productivity or sustainability targets could therefore support GreenFriendlyEco’s long-term performance.</w:t>
      </w:r>
    </w:p>
    <w:p w14:paraId="35D4BAE6" w14:textId="77777777" w:rsidR="00D629B8" w:rsidRPr="00D629B8" w:rsidRDefault="00D629B8" w:rsidP="00D629B8">
      <w:pPr>
        <w:rPr>
          <w:color w:val="FF0000"/>
        </w:rPr>
      </w:pPr>
      <w:r w:rsidRPr="00D629B8">
        <w:rPr>
          <w:color w:val="FF0000"/>
        </w:rPr>
        <w:t>However, contingent rewards are not always effective if performance measures are unclear or perceived as unrealistic. Armstrong and Taylor (2023) highlight that poorly communicated reward schemes may reduce motivation rather than improve it. Clear targets and transparent communication are therefore essential.</w:t>
      </w:r>
    </w:p>
    <w:p w14:paraId="44291B81" w14:textId="239EECB5" w:rsidR="00F208A5" w:rsidRPr="00D629B8" w:rsidRDefault="00D629B8" w:rsidP="00F208A5">
      <w:pPr>
        <w:rPr>
          <w:color w:val="FF0000"/>
        </w:rPr>
      </w:pPr>
      <w:r w:rsidRPr="00D629B8">
        <w:rPr>
          <w:color w:val="FF0000"/>
        </w:rPr>
        <w:t>Overall, well-designed contingent rewards can support performance at multiple levels by reinforcing behaviours and linking reward to achievement. For GreenFriendlyEco, introducing clear and fair contingent reward schemes could help improve motivation, collaboration and organisational performance.</w:t>
      </w:r>
    </w:p>
    <w:p w14:paraId="78110A4A" w14:textId="77777777" w:rsidR="00F208A5" w:rsidRPr="00D629B8" w:rsidRDefault="00F208A5" w:rsidP="00F208A5">
      <w:pPr>
        <w:rPr>
          <w:strike/>
        </w:rPr>
      </w:pPr>
      <w:r w:rsidRPr="00D629B8">
        <w:rPr>
          <w:strike/>
        </w:rPr>
        <w:t>AC 2.3</w:t>
      </w:r>
    </w:p>
    <w:p w14:paraId="40C49E56" w14:textId="77777777" w:rsidR="00F208A5" w:rsidRPr="00D629B8" w:rsidRDefault="00F208A5" w:rsidP="00F208A5">
      <w:pPr>
        <w:rPr>
          <w:strike/>
        </w:rPr>
      </w:pPr>
      <w:r w:rsidRPr="00D629B8">
        <w:rPr>
          <w:strike/>
        </w:rPr>
        <w:t>Employee benefits form a key component of the total reward package and play an important role in supporting attraction, retention and employee wellbeing. Different types of benefits offer distinct advantages to both employees and organisations, depending on workforce needs and organisational strategy.</w:t>
      </w:r>
    </w:p>
    <w:p w14:paraId="51FB20FC" w14:textId="77777777" w:rsidR="00F208A5" w:rsidRPr="00D629B8" w:rsidRDefault="00F208A5" w:rsidP="00F208A5">
      <w:pPr>
        <w:rPr>
          <w:strike/>
        </w:rPr>
      </w:pPr>
      <w:r w:rsidRPr="00D629B8">
        <w:rPr>
          <w:strike/>
        </w:rPr>
        <w:t>Financial benefits are among the most commonly offered and include pensions, life assurance, sick pay and employee discounts. These benefits provide employees with financial security and stability, which can improve commitment and reduce financial stress. Armstrong and Taylor (2023) note that pensions and enhanced sick pay are often viewed as core benefits that signal organisational support and long-term investment in employees. For ParcelCare, where many roles are physically demanding, enhanced sick pay and income protection may be particularly valued and help reduce presenteeism and turnover.</w:t>
      </w:r>
    </w:p>
    <w:p w14:paraId="2A2D31EC" w14:textId="77777777" w:rsidR="00F208A5" w:rsidRPr="00D629B8" w:rsidRDefault="00F208A5" w:rsidP="00F208A5">
      <w:pPr>
        <w:rPr>
          <w:strike/>
        </w:rPr>
      </w:pPr>
      <w:r w:rsidRPr="00D629B8">
        <w:rPr>
          <w:strike/>
        </w:rPr>
        <w:t xml:space="preserve">Health and wellbeing benefits are increasingly important in modern reward strategies. These may include private medical insurance, employee assistance programmes (EAPs), mental health support and wellbeing initiatives. CIPD (2023) highlights that wellbeing benefits can improve engagement and reduce absence by supporting employees’ physical and mental health. For ParcelCare, access to wellbeing support could help employees manage the pressures associated with shift work, tight delivery </w:t>
      </w:r>
      <w:r w:rsidRPr="00D629B8">
        <w:rPr>
          <w:strike/>
        </w:rPr>
        <w:lastRenderedPageBreak/>
        <w:t>schedules and physically demanding roles. Such benefits also reinforce a culture that values employee welfare, which can positively influence retention.</w:t>
      </w:r>
    </w:p>
    <w:p w14:paraId="22E1046D" w14:textId="77777777" w:rsidR="00F208A5" w:rsidRPr="00D629B8" w:rsidRDefault="00F208A5" w:rsidP="00F208A5">
      <w:pPr>
        <w:rPr>
          <w:strike/>
        </w:rPr>
      </w:pPr>
      <w:r w:rsidRPr="00D629B8">
        <w:rPr>
          <w:strike/>
        </w:rPr>
        <w:t>Work–life balance benefits include flexible working arrangements, additional leave, parental benefits and shift flexibility. These benefits help employees balance work with personal responsibilities, which can enhance job satisfaction and engagement. </w:t>
      </w:r>
      <w:r w:rsidRPr="00D629B8">
        <w:rPr>
          <w:i/>
          <w:iCs/>
          <w:strike/>
        </w:rPr>
        <w:t>HR Magazine</w:t>
      </w:r>
      <w:r w:rsidRPr="00D629B8">
        <w:rPr>
          <w:strike/>
        </w:rPr>
        <w:t> (2022) notes that flexible working and leave benefits are increasingly valued across all age groups, not just parents. For ParcelCare, offering flexible shift patterns or predictable rotas where operationally possible may improve retention, particularly in hard-to-fill roles.</w:t>
      </w:r>
    </w:p>
    <w:p w14:paraId="2D738D56" w14:textId="77777777" w:rsidR="00F208A5" w:rsidRPr="00D629B8" w:rsidRDefault="00F208A5" w:rsidP="00F208A5">
      <w:pPr>
        <w:rPr>
          <w:strike/>
        </w:rPr>
      </w:pPr>
      <w:r w:rsidRPr="00D629B8">
        <w:rPr>
          <w:strike/>
        </w:rPr>
        <w:t>Lifestyle and voluntary benefits such as retail discounts, cycle-to-work schemes and salary sacrifice arrangements offer employees choice and personalisation. Armstrong and Taylor (2023) suggest that voluntary benefits can enhance perceived reward value at relatively low cost to the employer. For ParcelCare, these benefits may be attractive in a workforce with varied demographics and preferences, supporting engagement without significantly increasing pay costs.</w:t>
      </w:r>
    </w:p>
    <w:p w14:paraId="72B58A10" w14:textId="22EB91EE" w:rsidR="00F208A5" w:rsidRPr="00D629B8" w:rsidRDefault="00F208A5" w:rsidP="00F208A5">
      <w:pPr>
        <w:rPr>
          <w:strike/>
        </w:rPr>
      </w:pPr>
      <w:r w:rsidRPr="00D629B8">
        <w:rPr>
          <w:strike/>
        </w:rPr>
        <w:t>Overall, the merit of different benefit types lies in their ability to meet diverse employee needs while supporting organisational objectives. For ParcelCare, a well-designed benefits offering can strengthen the overall reward proposition, enhance employee wellbeing and support sustained performance when aligned with workforce priorities.</w:t>
      </w:r>
    </w:p>
    <w:p w14:paraId="714E864D" w14:textId="77777777" w:rsidR="00D629B8" w:rsidRPr="00D629B8" w:rsidRDefault="00D629B8" w:rsidP="00D629B8">
      <w:pPr>
        <w:rPr>
          <w:color w:val="FF0000"/>
        </w:rPr>
      </w:pPr>
      <w:r w:rsidRPr="00D629B8">
        <w:rPr>
          <w:color w:val="FF0000"/>
        </w:rPr>
        <w:t>Employee benefits form a key part of the total reward package and can play an important role in attracting, retaining and supporting employees. This is particularly relevant for GreenFriendlyEco, where high turnover and a negative culture suggest that the current benefits provision may not fully meet employee expectations. Different categories of benefits offer different advantages depending on organisational priorities and workforce needs (Armstrong and Taylor, 2023).</w:t>
      </w:r>
    </w:p>
    <w:p w14:paraId="6C831ED9" w14:textId="77777777" w:rsidR="00D629B8" w:rsidRPr="00D629B8" w:rsidRDefault="00D629B8" w:rsidP="00D629B8">
      <w:pPr>
        <w:rPr>
          <w:color w:val="FF0000"/>
        </w:rPr>
      </w:pPr>
      <w:r w:rsidRPr="00D629B8">
        <w:rPr>
          <w:color w:val="FF0000"/>
        </w:rPr>
        <w:t>Financial benefits are among the most established and include pensions, sick pay and life assurance. These benefits provide long-term financial security and help employees feel supported by their employer. Armstrong and Taylor (2023) highlight that pension provision is often viewed as a core component of reward and can encourage long-term commitment. For GreenFriendlyEco, strengthening financial benefits could support retention of skilled employees who may otherwise move to competitors offering more attractive packages. Research also suggests that financial security benefits can reduce stress and positively influence wellbeing (Milkovich, Newman and Gerhart, 2020).</w:t>
      </w:r>
    </w:p>
    <w:p w14:paraId="7D4353CE" w14:textId="77777777" w:rsidR="00D629B8" w:rsidRPr="00D629B8" w:rsidRDefault="00D629B8" w:rsidP="00D629B8">
      <w:pPr>
        <w:rPr>
          <w:color w:val="FF0000"/>
        </w:rPr>
      </w:pPr>
      <w:r w:rsidRPr="00D629B8">
        <w:rPr>
          <w:color w:val="FF0000"/>
        </w:rPr>
        <w:t xml:space="preserve">Health and wellbeing benefits have become increasingly important in recent years and may include employee assistance programmes, occupational health support and wellbeing initiatives. CIPD (2023) notes that wellbeing benefits can reduce absence and improve engagement by supporting employees’ physical and mental health. In a </w:t>
      </w:r>
      <w:r w:rsidRPr="00D629B8">
        <w:rPr>
          <w:color w:val="FF0000"/>
        </w:rPr>
        <w:lastRenderedPageBreak/>
        <w:t>manufacturing environment where roles may be physically demanding, investing in wellbeing initiatives could help reduce fatigue and support workforce resilience.</w:t>
      </w:r>
    </w:p>
    <w:p w14:paraId="1AF2F21C" w14:textId="77777777" w:rsidR="00D629B8" w:rsidRPr="00D629B8" w:rsidRDefault="00D629B8" w:rsidP="00D629B8">
      <w:pPr>
        <w:rPr>
          <w:color w:val="FF0000"/>
        </w:rPr>
      </w:pPr>
      <w:r w:rsidRPr="00D629B8">
        <w:rPr>
          <w:color w:val="FF0000"/>
        </w:rPr>
        <w:t>Work–life balance benefits, such as flexible working, enhanced leave and family-friendly policies, can also improve retention and job satisfaction. Research indicates that work–life balance initiatives are associated with stronger organisational commitment and engagement (Kossek and Michel, 2011). Although flexibility can be more challenging in manufacturing settings, introducing options such as shift flexibility or additional leave could still improve morale and retention at GreenFriendlyEco.</w:t>
      </w:r>
    </w:p>
    <w:p w14:paraId="753EE1C7" w14:textId="77777777" w:rsidR="00D629B8" w:rsidRPr="00D629B8" w:rsidRDefault="00D629B8" w:rsidP="00D629B8">
      <w:pPr>
        <w:rPr>
          <w:color w:val="FF0000"/>
        </w:rPr>
      </w:pPr>
      <w:r w:rsidRPr="00D629B8">
        <w:rPr>
          <w:color w:val="FF0000"/>
        </w:rPr>
        <w:t>Voluntary or lifestyle benefits, including discount schemes or salary sacrifice arrangements, allow employees to tailor benefits to their own circumstances. These schemes can increase the perceived value of reward without significantly increasing organisational costs (Armstrong and Taylor, 2023).</w:t>
      </w:r>
    </w:p>
    <w:p w14:paraId="45269F5B" w14:textId="424A1773" w:rsidR="00F208A5" w:rsidRPr="00D629B8" w:rsidRDefault="00D629B8" w:rsidP="00F208A5">
      <w:pPr>
        <w:rPr>
          <w:color w:val="FF0000"/>
        </w:rPr>
      </w:pPr>
      <w:r w:rsidRPr="00D629B8">
        <w:rPr>
          <w:color w:val="FF0000"/>
        </w:rPr>
        <w:t>Overall, benefits contribute to employee wellbeing, retention and the attractiveness of the overall reward package. For GreenFriendlyEco, reviewing and broadening the benefits offer could support engagement and help reduce turnover.</w:t>
      </w:r>
    </w:p>
    <w:p w14:paraId="75BC4A29" w14:textId="77777777" w:rsidR="00F208A5" w:rsidRPr="00D629B8" w:rsidRDefault="00F208A5" w:rsidP="00F208A5">
      <w:pPr>
        <w:rPr>
          <w:strike/>
        </w:rPr>
      </w:pPr>
      <w:r w:rsidRPr="00D629B8">
        <w:rPr>
          <w:strike/>
        </w:rPr>
        <w:t>AC 2.4</w:t>
      </w:r>
    </w:p>
    <w:p w14:paraId="5375FA82" w14:textId="77777777" w:rsidR="00F208A5" w:rsidRPr="00D629B8" w:rsidRDefault="00F208A5" w:rsidP="00F208A5">
      <w:pPr>
        <w:rPr>
          <w:strike/>
        </w:rPr>
      </w:pPr>
      <w:r w:rsidRPr="00D629B8">
        <w:rPr>
          <w:strike/>
        </w:rPr>
        <w:t>Recognition schemes are a key element of total reward and play an important role in reinforcing positive behaviours, improving motivation and supporting organisational culture. Unlike pay, recognition focuses on acknowledging effort, contribution and values-driven behaviour, often in a timely and personal way. Different types of recognition schemes offer distinct benefits to organisations and employees.</w:t>
      </w:r>
    </w:p>
    <w:p w14:paraId="7018318E" w14:textId="77777777" w:rsidR="00F208A5" w:rsidRPr="00D629B8" w:rsidRDefault="00F208A5" w:rsidP="00F208A5">
      <w:pPr>
        <w:rPr>
          <w:strike/>
        </w:rPr>
      </w:pPr>
      <w:r w:rsidRPr="00D629B8">
        <w:rPr>
          <w:strike/>
        </w:rPr>
        <w:t>Formal recognition schemes are structured programmes that recognise achievement against defined criteria. These may include employee of the month awards, long-service awards or performance-based recognition linked to organisational values. Armstrong and Taylor (2023) suggest that formal recognition schemes help ensure consistency and fairness by applying clear standards. For ParcelCare, formal recognition for safe driving, customer service excellence or reliability could reinforce performance expectations and support a culture of accountability across operational roles.</w:t>
      </w:r>
    </w:p>
    <w:p w14:paraId="6B31F6BD" w14:textId="77777777" w:rsidR="00F208A5" w:rsidRPr="00D629B8" w:rsidRDefault="00F208A5" w:rsidP="00F208A5">
      <w:pPr>
        <w:rPr>
          <w:strike/>
        </w:rPr>
      </w:pPr>
      <w:r w:rsidRPr="00D629B8">
        <w:rPr>
          <w:strike/>
        </w:rPr>
        <w:t>Informal recognition involves day-to-day acknowledgement from managers or peers, such as verbal praise, thank-you messages or small gestures of appreciation. CIPD (2023) highlights that informal recognition is often highly valued because it is immediate and personal. At ParcelCare, line managers recognising effort during peak delivery periods can help maintain morale and motivation. Informal recognition is particularly effective in fast-paced environments, where timely feedback can reinforce positive behaviour without complex processes.</w:t>
      </w:r>
    </w:p>
    <w:p w14:paraId="76D3AF10" w14:textId="77777777" w:rsidR="00F208A5" w:rsidRPr="00D629B8" w:rsidRDefault="00F208A5" w:rsidP="00F208A5">
      <w:pPr>
        <w:rPr>
          <w:strike/>
        </w:rPr>
      </w:pPr>
      <w:r w:rsidRPr="00D629B8">
        <w:rPr>
          <w:strike/>
        </w:rPr>
        <w:t>Peer-to-peer recognition schemes allow employees to recognise each other’s contributions, often through digital platforms or nomination systems. </w:t>
      </w:r>
      <w:r w:rsidRPr="00D629B8">
        <w:rPr>
          <w:i/>
          <w:iCs/>
          <w:strike/>
        </w:rPr>
        <w:t xml:space="preserve">HR </w:t>
      </w:r>
      <w:r w:rsidRPr="00D629B8">
        <w:rPr>
          <w:i/>
          <w:iCs/>
          <w:strike/>
        </w:rPr>
        <w:lastRenderedPageBreak/>
        <w:t>Magazine</w:t>
      </w:r>
      <w:r w:rsidRPr="00D629B8">
        <w:rPr>
          <w:strike/>
        </w:rPr>
        <w:t> (2022) notes that peer recognition can strengthen teamwork and encourage positive working relationships. For ParcelCare, peer recognition may help build collaboration between drivers, warehouse staff and support teams, reinforcing shared responsibility for service delivery. Such schemes can also empower employees and support an inclusive culture by giving staff a voice in recognising success.</w:t>
      </w:r>
    </w:p>
    <w:p w14:paraId="31EFE323" w14:textId="77777777" w:rsidR="00F208A5" w:rsidRPr="00D629B8" w:rsidRDefault="00F208A5" w:rsidP="00F208A5">
      <w:pPr>
        <w:rPr>
          <w:strike/>
        </w:rPr>
      </w:pPr>
      <w:r w:rsidRPr="00D629B8">
        <w:rPr>
          <w:strike/>
        </w:rPr>
        <w:t>Values-based recognition schemes link recognition to behaviours that reflect organisational values, such as customer focus, safety or teamwork. Armstrong and Taylor (2023) argue that aligning recognition with values helps embed desired behaviours and strengthen organisational culture. For ParcelCare, recognising employees who demonstrate commitment to customer service or safety standards can reinforce cultural expectations and support long-term performance.</w:t>
      </w:r>
    </w:p>
    <w:p w14:paraId="5AE985F6" w14:textId="77777777" w:rsidR="00F208A5" w:rsidRPr="00D629B8" w:rsidRDefault="00F208A5" w:rsidP="00F208A5">
      <w:pPr>
        <w:rPr>
          <w:strike/>
        </w:rPr>
      </w:pPr>
      <w:r w:rsidRPr="00D629B8">
        <w:rPr>
          <w:strike/>
        </w:rPr>
        <w:t>Overall, the merit of recognition schemes lies in their ability to motivate employees, reinforce organisational values and enhance engagement. For ParcelCare, using a mix of formal, informal and peer-led recognition schemes can help create a positive and supportive culture that complements financial rewards and supports sustained performance.</w:t>
      </w:r>
    </w:p>
    <w:p w14:paraId="55E554C7" w14:textId="77777777" w:rsidR="00D629B8" w:rsidRPr="00D629B8" w:rsidRDefault="00D629B8" w:rsidP="00D629B8">
      <w:pPr>
        <w:rPr>
          <w:color w:val="FF0000"/>
        </w:rPr>
      </w:pPr>
      <w:r w:rsidRPr="00D629B8">
        <w:rPr>
          <w:color w:val="FF0000"/>
        </w:rPr>
        <w:t>Recognition schemes form an important part of total reward and can have a significant impact on motivation, engagement and organisational culture. Unlike pay, recognition focuses on acknowledging effort, behaviours and contribution, often in a more immediate and personal way. For GreenFriendlyEco, where culture has been described as negative and turnover is increasing, strengthening recognition practices could help rebuild morale and encourage positive workplace behaviours.</w:t>
      </w:r>
    </w:p>
    <w:p w14:paraId="59F23168" w14:textId="77777777" w:rsidR="00D629B8" w:rsidRPr="00D629B8" w:rsidRDefault="00D629B8" w:rsidP="00D629B8">
      <w:pPr>
        <w:rPr>
          <w:color w:val="FF0000"/>
        </w:rPr>
      </w:pPr>
      <w:r w:rsidRPr="00D629B8">
        <w:rPr>
          <w:color w:val="FF0000"/>
        </w:rPr>
        <w:t>Formal recognition schemes are structured and based on defined criteria. Examples include employee of the month awards, long-service awards or recognition linked to specific performance outcomes. Armstrong and Taylor (2023) note that formal schemes promote fairness and consistency because the criteria are transparent. Within a manufacturing environment, recognising achievements such as quality improvements, safety performance or reduced waste could reinforce behaviours that support organisational objectives. Clear criteria also make it easier to link recognition to performance management processes.</w:t>
      </w:r>
    </w:p>
    <w:p w14:paraId="3B5E37D3" w14:textId="77777777" w:rsidR="00D629B8" w:rsidRPr="00D629B8" w:rsidRDefault="00D629B8" w:rsidP="00D629B8">
      <w:pPr>
        <w:rPr>
          <w:color w:val="FF0000"/>
        </w:rPr>
      </w:pPr>
      <w:r w:rsidRPr="00D629B8">
        <w:rPr>
          <w:color w:val="FF0000"/>
        </w:rPr>
        <w:t xml:space="preserve">Informal recognition, such as verbal praise, thank-you messages or team acknowledgements, is typically delivered by line managers on a day-to-day basis. CIPD (2023) suggests that informal recognition can be particularly effective because it is timely and personal. In production environments where work can be repetitive, simple and immediate recognition can have a positive impact on morale. Research indicates that regular positive feedback contributes to engagement and discretionary effort (Aguinis, 2019). Encouraging supervisors at GreenFriendlyEco to recognise </w:t>
      </w:r>
      <w:r w:rsidRPr="00D629B8">
        <w:rPr>
          <w:color w:val="FF0000"/>
        </w:rPr>
        <w:lastRenderedPageBreak/>
        <w:t>contributions more consistently could therefore support cultural improvement without significant financial cost.</w:t>
      </w:r>
    </w:p>
    <w:p w14:paraId="289079B6" w14:textId="77777777" w:rsidR="00D629B8" w:rsidRPr="00D629B8" w:rsidRDefault="00D629B8" w:rsidP="00D629B8">
      <w:pPr>
        <w:rPr>
          <w:color w:val="FF0000"/>
        </w:rPr>
      </w:pPr>
      <w:r w:rsidRPr="00D629B8">
        <w:rPr>
          <w:color w:val="FF0000"/>
        </w:rPr>
        <w:t>Peer-to-peer recognition allows employees to acknowledge each other’s contributions, often through nomination schemes or internal platforms. This type of recognition can strengthen teamwork and create a more supportive environment. In a manufacturing setting, where collaboration and shared responsibility are important, peer recognition could encourage cooperation and mutual respect.</w:t>
      </w:r>
    </w:p>
    <w:p w14:paraId="499A0FB6" w14:textId="77777777" w:rsidR="00D629B8" w:rsidRPr="00D629B8" w:rsidRDefault="00D629B8" w:rsidP="00D629B8">
      <w:pPr>
        <w:rPr>
          <w:color w:val="FF0000"/>
        </w:rPr>
      </w:pPr>
      <w:r w:rsidRPr="00D629B8">
        <w:rPr>
          <w:color w:val="FF0000"/>
        </w:rPr>
        <w:t>Finally, values-based recognition schemes link recognition to behaviours aligned with organisational values. If GreenFriendlyEco aims to emphasise sustainability, quality and safety, recognising employees who demonstrate these behaviours can help embed them into everyday practice and reinforce organisational priorities.</w:t>
      </w:r>
    </w:p>
    <w:p w14:paraId="35C5FA92" w14:textId="072A737B" w:rsidR="00D629B8" w:rsidRPr="00D629B8" w:rsidRDefault="00D629B8" w:rsidP="00F208A5">
      <w:pPr>
        <w:rPr>
          <w:color w:val="FF0000"/>
        </w:rPr>
      </w:pPr>
      <w:r w:rsidRPr="00D629B8">
        <w:rPr>
          <w:color w:val="FF0000"/>
        </w:rPr>
        <w:t>Overall, different recognition approaches offer a range of benefits, from reinforcing performance standards to improving morale and teamwork. A combination of formal and informal recognition would be particularly beneficial for GreenFriendlyEco as it works to improve engagement and organisational culture</w:t>
      </w:r>
      <w:r>
        <w:rPr>
          <w:color w:val="FF0000"/>
        </w:rPr>
        <w:t>.</w:t>
      </w:r>
    </w:p>
    <w:p w14:paraId="0A18F466" w14:textId="77777777" w:rsidR="00F208A5" w:rsidRPr="00D629B8" w:rsidRDefault="00F208A5" w:rsidP="00F208A5">
      <w:pPr>
        <w:rPr>
          <w:strike/>
        </w:rPr>
      </w:pPr>
      <w:r w:rsidRPr="00D629B8">
        <w:rPr>
          <w:strike/>
        </w:rPr>
        <w:t>AC 3.1</w:t>
      </w:r>
    </w:p>
    <w:p w14:paraId="7A64AF70" w14:textId="77777777" w:rsidR="00F208A5" w:rsidRPr="00D629B8" w:rsidRDefault="00F208A5" w:rsidP="00F208A5">
      <w:pPr>
        <w:rPr>
          <w:strike/>
        </w:rPr>
      </w:pPr>
      <w:r w:rsidRPr="00D629B8">
        <w:rPr>
          <w:strike/>
        </w:rPr>
        <w:t>The reward environment is shaped by a range of internal and external business factors that influence how organisations design, implement and sustain reward strategies. For ParcelCare, understanding this business context is essential in addressing ongoing challenges with attraction, recruitment and retention while remaining operationally and financially sustainable.</w:t>
      </w:r>
    </w:p>
    <w:p w14:paraId="03AB5959" w14:textId="77777777" w:rsidR="00F208A5" w:rsidRPr="00D629B8" w:rsidRDefault="00F208A5" w:rsidP="00F208A5">
      <w:pPr>
        <w:rPr>
          <w:strike/>
        </w:rPr>
      </w:pPr>
      <w:r w:rsidRPr="00D629B8">
        <w:rPr>
          <w:strike/>
        </w:rPr>
        <w:t>A key external influence is the labour market. The logistics and delivery sector operates in a highly competitive labour market, with shortages of drivers and warehouse staff placing upward pressure on pay. Armstrong and Taylor (2023) note that organisations must balance market competitiveness with affordability when setting reward levels. For ParcelCare, failure to respond to market pay rates risks continued attrition, while excessive reliance on pay increases could undermine cost control. This highlights the need for a broader reward proposition rather than pay alone.</w:t>
      </w:r>
    </w:p>
    <w:p w14:paraId="5F8F4FF8" w14:textId="77777777" w:rsidR="00F208A5" w:rsidRPr="00D629B8" w:rsidRDefault="00F208A5" w:rsidP="00F208A5">
      <w:pPr>
        <w:rPr>
          <w:strike/>
        </w:rPr>
      </w:pPr>
      <w:r w:rsidRPr="00D629B8">
        <w:rPr>
          <w:strike/>
        </w:rPr>
        <w:t>Economic conditions also shape the reward environment. Factors such as inflation, fuel costs and cost-of-living pressures affect both organisational budgets and employee expectations. CIPD (2023) highlights that during periods of economic uncertainty, employees place greater emphasis on pay security and benefits. For ParcelCare, this increases pressure to maintain fair and predictable reward structures while managing rising operational costs. The reward strategy must therefore support employee stability without creating unsustainable long-term commitments.</w:t>
      </w:r>
    </w:p>
    <w:p w14:paraId="17FBD67B" w14:textId="77777777" w:rsidR="00F208A5" w:rsidRPr="00D629B8" w:rsidRDefault="00F208A5" w:rsidP="00F208A5">
      <w:pPr>
        <w:rPr>
          <w:strike/>
        </w:rPr>
      </w:pPr>
      <w:r w:rsidRPr="00D629B8">
        <w:rPr>
          <w:strike/>
        </w:rPr>
        <w:t xml:space="preserve">The regulatory and legal context further constrains reward decisions. Compliance with minimum wage legislation, working time rules and equality requirements limits </w:t>
      </w:r>
      <w:r w:rsidRPr="00D629B8">
        <w:rPr>
          <w:strike/>
        </w:rPr>
        <w:lastRenderedPageBreak/>
        <w:t>flexibility in pay design but also protects fairness and consistency. Daniels (2022) emphasises that reward systems must be legally compliant to avoid reputational and financial risk. For ParcelCare, operating nationally increases the importance of consistent application of reward policies across sites.</w:t>
      </w:r>
    </w:p>
    <w:p w14:paraId="335FEA0D" w14:textId="77777777" w:rsidR="00F208A5" w:rsidRPr="00D629B8" w:rsidRDefault="00F208A5" w:rsidP="00F208A5">
      <w:pPr>
        <w:rPr>
          <w:strike/>
        </w:rPr>
      </w:pPr>
      <w:r w:rsidRPr="00D629B8">
        <w:rPr>
          <w:strike/>
        </w:rPr>
        <w:t>Internal business factors are equally significant. Organisational strategy and performance influence how reward is positioned. </w:t>
      </w:r>
      <w:r w:rsidRPr="00D629B8">
        <w:rPr>
          <w:i/>
          <w:iCs/>
          <w:strike/>
        </w:rPr>
        <w:t>Harvard Business Review</w:t>
      </w:r>
      <w:r w:rsidRPr="00D629B8">
        <w:rPr>
          <w:strike/>
        </w:rPr>
        <w:t> (HBR, 2019) suggests that reward systems are most effective when aligned to strategic priorities rather than short-term cost reduction. For ParcelCare, a strategy focused on service reliability and customer satisfaction requires reward mechanisms that reinforce quality, safety and retention, not just volume or speed.</w:t>
      </w:r>
    </w:p>
    <w:p w14:paraId="01A2C580" w14:textId="77777777" w:rsidR="00F208A5" w:rsidRPr="00D629B8" w:rsidRDefault="00F208A5" w:rsidP="00F208A5">
      <w:pPr>
        <w:rPr>
          <w:strike/>
        </w:rPr>
      </w:pPr>
      <w:r w:rsidRPr="00D629B8">
        <w:rPr>
          <w:strike/>
        </w:rPr>
        <w:t>Finally, organisational culture and workforce demographics shape reward expectations. HR Magazine (2022) notes that employees increasingly value transparency, wellbeing and development alongside pay. ParcelCare’s operational workforce may prioritise financial security, predictable shifts and recognition, while managers may value progression and performance-related rewards. A one-size-fits-all approach is therefore unlikely to be effective.</w:t>
      </w:r>
    </w:p>
    <w:p w14:paraId="5C7F6BA2" w14:textId="77777777" w:rsidR="00F208A5" w:rsidRPr="00D629B8" w:rsidRDefault="00F208A5" w:rsidP="00F208A5">
      <w:pPr>
        <w:rPr>
          <w:strike/>
        </w:rPr>
      </w:pPr>
      <w:r w:rsidRPr="00D629B8">
        <w:rPr>
          <w:strike/>
        </w:rPr>
        <w:t>Overall, the business context of the reward environment at ParcelCare is characterised by labour market competition, economic pressure, regulatory requirements and strategic priorities. An effective reward approach must balance these competing demands to remain competitive, compliant and aligned with long-term organisational performance.</w:t>
      </w:r>
    </w:p>
    <w:p w14:paraId="04BF375F" w14:textId="5CFFC1B1" w:rsidR="00D629B8" w:rsidRPr="00D629B8" w:rsidRDefault="00D629B8" w:rsidP="00D629B8">
      <w:pPr>
        <w:rPr>
          <w:color w:val="FF0000"/>
        </w:rPr>
      </w:pPr>
      <w:r w:rsidRPr="00D629B8">
        <w:rPr>
          <w:color w:val="FF0000"/>
        </w:rPr>
        <w:t>The reward environment is influenced by a range of internal and external factors that shape how organisations design and implement reward strategies. For GreenFriendlyEco, understanding this context is essential when considering changes to reward, benefits and recognition to address high turnover and a negative organisational culture.</w:t>
      </w:r>
    </w:p>
    <w:p w14:paraId="36BBE239" w14:textId="77777777" w:rsidR="00D629B8" w:rsidRPr="00D629B8" w:rsidRDefault="00D629B8" w:rsidP="00D629B8">
      <w:pPr>
        <w:rPr>
          <w:color w:val="FF0000"/>
        </w:rPr>
      </w:pPr>
      <w:r w:rsidRPr="00D629B8">
        <w:rPr>
          <w:color w:val="FF0000"/>
        </w:rPr>
        <w:t>One of the most significant external influences is the labour market. UK manufacturing has experienced ongoing skills shortages, particularly in technical and production roles. CIPD (2023) highlights that competition for skilled labour has increased, placing pressure on organisations to offer competitive reward packages. For GreenFriendlyEco, this means that pay and benefits must be attractive enough to recruit and retain skilled employees, while remaining affordable. If competitors offer stronger reward packages, employees may be more likely to leave, contributing to the current turnover challenges.</w:t>
      </w:r>
    </w:p>
    <w:p w14:paraId="60E283B6" w14:textId="77777777" w:rsidR="00D629B8" w:rsidRPr="00D629B8" w:rsidRDefault="00D629B8" w:rsidP="00D629B8">
      <w:pPr>
        <w:rPr>
          <w:color w:val="FF0000"/>
        </w:rPr>
      </w:pPr>
      <w:r w:rsidRPr="00D629B8">
        <w:rPr>
          <w:color w:val="FF0000"/>
        </w:rPr>
        <w:t xml:space="preserve">Economic factors also shape the reward environment. Rising inflation and cost-of-living pressures have increased employee expectations around pay and financial security. Armstrong and Taylor (2023) note that organisations must balance affordability with the need to maintain employee motivation and engagement. For GreenFriendlyEco, this </w:t>
      </w:r>
      <w:r w:rsidRPr="00D629B8">
        <w:rPr>
          <w:color w:val="FF0000"/>
        </w:rPr>
        <w:lastRenderedPageBreak/>
        <w:t>creates pressure to review reward practices to ensure employees feel fairly rewarded during challenging economic conditions.</w:t>
      </w:r>
    </w:p>
    <w:p w14:paraId="6CE3BB99" w14:textId="77777777" w:rsidR="00D629B8" w:rsidRPr="00D629B8" w:rsidRDefault="00D629B8" w:rsidP="00D629B8">
      <w:pPr>
        <w:rPr>
          <w:color w:val="FF0000"/>
        </w:rPr>
      </w:pPr>
      <w:r w:rsidRPr="00D629B8">
        <w:rPr>
          <w:color w:val="FF0000"/>
        </w:rPr>
        <w:t>The legal and regulatory environment is another important consideration. Reward practices must comply with legislation such as minimum wage requirements, equality legislation and pension regulations. Daniels (2022) highlights that failure to comply with employment law can result in financial and reputational risk. For GreenFriendlyEco, ensuring reward systems are fair and legally compliant is essential when reviewing pay structures or introducing new incentive schemes.</w:t>
      </w:r>
    </w:p>
    <w:p w14:paraId="77A0DEA8" w14:textId="77777777" w:rsidR="00D629B8" w:rsidRPr="00D629B8" w:rsidRDefault="00D629B8" w:rsidP="00D629B8">
      <w:pPr>
        <w:rPr>
          <w:color w:val="FF0000"/>
        </w:rPr>
      </w:pPr>
      <w:r w:rsidRPr="00D629B8">
        <w:rPr>
          <w:color w:val="FF0000"/>
        </w:rPr>
        <w:t>Internal organisational factors also play a significant role. Organisational strategy and performance influence how reward is positioned. Reward should support business goals, such as productivity, quality and sustainability. Research suggests that reward systems are most effective when aligned with organisational strategy and performance objectives (Gerhart and Fang, 2015). For GreenFriendlyEco, reward could be used to support productivity improvements and reinforce sustainability goals.</w:t>
      </w:r>
    </w:p>
    <w:p w14:paraId="718AB975" w14:textId="77777777" w:rsidR="00D629B8" w:rsidRPr="00D629B8" w:rsidRDefault="00D629B8" w:rsidP="00D629B8">
      <w:pPr>
        <w:rPr>
          <w:color w:val="FF0000"/>
        </w:rPr>
      </w:pPr>
      <w:r w:rsidRPr="00D629B8">
        <w:rPr>
          <w:color w:val="FF0000"/>
        </w:rPr>
        <w:t>Finally, organisational culture and workforce expectations shape the reward environment. The current negative culture suggests employees may feel undervalued or disengaged. CIPD (2023) notes that employees increasingly expect recognition, development opportunities and wellbeing support alongside pay. Reviewing reward practices could therefore play a key role in improving engagement and retention.</w:t>
      </w:r>
    </w:p>
    <w:p w14:paraId="6B207E6C" w14:textId="029CF141" w:rsidR="00D629B8" w:rsidRPr="00D629B8" w:rsidRDefault="00D629B8" w:rsidP="00F208A5">
      <w:pPr>
        <w:rPr>
          <w:color w:val="FF0000"/>
        </w:rPr>
      </w:pPr>
      <w:r w:rsidRPr="00D629B8">
        <w:rPr>
          <w:color w:val="FF0000"/>
        </w:rPr>
        <w:t>Overall, the reward environment at GreenFriendlyEco is shaped by labour market competition, economic pressures, legal requirements and internal organisational factors. Understanding these influences is essential when developing an effective reward strategy.</w:t>
      </w:r>
    </w:p>
    <w:p w14:paraId="1F50FF2B" w14:textId="77777777" w:rsidR="00F208A5" w:rsidRPr="00D629B8" w:rsidRDefault="00F208A5" w:rsidP="00F208A5">
      <w:pPr>
        <w:rPr>
          <w:strike/>
        </w:rPr>
      </w:pPr>
      <w:r w:rsidRPr="00D629B8">
        <w:rPr>
          <w:strike/>
        </w:rPr>
        <w:t>AC 3.2</w:t>
      </w:r>
    </w:p>
    <w:p w14:paraId="0159E759" w14:textId="77777777" w:rsidR="00F208A5" w:rsidRPr="00D629B8" w:rsidRDefault="00F208A5" w:rsidP="00F208A5">
      <w:pPr>
        <w:rPr>
          <w:strike/>
        </w:rPr>
      </w:pPr>
      <w:r w:rsidRPr="00D629B8">
        <w:rPr>
          <w:strike/>
        </w:rPr>
        <w:t xml:space="preserve">Benchmarking enables organisations to compare reward practices, costs and outcomes against external and internal standards </w:t>
      </w:r>
      <w:proofErr w:type="gramStart"/>
      <w:r w:rsidRPr="00D629B8">
        <w:rPr>
          <w:strike/>
        </w:rPr>
        <w:t>in order to</w:t>
      </w:r>
      <w:proofErr w:type="gramEnd"/>
      <w:r w:rsidRPr="00D629B8">
        <w:rPr>
          <w:strike/>
        </w:rPr>
        <w:t xml:space="preserve"> inform decision-making. For ParcelCare, which is experiencing difficulties with attraction and retention, benchmarking data provides valuable insight into pay competitiveness, benefits effectiveness and overall reward positioning. However, the usefulness of benchmarking depends on how data is gathered and measured.</w:t>
      </w:r>
    </w:p>
    <w:p w14:paraId="710CE2D3" w14:textId="77777777" w:rsidR="00F208A5" w:rsidRPr="00D629B8" w:rsidRDefault="00F208A5" w:rsidP="00F208A5">
      <w:pPr>
        <w:rPr>
          <w:strike/>
        </w:rPr>
      </w:pPr>
      <w:r w:rsidRPr="00D629B8">
        <w:rPr>
          <w:strike/>
        </w:rPr>
        <w:t xml:space="preserve">One of the most common approaches is external market benchmarking, using salary surveys and reward reports produced by professional bodies or consultancies. Sources such as the CIPD (2023) provide sector-specific reward data that can help ParcelCare assess whether pay rates for drivers and warehouse staff are aligned with competitors. This approach is particularly appropriate in tight labour markets, as it supports evidence-based decisions on pay adjustments. However, Armstrong and Taylor (2023) </w:t>
      </w:r>
      <w:r w:rsidRPr="00D629B8">
        <w:rPr>
          <w:strike/>
        </w:rPr>
        <w:lastRenderedPageBreak/>
        <w:t>caution that market data can quickly become outdated and may not reflect regional variations or differences in job design, limiting its accuracy if used in isolation.</w:t>
      </w:r>
    </w:p>
    <w:p w14:paraId="166699EA" w14:textId="77777777" w:rsidR="00F208A5" w:rsidRPr="00D629B8" w:rsidRDefault="00F208A5" w:rsidP="00D629B8">
      <w:pPr>
        <w:rPr>
          <w:strike/>
        </w:rPr>
      </w:pPr>
      <w:r w:rsidRPr="00D629B8">
        <w:rPr>
          <w:strike/>
        </w:rPr>
        <w:t>Industry benchmarking allows organisations to compare reward practices with similar employers operating in the same sector. For ParcelCare, benchmarking against other national logistics or delivery organisations can provide insight into common pay structures, benefits and incentive schemes. </w:t>
      </w:r>
      <w:r w:rsidRPr="00D629B8">
        <w:rPr>
          <w:i/>
          <w:iCs/>
          <w:strike/>
        </w:rPr>
        <w:t>HR Magazine</w:t>
      </w:r>
      <w:r w:rsidRPr="00D629B8">
        <w:rPr>
          <w:strike/>
        </w:rPr>
        <w:t> (2022) notes that industry benchmarking helps organisations remain competitive while maintaining sector norms. Its limitation is that it can encourage conformity rather than innovation, particularly if the wider sector is also experiencing retention challenges.</w:t>
      </w:r>
    </w:p>
    <w:p w14:paraId="792B5C2E" w14:textId="77777777" w:rsidR="00F208A5" w:rsidRPr="00D629B8" w:rsidRDefault="00F208A5" w:rsidP="00F208A5">
      <w:pPr>
        <w:rPr>
          <w:strike/>
        </w:rPr>
      </w:pPr>
      <w:r w:rsidRPr="00D629B8">
        <w:rPr>
          <w:strike/>
        </w:rPr>
        <w:t>Internal benchmarking compares reward outcomes across departments, roles or locations within the organisation. This approach helps identify inconsistencies in pay, benefits or reward outcomes and supports internal equity. For ParcelCare, comparing turnover rates, absence levels and performance outcomes across depots can highlight where reward practices may be contributing to disengagement. While internal benchmarking supports fairness, it does not provide insight into external competitiveness and therefore must be complemented by market data.</w:t>
      </w:r>
    </w:p>
    <w:p w14:paraId="0F7C3711" w14:textId="77777777" w:rsidR="00F208A5" w:rsidRPr="00D629B8" w:rsidRDefault="00F208A5" w:rsidP="00F208A5">
      <w:pPr>
        <w:rPr>
          <w:strike/>
        </w:rPr>
      </w:pPr>
      <w:r w:rsidRPr="00D629B8">
        <w:rPr>
          <w:strike/>
        </w:rPr>
        <w:t>Benchmarking insight is strengthened when quantitative and qualitative measures are combined. Quantitative data such as pay medians, turnover rates and reward costs provide objective comparison, while qualitative data from employee surveys, exit interviews and engagement scores explain how reward is perceived. </w:t>
      </w:r>
      <w:r w:rsidRPr="00D629B8">
        <w:rPr>
          <w:i/>
          <w:iCs/>
          <w:strike/>
        </w:rPr>
        <w:t>Harvard Business Review</w:t>
      </w:r>
      <w:r w:rsidRPr="00D629B8">
        <w:rPr>
          <w:strike/>
        </w:rPr>
        <w:t>(2019) suggests that combining metrics with employee feedback enables organisations to understand not just what differs, but why it matters. However, qualitative data can be subjective and requires careful interpretation.</w:t>
      </w:r>
    </w:p>
    <w:p w14:paraId="2B593F73" w14:textId="77777777" w:rsidR="00F208A5" w:rsidRPr="00D629B8" w:rsidRDefault="00F208A5" w:rsidP="00F208A5">
      <w:pPr>
        <w:rPr>
          <w:strike/>
        </w:rPr>
      </w:pPr>
      <w:r w:rsidRPr="00D629B8">
        <w:rPr>
          <w:strike/>
        </w:rPr>
        <w:t>Overall, the most appropriate benchmarking approach for ParcelCare is a blended one, combining external market data, sector benchmarking and internal metrics. When measured carefully and reviewed regularly, benchmarking provides meaningful insight that supports informed reward decisions and long-term workforce sustainability.</w:t>
      </w:r>
    </w:p>
    <w:p w14:paraId="3DCAE2F4" w14:textId="25C9214E" w:rsidR="00D629B8" w:rsidRPr="00D629B8" w:rsidRDefault="00D629B8" w:rsidP="00D629B8">
      <w:pPr>
        <w:rPr>
          <w:color w:val="FF0000"/>
        </w:rPr>
      </w:pPr>
      <w:r w:rsidRPr="00D629B8">
        <w:rPr>
          <w:color w:val="FF0000"/>
        </w:rPr>
        <w:t>Benchmarking enables organisations to compare reward practices against external and internal data to make informed decisions. For GreenFriendlyEco, which is experiencing high turnover and limited incentive provision, benchmarking is essential to understand whether current reward practices are competitive and effective.</w:t>
      </w:r>
    </w:p>
    <w:p w14:paraId="2B718FF2" w14:textId="77777777" w:rsidR="00D629B8" w:rsidRPr="00D629B8" w:rsidRDefault="00D629B8" w:rsidP="00D629B8">
      <w:pPr>
        <w:rPr>
          <w:color w:val="FF0000"/>
        </w:rPr>
      </w:pPr>
      <w:r w:rsidRPr="00D629B8">
        <w:rPr>
          <w:color w:val="FF0000"/>
        </w:rPr>
        <w:t xml:space="preserve">One key method of gathering benchmarking data is external salary surveys produced by professional bodies or reward consultancies. These provide information on pay levels, benefits and reward trends across sectors. CIPD (2023) highlights that salary surveys help organisations assess their market position and identify pay gaps. For GreenFriendlyEco, using manufacturing-sector salary data would provide valuable insight into whether current pay levels are competitive enough to attract and retain skilled employees. However, salary surveys can quickly become outdated and may not </w:t>
      </w:r>
      <w:r w:rsidRPr="00D629B8">
        <w:rPr>
          <w:color w:val="FF0000"/>
        </w:rPr>
        <w:lastRenderedPageBreak/>
        <w:t>reflect regional variations or differences in job design (Armstrong and Taylor, 2023). This means they are most useful when combined with other sources of data rather than used in isolation.</w:t>
      </w:r>
    </w:p>
    <w:p w14:paraId="3EAC0092" w14:textId="77777777" w:rsidR="00D629B8" w:rsidRPr="00D629B8" w:rsidRDefault="00D629B8" w:rsidP="00D629B8">
      <w:pPr>
        <w:rPr>
          <w:color w:val="FF0000"/>
        </w:rPr>
      </w:pPr>
      <w:r w:rsidRPr="00D629B8">
        <w:rPr>
          <w:color w:val="FF0000"/>
        </w:rPr>
        <w:t>Another important approach is industry benchmarking, where organisations compare reward practices with similar organisations in the same sector. This is particularly relevant for GreenFriendlyEco, as manufacturing roles often require specialised skills. Comparing benefits, incentives and pay structures with other manufacturing organisations can help identify areas where the company may be falling behind. The limitation of this approach is that organisations may simply follow industry norms rather than develop innovative reward strategies that support competitive advantage.</w:t>
      </w:r>
    </w:p>
    <w:p w14:paraId="679EA9B8" w14:textId="77777777" w:rsidR="00D629B8" w:rsidRPr="00D629B8" w:rsidRDefault="00D629B8" w:rsidP="00D629B8">
      <w:pPr>
        <w:rPr>
          <w:color w:val="FF0000"/>
        </w:rPr>
      </w:pPr>
      <w:r w:rsidRPr="00D629B8">
        <w:rPr>
          <w:color w:val="FF0000"/>
        </w:rPr>
        <w:t>Internal benchmarking is also valuable and involves analysing reward outcomes within the organisation. This may include comparing turnover rates, absence levels, engagement scores or performance outcomes across departments. Armstrong and Taylor (2023) suggest that internal benchmarking helps identify inconsistencies and supports fairness. For GreenFriendlyEco, analysing turnover by job type or department could help identify where reward improvements are most needed. However, internal benchmarking does not provide insight into external competitiveness and must therefore be combined with external data.</w:t>
      </w:r>
    </w:p>
    <w:p w14:paraId="4CE1D906" w14:textId="77777777" w:rsidR="00D629B8" w:rsidRPr="00D629B8" w:rsidRDefault="00D629B8" w:rsidP="00D629B8">
      <w:pPr>
        <w:rPr>
          <w:color w:val="FF0000"/>
        </w:rPr>
      </w:pPr>
      <w:r w:rsidRPr="00D629B8">
        <w:rPr>
          <w:color w:val="FF0000"/>
        </w:rPr>
        <w:t>Benchmarking insight is strongest when quantitative and qualitative data are combined. Quantitative data such as pay levels and turnover rates provide measurable comparisons, while qualitative data from employee surveys or exit interviews help explain employee perceptions. Research suggests that combining people analytics with employee feedback provides more meaningful insight into reward effectiveness (HBR, 2019). For GreenFriendlyEco, analysing exit interview feedback alongside pay data could provide a clearer understanding of why employees leave.</w:t>
      </w:r>
    </w:p>
    <w:p w14:paraId="19E3E211" w14:textId="59E00D99" w:rsidR="00F208A5" w:rsidRPr="00D629B8" w:rsidRDefault="00D629B8" w:rsidP="00F208A5">
      <w:pPr>
        <w:rPr>
          <w:color w:val="FF0000"/>
        </w:rPr>
      </w:pPr>
      <w:r w:rsidRPr="00D629B8">
        <w:rPr>
          <w:color w:val="FF0000"/>
        </w:rPr>
        <w:t>Overall, the most appropriate approach for GreenFriendlyEco is a blended benchmarking strategy combining external market data, industry comparisons and internal workforce metrics. Using multiple sources allows the organisation to develop a more complete and reliable understanding of its reward position and identify areas for improvement.</w:t>
      </w:r>
    </w:p>
    <w:p w14:paraId="56645DFF" w14:textId="77777777" w:rsidR="00F208A5" w:rsidRPr="00D629B8" w:rsidRDefault="00F208A5" w:rsidP="00F208A5">
      <w:pPr>
        <w:rPr>
          <w:strike/>
        </w:rPr>
      </w:pPr>
      <w:r w:rsidRPr="00D629B8">
        <w:rPr>
          <w:strike/>
        </w:rPr>
        <w:t>AC 3.3</w:t>
      </w:r>
    </w:p>
    <w:p w14:paraId="6376E5D6" w14:textId="77777777" w:rsidR="00F208A5" w:rsidRPr="00D629B8" w:rsidRDefault="00F208A5" w:rsidP="00F208A5">
      <w:pPr>
        <w:rPr>
          <w:strike/>
        </w:rPr>
      </w:pPr>
      <w:r w:rsidRPr="00D629B8">
        <w:rPr>
          <w:strike/>
        </w:rPr>
        <w:t>Job evaluation is a systematic process used to determine the relative value of jobs within an organisation. Its purpose is to support fair and consistent pay structures by assessing roles based on their content rather than the individual performing them. Different approaches to job evaluation vary in complexity, objectivity and suitability depending on organisational needs.</w:t>
      </w:r>
    </w:p>
    <w:p w14:paraId="635C39A7" w14:textId="77777777" w:rsidR="00F208A5" w:rsidRPr="00D629B8" w:rsidRDefault="00F208A5" w:rsidP="00F208A5">
      <w:pPr>
        <w:rPr>
          <w:strike/>
        </w:rPr>
      </w:pPr>
      <w:r w:rsidRPr="00D629B8">
        <w:rPr>
          <w:strike/>
        </w:rPr>
        <w:lastRenderedPageBreak/>
        <w:t>One commonly used approach is analytical job evaluation, which breaks jobs down into defined factors such as skills, responsibility, effort and working conditions. Each factor is weighted and scored, allowing roles to be compared objectively. Armstrong and Taylor (2023) explain that analytical methods are widely regarded as more robust and defensible, particularly in large organisations. For ParcelCare, analytical job evaluation could support fairness across operational and supervisory roles by ensuring pay decisions are based on consistent criteria. This approach is also useful in supporting equal pay compliance, as it provides a clear audit trail.</w:t>
      </w:r>
    </w:p>
    <w:p w14:paraId="641C9F9F" w14:textId="77777777" w:rsidR="00F208A5" w:rsidRPr="00D629B8" w:rsidRDefault="00F208A5" w:rsidP="00F208A5">
      <w:pPr>
        <w:rPr>
          <w:strike/>
        </w:rPr>
      </w:pPr>
      <w:r w:rsidRPr="00D629B8">
        <w:rPr>
          <w:strike/>
        </w:rPr>
        <w:t>In contrast, non-analytical job evaluation methods assess jobs as a whole rather than by individual factors. Examples include job ranking and job classification. Job ranking involves placing roles in a hierarchy from highest to lowest value, while job classification matches roles to pre-defined grade descriptions. CIPD (2023) notes that non-analytical methods are simpler and quicker to apply but rely more heavily on judgement. For ParcelCare, these approaches may be suitable for smaller teams or less complex roles, though they may lack the precision needed in a large, operationally diverse organisation.</w:t>
      </w:r>
    </w:p>
    <w:p w14:paraId="39247C71" w14:textId="77777777" w:rsidR="00F208A5" w:rsidRPr="00D629B8" w:rsidRDefault="00F208A5" w:rsidP="00F208A5">
      <w:pPr>
        <w:rPr>
          <w:strike/>
        </w:rPr>
      </w:pPr>
      <w:r w:rsidRPr="00D629B8">
        <w:rPr>
          <w:strike/>
        </w:rPr>
        <w:t>A further approach is market-based job evaluation, which uses external pay data to assess job value. This involves comparing roles against similar jobs in the external labour market. Armstrong and Taylor (2023) highlight that market pricing can be useful where recruitment and retention pressures are high. For ParcelCare, market-based evaluation may be appropriate for hard-to-fill roles such as drivers, where external competitiveness is critical. However, this approach focuses on external value rather than internal relativities and is therefore often used alongside other methods.</w:t>
      </w:r>
    </w:p>
    <w:p w14:paraId="47C6C12F" w14:textId="77777777" w:rsidR="00F208A5" w:rsidRPr="00D629B8" w:rsidRDefault="00F208A5" w:rsidP="00F208A5">
      <w:pPr>
        <w:rPr>
          <w:strike/>
        </w:rPr>
      </w:pPr>
      <w:r w:rsidRPr="00D629B8">
        <w:rPr>
          <w:strike/>
        </w:rPr>
        <w:t>Hybrid approaches combine analytical evaluation with market data to balance internal fairness and external competitiveness. </w:t>
      </w:r>
      <w:r w:rsidRPr="00D629B8">
        <w:rPr>
          <w:i/>
          <w:iCs/>
          <w:strike/>
        </w:rPr>
        <w:t>HR Magazine</w:t>
      </w:r>
      <w:r w:rsidRPr="00D629B8">
        <w:rPr>
          <w:strike/>
        </w:rPr>
        <w:t> (2022) suggests that hybrid models are increasingly common, particularly in sectors facing labour shortages. For ParcelCare, combining analytical evaluation with market benchmarking could support equitable pay structures while responding to labour market realities.</w:t>
      </w:r>
    </w:p>
    <w:p w14:paraId="2EEE0284" w14:textId="77777777" w:rsidR="00F208A5" w:rsidRPr="00D629B8" w:rsidRDefault="00F208A5" w:rsidP="00F208A5">
      <w:pPr>
        <w:rPr>
          <w:strike/>
        </w:rPr>
      </w:pPr>
      <w:r w:rsidRPr="00D629B8">
        <w:rPr>
          <w:strike/>
        </w:rPr>
        <w:t>Overall, different job evaluation approaches offer varying levels of objectivity, flexibility and complexity. Selecting the most appropriate approach depends on organisational size, workforce diversity and strategic priorities, with many organisations adopting blended methods to meet multiple reward objectives.</w:t>
      </w:r>
    </w:p>
    <w:p w14:paraId="13FA4844" w14:textId="77777777" w:rsidR="00D629B8" w:rsidRPr="00D629B8" w:rsidRDefault="00D629B8" w:rsidP="00D629B8">
      <w:pPr>
        <w:rPr>
          <w:color w:val="FF0000"/>
        </w:rPr>
      </w:pPr>
      <w:r w:rsidRPr="00D629B8">
        <w:rPr>
          <w:color w:val="FF0000"/>
        </w:rPr>
        <w:t>Job evaluation is a systematic process used to determine the relative value of jobs within an organisation. Its purpose is to support fair and consistent pay structures by assessing roles based on their requirements rather than the individuals performing them. This is particularly relevant for GreenFriendlyEco, where reward schemes currently favour senior staff and there is a need to improve fairness and transparency across the organisation (Armstrong and Taylor, 2023).</w:t>
      </w:r>
    </w:p>
    <w:p w14:paraId="03B30F41" w14:textId="77777777" w:rsidR="00D629B8" w:rsidRPr="00D629B8" w:rsidRDefault="00D629B8" w:rsidP="00D629B8">
      <w:pPr>
        <w:rPr>
          <w:color w:val="FF0000"/>
        </w:rPr>
      </w:pPr>
      <w:r w:rsidRPr="00D629B8">
        <w:rPr>
          <w:color w:val="FF0000"/>
        </w:rPr>
        <w:lastRenderedPageBreak/>
        <w:t>One common approach is analytical job evaluation, which breaks jobs down into defined factors such as skills, responsibility, effort and working conditions. Each factor is scored, allowing roles to be compared in a structured and objective way. Analytical methods are often viewed as the most robust because they provide a clear and defendable basis for pay decisions (CIPD, 2023). For GreenFriendlyEco, this approach could help ensure production, technical and managerial roles are evaluated consistently and fairly, supporting greater transparency and trust.</w:t>
      </w:r>
    </w:p>
    <w:p w14:paraId="075CED16" w14:textId="5A9A0ADE" w:rsidR="00D629B8" w:rsidRPr="00D629B8" w:rsidRDefault="00D629B8" w:rsidP="00D629B8">
      <w:pPr>
        <w:rPr>
          <w:color w:val="FF0000"/>
        </w:rPr>
      </w:pPr>
      <w:r w:rsidRPr="00D629B8">
        <w:rPr>
          <w:color w:val="FF0000"/>
        </w:rPr>
        <w:t>In contrast, non-analytical job evaluation methods assess jobs rather than using individual factors. Examples include job ranking and job classification. Job ranking involves placing roles in order of importance, while job classification matches roles to predefined grade descriptions. These approaches are simpler and quicker to apply but rely more heavily on judgement (Armstrong and Taylor, 2023). While they may be useful in smaller organisations, they may lack the level of detail needed for GreenFriendlyEco as the organisation develops more structured reward systems.</w:t>
      </w:r>
    </w:p>
    <w:p w14:paraId="13000883" w14:textId="77777777" w:rsidR="00D629B8" w:rsidRPr="00D629B8" w:rsidRDefault="00D629B8" w:rsidP="00D629B8">
      <w:pPr>
        <w:rPr>
          <w:color w:val="FF0000"/>
        </w:rPr>
      </w:pPr>
      <w:r w:rsidRPr="00D629B8">
        <w:rPr>
          <w:color w:val="FF0000"/>
        </w:rPr>
        <w:t>A further approach is market-based job evaluation, which compares roles with similar positions in the external labour market. This approach is often used for roles that are difficult to recruit or retain (CIPD, 2023). For GreenFriendlyEco, market pricing could help ensure competitive pay for skilled technical roles. However, relying solely on market data may create internal pay inconsistencies, as external value does not always reflect internal job relationships.</w:t>
      </w:r>
    </w:p>
    <w:p w14:paraId="035340D1" w14:textId="77777777" w:rsidR="00D629B8" w:rsidRPr="00D629B8" w:rsidRDefault="00D629B8" w:rsidP="00D629B8">
      <w:pPr>
        <w:rPr>
          <w:color w:val="FF0000"/>
        </w:rPr>
      </w:pPr>
      <w:r w:rsidRPr="00D629B8">
        <w:rPr>
          <w:color w:val="FF0000"/>
        </w:rPr>
        <w:t>Many organisations use hybrid approaches, combining analytical job evaluation with market data to balance internal equity and external competitiveness. Research suggests that combining job evaluation with market benchmarking provides a more balanced and effective approach to pay design (Milkovich, Newman and Gerhart, 2020).</w:t>
      </w:r>
    </w:p>
    <w:p w14:paraId="589296DE" w14:textId="03768F43" w:rsidR="00F208A5" w:rsidRPr="00D629B8" w:rsidRDefault="00D629B8" w:rsidP="00F208A5">
      <w:pPr>
        <w:rPr>
          <w:color w:val="FF0000"/>
        </w:rPr>
      </w:pPr>
      <w:r w:rsidRPr="00D629B8">
        <w:rPr>
          <w:color w:val="FF0000"/>
        </w:rPr>
        <w:t>Overall, job evaluation provides a structured foundation for fair and transparent reward practices. For GreenFriendlyEco, adopting a clear job evaluation approach would support consistent pay decisions and help address perceptions of inequality.</w:t>
      </w:r>
    </w:p>
    <w:p w14:paraId="0AB29F90" w14:textId="77777777" w:rsidR="00F208A5" w:rsidRPr="00D629B8" w:rsidRDefault="00F208A5" w:rsidP="00F208A5">
      <w:pPr>
        <w:rPr>
          <w:strike/>
        </w:rPr>
      </w:pPr>
      <w:r w:rsidRPr="00D629B8">
        <w:rPr>
          <w:strike/>
        </w:rPr>
        <w:t>AC 3.4</w:t>
      </w:r>
    </w:p>
    <w:p w14:paraId="01A013C9" w14:textId="77777777" w:rsidR="00F208A5" w:rsidRPr="00D629B8" w:rsidRDefault="00F208A5" w:rsidP="00F208A5">
      <w:pPr>
        <w:rPr>
          <w:strike/>
        </w:rPr>
      </w:pPr>
      <w:r w:rsidRPr="00D629B8">
        <w:rPr>
          <w:strike/>
        </w:rPr>
        <w:t>Reward practice is shaped by a range of legislative requirements designed to ensure fairness, transparency and legal compliance. For organisations such as ParcelCare, operating across the UK with a large operational workforce, understanding and complying with these requirements is essential to avoid legal risk and maintain employee trust.</w:t>
      </w:r>
    </w:p>
    <w:p w14:paraId="7523A988" w14:textId="77777777" w:rsidR="00F208A5" w:rsidRPr="00D629B8" w:rsidRDefault="00F208A5" w:rsidP="00F208A5">
      <w:pPr>
        <w:rPr>
          <w:strike/>
        </w:rPr>
      </w:pPr>
      <w:r w:rsidRPr="00D629B8">
        <w:rPr>
          <w:strike/>
        </w:rPr>
        <w:t xml:space="preserve">One of the most significant areas of legislation affecting reward is pay and wage regulation. The National Minimum Wage and National Living Wage set statutory minimum pay levels that employers must meet. Daniels (2022) explains that failure to comply can result in financial penalties, reputational damage and employee claims. For </w:t>
      </w:r>
      <w:r w:rsidRPr="00D629B8">
        <w:rPr>
          <w:strike/>
        </w:rPr>
        <w:lastRenderedPageBreak/>
        <w:t>ParcelCare, where many employees are paid hourly, ensuring that basic pay, overtime and deductions do not reduce earnings below statutory thresholds is critical.</w:t>
      </w:r>
    </w:p>
    <w:p w14:paraId="742BCA5A" w14:textId="77777777" w:rsidR="00F208A5" w:rsidRPr="00D629B8" w:rsidRDefault="00F208A5" w:rsidP="00F208A5">
      <w:pPr>
        <w:rPr>
          <w:strike/>
        </w:rPr>
      </w:pPr>
      <w:r w:rsidRPr="00D629B8">
        <w:rPr>
          <w:strike/>
        </w:rPr>
        <w:t>Equality legislation also has a major impact on reward practice. The Equality Act 2010 requires organisations to provide equal pay for equal work, preventing discrimination on the grounds of protected characteristics such as sex, race, age or disability. Armstrong and Taylor (2023) note that pay systems must be transparent and based on objective criteria to reduce the risk of unequal pay claims. For ParcelCare, consistent job evaluation and grading structures help ensure reward decisions are fair and defensible across roles and locations.</w:t>
      </w:r>
    </w:p>
    <w:p w14:paraId="4EFEE57E" w14:textId="77777777" w:rsidR="00F208A5" w:rsidRPr="00D629B8" w:rsidRDefault="00F208A5" w:rsidP="00F208A5">
      <w:pPr>
        <w:rPr>
          <w:strike/>
        </w:rPr>
      </w:pPr>
      <w:r w:rsidRPr="00D629B8">
        <w:rPr>
          <w:strike/>
        </w:rPr>
        <w:t>Legislation governing working time and pay for working hours further influences reward. The Working Time Regulations 1998 set limits on weekly working hours and entitle employees to paid annual leave. Pay calculations must correctly reflect holiday pay, including regular overtime where applicable. Daniels (2022) highlights that incorrect holiday pay calculations are a common source of legal challenge. For ParcelCare, accurate payroll systems are essential given shift patterns, overtime and variable working hours.</w:t>
      </w:r>
    </w:p>
    <w:p w14:paraId="23B6E3EC" w14:textId="77777777" w:rsidR="00F208A5" w:rsidRPr="00D629B8" w:rsidRDefault="00F208A5" w:rsidP="00F208A5">
      <w:pPr>
        <w:rPr>
          <w:strike/>
        </w:rPr>
      </w:pPr>
      <w:r w:rsidRPr="00D629B8">
        <w:rPr>
          <w:strike/>
        </w:rPr>
        <w:t>Reward practices are also affected by taxation and pension legislation. Employers must comply with PAYE and National Insurance requirements, as well as automatic enrolment pension duties. Armstrong and Taylor (2023) emphasise that pension contributions form a core part of the reward package and must meet minimum statutory levels. For ParcelCare, compliance with pension legislation supports financial wellbeing while ensuring legal obligations are met.</w:t>
      </w:r>
    </w:p>
    <w:p w14:paraId="3A52A3B6" w14:textId="77777777" w:rsidR="00F208A5" w:rsidRPr="00D629B8" w:rsidRDefault="00F208A5" w:rsidP="00F208A5">
      <w:pPr>
        <w:rPr>
          <w:strike/>
        </w:rPr>
      </w:pPr>
      <w:r w:rsidRPr="00D629B8">
        <w:rPr>
          <w:strike/>
        </w:rPr>
        <w:t>Finally, contract law influences how reward changes are implemented. Pay rates, bonuses and benefits that are contractual cannot be changed unilaterally without employee agreement. CIPD (2023) highlights that improper changes to reward can result in breach of contract or constructive dismissal claims. This is particularly relevant for ParcelCare if reward structures are reviewed to address retention challenges.</w:t>
      </w:r>
    </w:p>
    <w:p w14:paraId="546D2B25" w14:textId="44304E1A" w:rsidR="00F208A5" w:rsidRPr="00D629B8" w:rsidRDefault="00F208A5" w:rsidP="00F208A5">
      <w:pPr>
        <w:rPr>
          <w:strike/>
        </w:rPr>
      </w:pPr>
      <w:r w:rsidRPr="00D629B8">
        <w:rPr>
          <w:strike/>
        </w:rPr>
        <w:t>Overall, legislative requirements set clear boundaries for reward practice. For ParcelCare, ensuring compliance supports fairness, protects employees and enables reward strategies to be implemented lawfully and sustainably.</w:t>
      </w:r>
    </w:p>
    <w:p w14:paraId="283EA2C8" w14:textId="212A0015" w:rsidR="00D629B8" w:rsidRPr="00D629B8" w:rsidRDefault="00D629B8" w:rsidP="00D629B8">
      <w:pPr>
        <w:rPr>
          <w:color w:val="FF0000"/>
        </w:rPr>
      </w:pPr>
      <w:r w:rsidRPr="00D629B8">
        <w:rPr>
          <w:color w:val="FF0000"/>
        </w:rPr>
        <w:t>Reward practice must operate within a clear legal framework to ensure fairness, compliance and protection for both employees and the organisation. For GreenFriendlyEco, any review of pay, benefits or incentive schemes must take account of key employment legislation to avoid legal and reputational risk.</w:t>
      </w:r>
    </w:p>
    <w:p w14:paraId="05F79891" w14:textId="587B1607" w:rsidR="00D629B8" w:rsidRPr="00D629B8" w:rsidRDefault="00D629B8" w:rsidP="00D629B8">
      <w:pPr>
        <w:rPr>
          <w:color w:val="FF0000"/>
        </w:rPr>
      </w:pPr>
      <w:r w:rsidRPr="00D629B8">
        <w:rPr>
          <w:color w:val="FF0000"/>
        </w:rPr>
        <w:t xml:space="preserve">One of the most significant legal influences is the Equality Act 2010, which protects employees from discrimination based on protected characteristics such as age, sex, race and disability. The Act includes provisions relating to equal pay, meaning men and </w:t>
      </w:r>
      <w:r w:rsidRPr="00D629B8">
        <w:rPr>
          <w:color w:val="FF0000"/>
        </w:rPr>
        <w:lastRenderedPageBreak/>
        <w:t>women performing equal work must receive equal pay and contractual benefits. Reward structures, bonus schemes and benefits must therefore be objectively justified and free from bias. If GreenFriendlyEco introduces new incentive arrangements, they must ensure these do not indirectly disadvantage certain groups, for example through criteria that could disproportionately impact part-time employees.</w:t>
      </w:r>
    </w:p>
    <w:p w14:paraId="06A4B837" w14:textId="77777777" w:rsidR="00D629B8" w:rsidRPr="00D629B8" w:rsidRDefault="00D629B8" w:rsidP="00D629B8">
      <w:pPr>
        <w:rPr>
          <w:color w:val="FF0000"/>
        </w:rPr>
      </w:pPr>
      <w:r w:rsidRPr="00D629B8">
        <w:rPr>
          <w:color w:val="FF0000"/>
        </w:rPr>
        <w:t>The National Minimum Wage and National Living Wage legislation also directly impacts reward practice. Employers are legally required to ensure that pay, including certain bonuses and incentives, does not fall below statutory minimum levels. For manufacturing organisations such as GreenFriendlyEco, careful monitoring is required to ensure compliance, particularly where overtime or variable pay arrangements are used.</w:t>
      </w:r>
    </w:p>
    <w:p w14:paraId="783BB8AB" w14:textId="77777777" w:rsidR="00D629B8" w:rsidRPr="00D629B8" w:rsidRDefault="00D629B8" w:rsidP="00D629B8">
      <w:pPr>
        <w:rPr>
          <w:color w:val="FF0000"/>
        </w:rPr>
      </w:pPr>
      <w:r w:rsidRPr="00D629B8">
        <w:rPr>
          <w:color w:val="FF0000"/>
        </w:rPr>
        <w:t>The Employment Rights Act 1996 further affects reward practice by requiring that employees receive clear written statements of terms and conditions, including pay and benefits. Any variation to reward arrangements must be handled carefully and with appropriate consultation to avoid breach of contract claims (Daniels, 2022). If GreenFriendlyEco seeks to introduce new reward schemes, consultation and transparent communication would be essential.</w:t>
      </w:r>
    </w:p>
    <w:p w14:paraId="26287C26" w14:textId="77777777" w:rsidR="00D629B8" w:rsidRPr="00D629B8" w:rsidRDefault="00D629B8" w:rsidP="00D629B8">
      <w:pPr>
        <w:rPr>
          <w:color w:val="FF0000"/>
        </w:rPr>
      </w:pPr>
      <w:r w:rsidRPr="00D629B8">
        <w:rPr>
          <w:color w:val="FF0000"/>
        </w:rPr>
        <w:t>Legislation relating to working time and paid leave, including the Working Time Regulations 1998, also impacts reward calculations, particularly in relation to holiday pay. Case law has established that regular overtime and certain allowances may need to be included in holiday pay calculations, which has implications for how reward is structured and costed.</w:t>
      </w:r>
    </w:p>
    <w:p w14:paraId="7A2F733A" w14:textId="77777777" w:rsidR="00D629B8" w:rsidRPr="00D629B8" w:rsidRDefault="00D629B8" w:rsidP="00D629B8">
      <w:pPr>
        <w:rPr>
          <w:color w:val="FF0000"/>
        </w:rPr>
      </w:pPr>
      <w:r w:rsidRPr="00D629B8">
        <w:rPr>
          <w:color w:val="FF0000"/>
        </w:rPr>
        <w:t xml:space="preserve">Finally, pension legislation, including auto-enrolment requirements, affects reward packages by mandating minimum employer pension contributions. This forms part of the wider total reward </w:t>
      </w:r>
      <w:proofErr w:type="gramStart"/>
      <w:r w:rsidRPr="00D629B8">
        <w:rPr>
          <w:color w:val="FF0000"/>
        </w:rPr>
        <w:t>offer</w:t>
      </w:r>
      <w:proofErr w:type="gramEnd"/>
      <w:r w:rsidRPr="00D629B8">
        <w:rPr>
          <w:color w:val="FF0000"/>
        </w:rPr>
        <w:t xml:space="preserve"> and must be factored into overall reward strategy.</w:t>
      </w:r>
    </w:p>
    <w:p w14:paraId="09646578" w14:textId="77777777" w:rsidR="00D629B8" w:rsidRPr="00D629B8" w:rsidRDefault="00D629B8" w:rsidP="00D629B8">
      <w:pPr>
        <w:rPr>
          <w:color w:val="FF0000"/>
        </w:rPr>
      </w:pPr>
      <w:r w:rsidRPr="00D629B8">
        <w:rPr>
          <w:color w:val="FF0000"/>
        </w:rPr>
        <w:t>Overall, reward practice is shaped by equality law, wage legislation, employment rights and pension regulations. For GreenFriendlyEco, ensuring legal compliance is essential when reviewing pay structures or introducing new reward initiatives, both to protect the organisation and to promote fairness and trust within the workforce.</w:t>
      </w:r>
    </w:p>
    <w:p w14:paraId="024AD743" w14:textId="77777777" w:rsidR="00D629B8" w:rsidRPr="00D629B8" w:rsidRDefault="00D629B8" w:rsidP="00F208A5">
      <w:pPr>
        <w:rPr>
          <w:color w:val="FF0000"/>
        </w:rPr>
      </w:pPr>
    </w:p>
    <w:p w14:paraId="7B1D0F11" w14:textId="77777777" w:rsidR="00F208A5" w:rsidRDefault="00F208A5" w:rsidP="00F208A5"/>
    <w:p w14:paraId="452B7C52" w14:textId="77777777" w:rsidR="00D629B8" w:rsidRDefault="00D629B8" w:rsidP="00F208A5"/>
    <w:p w14:paraId="1A295C2F" w14:textId="77777777" w:rsidR="00D629B8" w:rsidRDefault="00D629B8" w:rsidP="00F208A5"/>
    <w:p w14:paraId="17882DA8" w14:textId="77777777" w:rsidR="00D629B8" w:rsidRPr="00D629B8" w:rsidRDefault="00D629B8" w:rsidP="00F208A5"/>
    <w:p w14:paraId="24D7FD35" w14:textId="77777777" w:rsidR="00F208A5" w:rsidRPr="00D629B8" w:rsidRDefault="00F208A5" w:rsidP="00F208A5"/>
    <w:p w14:paraId="2DAC3CFD" w14:textId="77777777" w:rsidR="00D629B8" w:rsidRPr="00D629B8" w:rsidRDefault="00D629B8" w:rsidP="00D629B8">
      <w:pPr>
        <w:rPr>
          <w:b/>
          <w:bCs/>
        </w:rPr>
      </w:pPr>
      <w:r w:rsidRPr="00D629B8">
        <w:rPr>
          <w:b/>
          <w:bCs/>
        </w:rPr>
        <w:lastRenderedPageBreak/>
        <w:t>Bibliography</w:t>
      </w:r>
    </w:p>
    <w:p w14:paraId="43AC8808" w14:textId="77777777" w:rsidR="00D629B8" w:rsidRPr="00D629B8" w:rsidRDefault="00D629B8" w:rsidP="00D629B8">
      <w:r w:rsidRPr="00D629B8">
        <w:t>Adams, J.S. (1965) ‘Inequity in social exchange’, Advances in Experimental Social Psychology, 2, pp. 267–299.</w:t>
      </w:r>
    </w:p>
    <w:p w14:paraId="4CEB77BE" w14:textId="77777777" w:rsidR="00D629B8" w:rsidRPr="00D629B8" w:rsidRDefault="00D629B8" w:rsidP="00D629B8">
      <w:r w:rsidRPr="00D629B8">
        <w:t>Aguinis, H. (2019) Performance Management. 4th edn. Chicago: Chicago Business Press.</w:t>
      </w:r>
    </w:p>
    <w:p w14:paraId="005D8FE4" w14:textId="77777777" w:rsidR="00D629B8" w:rsidRPr="00D629B8" w:rsidRDefault="00D629B8" w:rsidP="00D629B8">
      <w:r w:rsidRPr="00D629B8">
        <w:t>Armstrong, M. and Taylor, S. (2023) Armstrong’s Handbook of Human Resource Management Practice. 16th edn. London: Kogan Page.</w:t>
      </w:r>
    </w:p>
    <w:p w14:paraId="2065C578" w14:textId="5520B788" w:rsidR="00D629B8" w:rsidRPr="00D629B8" w:rsidRDefault="00D629B8" w:rsidP="00D629B8">
      <w:r w:rsidRPr="00D629B8">
        <w:t xml:space="preserve">CIPD (2023) Employee benefits factsheet. Available at: https://www.cipd.org/uk/knowledge/factsheets/benefits-factsheet/ Accessed </w:t>
      </w:r>
      <w:r w:rsidR="00F85FFF">
        <w:t>24</w:t>
      </w:r>
      <w:r w:rsidR="00F85FFF" w:rsidRPr="00F85FFF">
        <w:rPr>
          <w:vertAlign w:val="superscript"/>
        </w:rPr>
        <w:t>th</w:t>
      </w:r>
      <w:r w:rsidR="00F85FFF">
        <w:t xml:space="preserve"> February</w:t>
      </w:r>
      <w:r w:rsidR="00F85FFF" w:rsidRPr="00D629B8">
        <w:t xml:space="preserve"> </w:t>
      </w:r>
      <w:r w:rsidRPr="00D629B8">
        <w:t>2026.</w:t>
      </w:r>
    </w:p>
    <w:p w14:paraId="7B554370" w14:textId="6B64E42D" w:rsidR="00D629B8" w:rsidRPr="00D629B8" w:rsidRDefault="00D629B8" w:rsidP="00D629B8">
      <w:r w:rsidRPr="00D629B8">
        <w:t>CIPD (2023) Employee recognition factsheet. Available at: </w:t>
      </w:r>
      <w:r>
        <w:t>h</w:t>
      </w:r>
      <w:r w:rsidRPr="00D629B8">
        <w:t xml:space="preserve">ttps://www.cipd.org/en/knowledge/evidence-reviews/evidence-financial-incentives/ Accessed </w:t>
      </w:r>
      <w:r w:rsidR="00F85FFF">
        <w:t>24</w:t>
      </w:r>
      <w:r w:rsidR="00F85FFF" w:rsidRPr="00F85FFF">
        <w:rPr>
          <w:vertAlign w:val="superscript"/>
        </w:rPr>
        <w:t>th</w:t>
      </w:r>
      <w:r w:rsidR="00F85FFF">
        <w:t xml:space="preserve"> February</w:t>
      </w:r>
      <w:r w:rsidR="00F85FFF" w:rsidRPr="00D629B8">
        <w:t xml:space="preserve"> </w:t>
      </w:r>
      <w:r w:rsidRPr="00D629B8">
        <w:t>2026.</w:t>
      </w:r>
    </w:p>
    <w:p w14:paraId="11092CC8" w14:textId="4A073D3A" w:rsidR="00D629B8" w:rsidRPr="00D629B8" w:rsidRDefault="00D629B8" w:rsidP="00D629B8">
      <w:r w:rsidRPr="00D629B8">
        <w:t>CIPD (2023) Job evaluation factsheet.</w:t>
      </w:r>
      <w:r>
        <w:t xml:space="preserve"> </w:t>
      </w:r>
      <w:r w:rsidRPr="00D629B8">
        <w:t>Available</w:t>
      </w:r>
      <w:r>
        <w:t xml:space="preserve"> </w:t>
      </w:r>
      <w:r w:rsidRPr="00D629B8">
        <w:t>at:</w:t>
      </w:r>
      <w:r>
        <w:t xml:space="preserve"> </w:t>
      </w:r>
      <w:r w:rsidRPr="00D629B8">
        <w:t> </w:t>
      </w:r>
      <w:hyperlink r:id="rId7" w:history="1">
        <w:r w:rsidRPr="00F85FFF">
          <w:rPr>
            <w:rStyle w:val="Hyperlink"/>
            <w:color w:val="auto"/>
            <w:u w:val="none"/>
          </w:rPr>
          <w:t>https://www.cipd.org/uk/knowledge/factsheets/market-pricing-factsheet/</w:t>
        </w:r>
      </w:hyperlink>
      <w:r w:rsidRPr="00F85FFF">
        <w:t xml:space="preserve">  </w:t>
      </w:r>
      <w:r w:rsidRPr="00D629B8">
        <w:t xml:space="preserve">Accessed </w:t>
      </w:r>
      <w:r w:rsidR="00F85FFF">
        <w:t>24</w:t>
      </w:r>
      <w:r w:rsidR="00F85FFF" w:rsidRPr="00F85FFF">
        <w:rPr>
          <w:vertAlign w:val="superscript"/>
        </w:rPr>
        <w:t>th</w:t>
      </w:r>
      <w:r w:rsidR="00F85FFF">
        <w:t xml:space="preserve"> February</w:t>
      </w:r>
      <w:r w:rsidR="00F85FFF" w:rsidRPr="00D629B8">
        <w:t xml:space="preserve"> </w:t>
      </w:r>
      <w:r w:rsidRPr="00D629B8">
        <w:t>2026.</w:t>
      </w:r>
    </w:p>
    <w:p w14:paraId="2807A955" w14:textId="216D09D7" w:rsidR="00D629B8" w:rsidRPr="00D629B8" w:rsidRDefault="00D629B8" w:rsidP="00D629B8">
      <w:r w:rsidRPr="00D629B8">
        <w:t>CIPD (2023) Pay structures factsheet. Available at: </w:t>
      </w:r>
      <w:hyperlink r:id="rId8" w:tgtFrame="_new" w:history="1">
        <w:r w:rsidRPr="00F85FFF">
          <w:rPr>
            <w:rStyle w:val="Hyperlink"/>
            <w:color w:val="auto"/>
            <w:u w:val="none"/>
          </w:rPr>
          <w:t>https://www.cipd.org/uk/knowledge/factsheets/pay-structures-factsheet/</w:t>
        </w:r>
      </w:hyperlink>
      <w:r w:rsidRPr="00F85FFF">
        <w:t> </w:t>
      </w:r>
      <w:r w:rsidRPr="00D629B8">
        <w:t xml:space="preserve">Accessed </w:t>
      </w:r>
      <w:r w:rsidR="00F85FFF">
        <w:t>24</w:t>
      </w:r>
      <w:r w:rsidR="00F85FFF" w:rsidRPr="00F85FFF">
        <w:rPr>
          <w:vertAlign w:val="superscript"/>
        </w:rPr>
        <w:t>th</w:t>
      </w:r>
      <w:r w:rsidR="00F85FFF">
        <w:t xml:space="preserve"> February</w:t>
      </w:r>
      <w:r w:rsidR="00F85FFF" w:rsidRPr="00D629B8">
        <w:t xml:space="preserve"> </w:t>
      </w:r>
      <w:r w:rsidRPr="00D629B8">
        <w:t>2026.</w:t>
      </w:r>
    </w:p>
    <w:p w14:paraId="48F7EFF4" w14:textId="05BA79DE" w:rsidR="00D629B8" w:rsidRPr="00D629B8" w:rsidRDefault="00D629B8" w:rsidP="00D629B8">
      <w:r w:rsidRPr="00D629B8">
        <w:t xml:space="preserve">CIPD (2023) Performance management factsheet. Available </w:t>
      </w:r>
      <w:proofErr w:type="gramStart"/>
      <w:r w:rsidRPr="00D629B8">
        <w:t>at:</w:t>
      </w:r>
      <w:r w:rsidR="00B766B3" w:rsidRPr="00B766B3">
        <w:t>https://www.cipd.org/uk/topics/performance-management/</w:t>
      </w:r>
      <w:proofErr w:type="gramEnd"/>
      <w:r w:rsidRPr="00D629B8">
        <w:t xml:space="preserve">  Accessed </w:t>
      </w:r>
      <w:r w:rsidR="00F85FFF">
        <w:t>24</w:t>
      </w:r>
      <w:r w:rsidR="00F85FFF" w:rsidRPr="00F85FFF">
        <w:rPr>
          <w:vertAlign w:val="superscript"/>
        </w:rPr>
        <w:t>th</w:t>
      </w:r>
      <w:r w:rsidR="00F85FFF">
        <w:t xml:space="preserve"> February</w:t>
      </w:r>
      <w:r w:rsidR="00F85FFF" w:rsidRPr="00D629B8">
        <w:t xml:space="preserve"> </w:t>
      </w:r>
      <w:r w:rsidRPr="00D629B8">
        <w:t>2026.</w:t>
      </w:r>
    </w:p>
    <w:p w14:paraId="6ABD47D1" w14:textId="7EAF598D" w:rsidR="00D629B8" w:rsidRPr="00D629B8" w:rsidRDefault="00D629B8" w:rsidP="00D629B8">
      <w:r w:rsidRPr="00D629B8">
        <w:t>CIPD (2023) Reward benchmarking factsheet. Available at: </w:t>
      </w:r>
      <w:r w:rsidR="00B766B3" w:rsidRPr="00B766B3">
        <w:t>https://www.cipd.org/uk/topics/reward/</w:t>
      </w:r>
      <w:r w:rsidRPr="00D629B8">
        <w:t xml:space="preserve"> Accessed </w:t>
      </w:r>
      <w:r w:rsidR="00F85FFF">
        <w:t>24</w:t>
      </w:r>
      <w:r w:rsidR="00F85FFF" w:rsidRPr="00F85FFF">
        <w:rPr>
          <w:vertAlign w:val="superscript"/>
        </w:rPr>
        <w:t>th</w:t>
      </w:r>
      <w:r w:rsidR="00F85FFF">
        <w:t xml:space="preserve"> February</w:t>
      </w:r>
      <w:r w:rsidRPr="00D629B8">
        <w:t xml:space="preserve"> 2026.</w:t>
      </w:r>
    </w:p>
    <w:p w14:paraId="7A791781" w14:textId="59A7FC26" w:rsidR="00D629B8" w:rsidRPr="00D629B8" w:rsidRDefault="00D629B8" w:rsidP="00D629B8">
      <w:r w:rsidRPr="00D629B8">
        <w:t>CIPD (2023) Reward management factsheet. Available at: </w:t>
      </w:r>
      <w:hyperlink r:id="rId9" w:tgtFrame="_new" w:history="1">
        <w:r w:rsidRPr="00D629B8">
          <w:rPr>
            <w:rStyle w:val="Hyperlink"/>
          </w:rPr>
          <w:t>https://www.cipd.org/uk/knowledge/factsheets/reward-factsheet/</w:t>
        </w:r>
      </w:hyperlink>
      <w:r w:rsidRPr="00D629B8">
        <w:t xml:space="preserve"> Accessed </w:t>
      </w:r>
      <w:r w:rsidR="00F85FFF">
        <w:t>24</w:t>
      </w:r>
      <w:r w:rsidR="00F85FFF" w:rsidRPr="00F85FFF">
        <w:rPr>
          <w:vertAlign w:val="superscript"/>
        </w:rPr>
        <w:t>th</w:t>
      </w:r>
      <w:r w:rsidR="00F85FFF">
        <w:t xml:space="preserve"> February</w:t>
      </w:r>
      <w:r w:rsidR="00F85FFF" w:rsidRPr="00D629B8">
        <w:t xml:space="preserve"> </w:t>
      </w:r>
      <w:r w:rsidRPr="00D629B8">
        <w:t>2026.</w:t>
      </w:r>
    </w:p>
    <w:p w14:paraId="1287B65D" w14:textId="6D8FFF76" w:rsidR="00D629B8" w:rsidRPr="00D629B8" w:rsidRDefault="00D629B8" w:rsidP="00D629B8">
      <w:r w:rsidRPr="00D629B8">
        <w:t xml:space="preserve">CIPD (2023) Total reward factsheet. Available </w:t>
      </w:r>
      <w:proofErr w:type="gramStart"/>
      <w:r w:rsidRPr="00D629B8">
        <w:t>at:</w:t>
      </w:r>
      <w:r w:rsidR="00B766B3" w:rsidRPr="00B766B3">
        <w:t>https://www.cipd.org/uk/knowledge/factsheets/strategic-total-factsheet/</w:t>
      </w:r>
      <w:proofErr w:type="gramEnd"/>
      <w:r w:rsidRPr="00D629B8">
        <w:t xml:space="preserve">  Accessed </w:t>
      </w:r>
      <w:r w:rsidR="00F85FFF">
        <w:t>24</w:t>
      </w:r>
      <w:r w:rsidR="00F85FFF" w:rsidRPr="00F85FFF">
        <w:rPr>
          <w:vertAlign w:val="superscript"/>
        </w:rPr>
        <w:t>th</w:t>
      </w:r>
      <w:r w:rsidR="00F85FFF">
        <w:t xml:space="preserve"> February</w:t>
      </w:r>
      <w:r w:rsidR="00F85FFF" w:rsidRPr="00D629B8">
        <w:t xml:space="preserve"> </w:t>
      </w:r>
      <w:r w:rsidRPr="00D629B8">
        <w:t>2026.</w:t>
      </w:r>
    </w:p>
    <w:p w14:paraId="7B6BC30E" w14:textId="77777777" w:rsidR="00D629B8" w:rsidRPr="00D629B8" w:rsidRDefault="00D629B8" w:rsidP="00D629B8">
      <w:r w:rsidRPr="00D629B8">
        <w:t>Colquitt, J.A., Conlon, D.E., Wesson, M.J., Porter, C.O. and Ng, K.Y. (2013) ‘Justice at the millennium: a meta-analytic review of 25 years of organisational justice research’, Journal of Applied Psychology, 98(2), pp. 199–236.</w:t>
      </w:r>
    </w:p>
    <w:p w14:paraId="7026F5E8" w14:textId="77777777" w:rsidR="00D629B8" w:rsidRPr="00D629B8" w:rsidRDefault="00D629B8" w:rsidP="00D629B8">
      <w:r w:rsidRPr="00D629B8">
        <w:t>Daniels, K. (2022) Introduction to Employment Law: Fundamentals for HR and Business Students. 6th edn. London: Kogan Page.</w:t>
      </w:r>
    </w:p>
    <w:p w14:paraId="21B4AEDB" w14:textId="77777777" w:rsidR="00D629B8" w:rsidRPr="00D629B8" w:rsidRDefault="00D629B8" w:rsidP="00D629B8">
      <w:r w:rsidRPr="00D629B8">
        <w:lastRenderedPageBreak/>
        <w:t>Deci, E.L., Koestner, R. and Ryan, R.M. (1999) ‘A meta-analytic review of experiments examining the effects of extrinsic rewards on intrinsic motivation’, Psychological Bulletin, 125(6), pp. 627–668.</w:t>
      </w:r>
    </w:p>
    <w:p w14:paraId="2BA4DEDA" w14:textId="0E4A2203" w:rsidR="00D629B8" w:rsidRPr="00D629B8" w:rsidRDefault="00D629B8" w:rsidP="00D629B8">
      <w:r w:rsidRPr="00D629B8">
        <w:t>Equality Act 2010. Available at: </w:t>
      </w:r>
      <w:hyperlink r:id="rId10" w:tgtFrame="_new" w:history="1">
        <w:r w:rsidRPr="00D629B8">
          <w:rPr>
            <w:rStyle w:val="Hyperlink"/>
          </w:rPr>
          <w:t>https://www.legislation.gov.uk/ukpga/2010/15</w:t>
        </w:r>
      </w:hyperlink>
      <w:r w:rsidRPr="00D629B8">
        <w:t xml:space="preserve"> Accessed </w:t>
      </w:r>
      <w:r w:rsidR="00F85FFF">
        <w:t>24</w:t>
      </w:r>
      <w:r w:rsidR="00F85FFF" w:rsidRPr="00F85FFF">
        <w:rPr>
          <w:vertAlign w:val="superscript"/>
        </w:rPr>
        <w:t>th</w:t>
      </w:r>
      <w:r w:rsidR="00F85FFF">
        <w:t xml:space="preserve"> February</w:t>
      </w:r>
      <w:r w:rsidR="00F85FFF" w:rsidRPr="00D629B8">
        <w:t xml:space="preserve"> </w:t>
      </w:r>
      <w:r w:rsidRPr="00D629B8">
        <w:t>2026.</w:t>
      </w:r>
    </w:p>
    <w:p w14:paraId="6F061C1F" w14:textId="77777777" w:rsidR="00D629B8" w:rsidRPr="00D629B8" w:rsidRDefault="00D629B8" w:rsidP="00D629B8">
      <w:r w:rsidRPr="00D629B8">
        <w:t>Gerhart, B. and Fang, M. (2015) ‘Pay for (individual) performance: Issues, claims, evidence and the role of sorting effects’, Human Resource Management Review, 25(1), pp. 76–90.</w:t>
      </w:r>
    </w:p>
    <w:p w14:paraId="5871C3AD" w14:textId="33970F74" w:rsidR="00D629B8" w:rsidRPr="00D629B8" w:rsidRDefault="00D629B8" w:rsidP="00D629B8">
      <w:r w:rsidRPr="00D629B8">
        <w:t xml:space="preserve">Harvard Business Review (2017) ‘The problem with financial </w:t>
      </w:r>
      <w:proofErr w:type="gramStart"/>
      <w:r w:rsidRPr="00D629B8">
        <w:t>incentives’</w:t>
      </w:r>
      <w:proofErr w:type="gramEnd"/>
      <w:r w:rsidRPr="00D629B8">
        <w:t>. Available at: </w:t>
      </w:r>
      <w:hyperlink r:id="rId11" w:tgtFrame="_new" w:history="1">
        <w:r w:rsidRPr="00D629B8">
          <w:rPr>
            <w:rStyle w:val="Hyperlink"/>
          </w:rPr>
          <w:t>https://hbr.org/2017/04/the-problem-with-financial-incentives</w:t>
        </w:r>
      </w:hyperlink>
      <w:r w:rsidRPr="00D629B8">
        <w:t xml:space="preserve"> Accessed </w:t>
      </w:r>
      <w:r w:rsidR="00F85FFF">
        <w:t>24</w:t>
      </w:r>
      <w:r w:rsidR="00F85FFF" w:rsidRPr="00F85FFF">
        <w:rPr>
          <w:vertAlign w:val="superscript"/>
        </w:rPr>
        <w:t>th</w:t>
      </w:r>
      <w:r w:rsidR="00F85FFF">
        <w:t xml:space="preserve"> February</w:t>
      </w:r>
      <w:r w:rsidR="00F85FFF" w:rsidRPr="00D629B8">
        <w:t xml:space="preserve"> </w:t>
      </w:r>
      <w:r w:rsidRPr="00D629B8">
        <w:t>2026.</w:t>
      </w:r>
    </w:p>
    <w:p w14:paraId="1F6CABC7" w14:textId="281F8191" w:rsidR="00D629B8" w:rsidRPr="00D629B8" w:rsidRDefault="00D629B8" w:rsidP="00D629B8">
      <w:r w:rsidRPr="00D629B8">
        <w:t>Harvard Business Review (2018) ‘The power of intrinsic motivation’. Available at: </w:t>
      </w:r>
      <w:hyperlink r:id="rId12" w:tgtFrame="_new" w:history="1">
        <w:r w:rsidRPr="00D629B8">
          <w:rPr>
            <w:rStyle w:val="Hyperlink"/>
          </w:rPr>
          <w:t>https://hbr.org/2018/01/the-power-of-intrinsic-motivation</w:t>
        </w:r>
      </w:hyperlink>
      <w:r w:rsidRPr="00D629B8">
        <w:t xml:space="preserve"> Accessed </w:t>
      </w:r>
      <w:r w:rsidR="00F85FFF">
        <w:t>24</w:t>
      </w:r>
      <w:r w:rsidR="00F85FFF" w:rsidRPr="00F85FFF">
        <w:rPr>
          <w:vertAlign w:val="superscript"/>
        </w:rPr>
        <w:t>th</w:t>
      </w:r>
      <w:r w:rsidR="00F85FFF">
        <w:t xml:space="preserve"> February</w:t>
      </w:r>
      <w:r w:rsidR="00F85FFF" w:rsidRPr="00D629B8">
        <w:t xml:space="preserve"> </w:t>
      </w:r>
      <w:r w:rsidRPr="00D629B8">
        <w:t>2026.</w:t>
      </w:r>
    </w:p>
    <w:p w14:paraId="2706A24C" w14:textId="19B0317E" w:rsidR="00D629B8" w:rsidRPr="00D629B8" w:rsidRDefault="00D629B8" w:rsidP="00D629B8">
      <w:r w:rsidRPr="00D629B8">
        <w:t>Harvard Business Review (2019) ‘How to design a reward system that actually motivates’. Available at: </w:t>
      </w:r>
      <w:hyperlink r:id="rId13" w:tgtFrame="_new" w:history="1">
        <w:r w:rsidRPr="00D629B8">
          <w:rPr>
            <w:rStyle w:val="Hyperlink"/>
          </w:rPr>
          <w:t>https://hbr.org/2019/03/how-to-design-a-reward-system-that-actually-motivates</w:t>
        </w:r>
      </w:hyperlink>
      <w:r w:rsidRPr="00D629B8">
        <w:t xml:space="preserve"> Accessed </w:t>
      </w:r>
      <w:r w:rsidR="00F85FFF">
        <w:t>24</w:t>
      </w:r>
      <w:r w:rsidR="00F85FFF" w:rsidRPr="00F85FFF">
        <w:rPr>
          <w:vertAlign w:val="superscript"/>
        </w:rPr>
        <w:t>th</w:t>
      </w:r>
      <w:r w:rsidR="00F85FFF">
        <w:t xml:space="preserve"> February</w:t>
      </w:r>
      <w:r w:rsidR="00F85FFF" w:rsidRPr="00D629B8">
        <w:t xml:space="preserve"> </w:t>
      </w:r>
      <w:r w:rsidRPr="00D629B8">
        <w:t>2026.</w:t>
      </w:r>
    </w:p>
    <w:p w14:paraId="448D0F82" w14:textId="74424225" w:rsidR="00D629B8" w:rsidRPr="00D629B8" w:rsidRDefault="00D629B8" w:rsidP="00D629B8">
      <w:r w:rsidRPr="00D629B8">
        <w:t>Harvard Business Review (2019) ‘Using people analytics to improve decision making’. Available at: </w:t>
      </w:r>
      <w:hyperlink r:id="rId14" w:tgtFrame="_new" w:history="1">
        <w:r w:rsidRPr="00D629B8">
          <w:rPr>
            <w:rStyle w:val="Hyperlink"/>
          </w:rPr>
          <w:t>https://hbr.org/2019/09/using-people-analytics-to-improve-decision-making</w:t>
        </w:r>
      </w:hyperlink>
      <w:r w:rsidRPr="00D629B8">
        <w:t xml:space="preserve"> Accessed </w:t>
      </w:r>
      <w:r w:rsidR="00F85FFF">
        <w:t>24</w:t>
      </w:r>
      <w:r w:rsidR="00F85FFF" w:rsidRPr="00F85FFF">
        <w:rPr>
          <w:vertAlign w:val="superscript"/>
        </w:rPr>
        <w:t>th</w:t>
      </w:r>
      <w:r w:rsidR="00F85FFF">
        <w:t xml:space="preserve"> February</w:t>
      </w:r>
      <w:r w:rsidR="00F85FFF" w:rsidRPr="00D629B8">
        <w:t xml:space="preserve"> </w:t>
      </w:r>
      <w:r w:rsidRPr="00D629B8">
        <w:t>2026.</w:t>
      </w:r>
    </w:p>
    <w:p w14:paraId="7298B628" w14:textId="1E7E0825" w:rsidR="00D629B8" w:rsidRPr="00D629B8" w:rsidRDefault="00D629B8" w:rsidP="00D629B8">
      <w:r w:rsidRPr="00D629B8">
        <w:t>HR Magazine (2022) ‘Reward, engagement and retention’. Available at: </w:t>
      </w:r>
      <w:hyperlink r:id="rId15" w:tgtFrame="_new" w:history="1">
        <w:r w:rsidRPr="00D629B8">
          <w:rPr>
            <w:rStyle w:val="Hyperlink"/>
          </w:rPr>
          <w:t>https://www.hrmagazine.co.uk</w:t>
        </w:r>
      </w:hyperlink>
      <w:r w:rsidRPr="00D629B8">
        <w:t xml:space="preserve"> Accessed </w:t>
      </w:r>
      <w:r w:rsidR="00F85FFF">
        <w:t>24</w:t>
      </w:r>
      <w:r w:rsidR="00F85FFF" w:rsidRPr="00F85FFF">
        <w:rPr>
          <w:vertAlign w:val="superscript"/>
        </w:rPr>
        <w:t>th</w:t>
      </w:r>
      <w:r w:rsidR="00F85FFF">
        <w:t xml:space="preserve"> February</w:t>
      </w:r>
      <w:r w:rsidR="00F85FFF" w:rsidRPr="00D629B8">
        <w:t xml:space="preserve"> </w:t>
      </w:r>
      <w:r w:rsidRPr="00D629B8">
        <w:t>2026.</w:t>
      </w:r>
    </w:p>
    <w:p w14:paraId="679104C1" w14:textId="77777777" w:rsidR="00D629B8" w:rsidRPr="00D629B8" w:rsidRDefault="00D629B8" w:rsidP="00D629B8">
      <w:r w:rsidRPr="00D629B8">
        <w:t>Kossek, E.E. and Michel, J.S. (2011) ‘Flexible work schedules’, in Zedeck, S. (ed.) APA Handbook of Industrial and Organisational Psychology. Washington: American Psychological Association.</w:t>
      </w:r>
    </w:p>
    <w:p w14:paraId="4170536E" w14:textId="77777777" w:rsidR="00D629B8" w:rsidRPr="00D629B8" w:rsidRDefault="00D629B8" w:rsidP="00D629B8">
      <w:r w:rsidRPr="00D629B8">
        <w:t>Milkovich, G.T., Newman, J.M. and Gerhart, B. (2020) Compensation. 13th edn. New York: McGraw-Hill.</w:t>
      </w:r>
    </w:p>
    <w:p w14:paraId="0BA3168A" w14:textId="77777777" w:rsidR="0078072F" w:rsidRPr="00D629B8" w:rsidRDefault="0078072F"/>
    <w:sectPr w:rsidR="0078072F" w:rsidRPr="00D629B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73BA03" w14:textId="77777777" w:rsidR="006378A0" w:rsidRDefault="006378A0" w:rsidP="00D629B8">
      <w:pPr>
        <w:spacing w:after="0" w:line="240" w:lineRule="auto"/>
      </w:pPr>
      <w:r>
        <w:separator/>
      </w:r>
    </w:p>
  </w:endnote>
  <w:endnote w:type="continuationSeparator" w:id="0">
    <w:p w14:paraId="6FF42EA9" w14:textId="77777777" w:rsidR="006378A0" w:rsidRDefault="006378A0" w:rsidP="00D629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207EB8" w14:textId="77777777" w:rsidR="006378A0" w:rsidRDefault="006378A0" w:rsidP="00D629B8">
      <w:pPr>
        <w:spacing w:after="0" w:line="240" w:lineRule="auto"/>
      </w:pPr>
      <w:r>
        <w:separator/>
      </w:r>
    </w:p>
  </w:footnote>
  <w:footnote w:type="continuationSeparator" w:id="0">
    <w:p w14:paraId="72E5AF8E" w14:textId="77777777" w:rsidR="006378A0" w:rsidRDefault="006378A0" w:rsidP="00D629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80340D"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0203560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08A5"/>
    <w:rsid w:val="00091893"/>
    <w:rsid w:val="0048501D"/>
    <w:rsid w:val="0054517E"/>
    <w:rsid w:val="006378A0"/>
    <w:rsid w:val="00694FD5"/>
    <w:rsid w:val="0078072F"/>
    <w:rsid w:val="008F5B89"/>
    <w:rsid w:val="0096238C"/>
    <w:rsid w:val="00A15226"/>
    <w:rsid w:val="00B766B3"/>
    <w:rsid w:val="00D15087"/>
    <w:rsid w:val="00D46D48"/>
    <w:rsid w:val="00D629B8"/>
    <w:rsid w:val="00F208A5"/>
    <w:rsid w:val="00F85F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FE0B87"/>
  <w15:chartTrackingRefBased/>
  <w15:docId w15:val="{D78EC1BD-D783-474D-9F58-FCAE0F2FF3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08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208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208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208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208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208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08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08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08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08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208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208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208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208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208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08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08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08A5"/>
    <w:rPr>
      <w:rFonts w:eastAsiaTheme="majorEastAsia" w:cstheme="majorBidi"/>
      <w:color w:val="272727" w:themeColor="text1" w:themeTint="D8"/>
    </w:rPr>
  </w:style>
  <w:style w:type="paragraph" w:styleId="Title">
    <w:name w:val="Title"/>
    <w:basedOn w:val="Normal"/>
    <w:next w:val="Normal"/>
    <w:link w:val="TitleChar"/>
    <w:uiPriority w:val="10"/>
    <w:qFormat/>
    <w:rsid w:val="00F208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08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08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08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08A5"/>
    <w:pPr>
      <w:spacing w:before="160"/>
      <w:jc w:val="center"/>
    </w:pPr>
    <w:rPr>
      <w:i/>
      <w:iCs/>
      <w:color w:val="404040" w:themeColor="text1" w:themeTint="BF"/>
    </w:rPr>
  </w:style>
  <w:style w:type="character" w:customStyle="1" w:styleId="QuoteChar">
    <w:name w:val="Quote Char"/>
    <w:basedOn w:val="DefaultParagraphFont"/>
    <w:link w:val="Quote"/>
    <w:uiPriority w:val="29"/>
    <w:rsid w:val="00F208A5"/>
    <w:rPr>
      <w:i/>
      <w:iCs/>
      <w:color w:val="404040" w:themeColor="text1" w:themeTint="BF"/>
    </w:rPr>
  </w:style>
  <w:style w:type="paragraph" w:styleId="ListParagraph">
    <w:name w:val="List Paragraph"/>
    <w:basedOn w:val="Normal"/>
    <w:uiPriority w:val="34"/>
    <w:qFormat/>
    <w:rsid w:val="00F208A5"/>
    <w:pPr>
      <w:ind w:left="720"/>
      <w:contextualSpacing/>
    </w:pPr>
  </w:style>
  <w:style w:type="character" w:styleId="IntenseEmphasis">
    <w:name w:val="Intense Emphasis"/>
    <w:basedOn w:val="DefaultParagraphFont"/>
    <w:uiPriority w:val="21"/>
    <w:qFormat/>
    <w:rsid w:val="00F208A5"/>
    <w:rPr>
      <w:i/>
      <w:iCs/>
      <w:color w:val="0F4761" w:themeColor="accent1" w:themeShade="BF"/>
    </w:rPr>
  </w:style>
  <w:style w:type="paragraph" w:styleId="IntenseQuote">
    <w:name w:val="Intense Quote"/>
    <w:basedOn w:val="Normal"/>
    <w:next w:val="Normal"/>
    <w:link w:val="IntenseQuoteChar"/>
    <w:uiPriority w:val="30"/>
    <w:qFormat/>
    <w:rsid w:val="00F208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208A5"/>
    <w:rPr>
      <w:i/>
      <w:iCs/>
      <w:color w:val="0F4761" w:themeColor="accent1" w:themeShade="BF"/>
    </w:rPr>
  </w:style>
  <w:style w:type="character" w:styleId="IntenseReference">
    <w:name w:val="Intense Reference"/>
    <w:basedOn w:val="DefaultParagraphFont"/>
    <w:uiPriority w:val="32"/>
    <w:qFormat/>
    <w:rsid w:val="00F208A5"/>
    <w:rPr>
      <w:b/>
      <w:bCs/>
      <w:smallCaps/>
      <w:color w:val="0F4761" w:themeColor="accent1" w:themeShade="BF"/>
      <w:spacing w:val="5"/>
    </w:rPr>
  </w:style>
  <w:style w:type="character" w:styleId="Hyperlink">
    <w:name w:val="Hyperlink"/>
    <w:basedOn w:val="DefaultParagraphFont"/>
    <w:uiPriority w:val="99"/>
    <w:unhideWhenUsed/>
    <w:rsid w:val="00F208A5"/>
    <w:rPr>
      <w:color w:val="467886" w:themeColor="hyperlink"/>
      <w:u w:val="single"/>
    </w:rPr>
  </w:style>
  <w:style w:type="character" w:styleId="UnresolvedMention">
    <w:name w:val="Unresolved Mention"/>
    <w:basedOn w:val="DefaultParagraphFont"/>
    <w:uiPriority w:val="99"/>
    <w:semiHidden/>
    <w:unhideWhenUsed/>
    <w:rsid w:val="00F208A5"/>
    <w:rPr>
      <w:color w:val="605E5C"/>
      <w:shd w:val="clear" w:color="auto" w:fill="E1DFDD"/>
    </w:rPr>
  </w:style>
  <w:style w:type="paragraph" w:customStyle="1" w:styleId="Nornal">
    <w:name w:val="Nornal"/>
    <w:basedOn w:val="Normal"/>
    <w:link w:val="NornalChar"/>
    <w:qFormat/>
    <w:rsid w:val="00D629B8"/>
    <w:pPr>
      <w:spacing w:line="264" w:lineRule="auto"/>
    </w:pPr>
    <w:rPr>
      <w:rFonts w:ascii="Arial" w:hAnsi="Arial" w:cs="Arial"/>
      <w:kern w:val="0"/>
      <w:sz w:val="22"/>
      <w:szCs w:val="22"/>
      <w14:ligatures w14:val="none"/>
    </w:rPr>
  </w:style>
  <w:style w:type="character" w:customStyle="1" w:styleId="NornalChar">
    <w:name w:val="Nornal Char"/>
    <w:basedOn w:val="DefaultParagraphFont"/>
    <w:link w:val="Nornal"/>
    <w:rsid w:val="00D629B8"/>
    <w:rPr>
      <w:rFonts w:ascii="Arial" w:hAnsi="Arial" w:cs="Arial"/>
      <w:kern w:val="0"/>
      <w:sz w:val="22"/>
      <w:szCs w:val="22"/>
      <w14:ligatures w14:val="none"/>
    </w:rPr>
  </w:style>
  <w:style w:type="paragraph" w:styleId="Header">
    <w:name w:val="header"/>
    <w:basedOn w:val="Normal"/>
    <w:link w:val="HeaderChar"/>
    <w:uiPriority w:val="99"/>
    <w:unhideWhenUsed/>
    <w:rsid w:val="00D629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29B8"/>
  </w:style>
  <w:style w:type="paragraph" w:styleId="Footer">
    <w:name w:val="footer"/>
    <w:basedOn w:val="Normal"/>
    <w:link w:val="FooterChar"/>
    <w:uiPriority w:val="99"/>
    <w:unhideWhenUsed/>
    <w:rsid w:val="00D629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29B8"/>
  </w:style>
  <w:style w:type="character" w:styleId="FollowedHyperlink">
    <w:name w:val="FollowedHyperlink"/>
    <w:basedOn w:val="DefaultParagraphFont"/>
    <w:uiPriority w:val="99"/>
    <w:semiHidden/>
    <w:unhideWhenUsed/>
    <w:rsid w:val="00D629B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4176751">
      <w:bodyDiv w:val="1"/>
      <w:marLeft w:val="0"/>
      <w:marRight w:val="0"/>
      <w:marTop w:val="0"/>
      <w:marBottom w:val="0"/>
      <w:divBdr>
        <w:top w:val="none" w:sz="0" w:space="0" w:color="auto"/>
        <w:left w:val="none" w:sz="0" w:space="0" w:color="auto"/>
        <w:bottom w:val="none" w:sz="0" w:space="0" w:color="auto"/>
        <w:right w:val="none" w:sz="0" w:space="0" w:color="auto"/>
      </w:divBdr>
    </w:div>
    <w:div w:id="105586186">
      <w:bodyDiv w:val="1"/>
      <w:marLeft w:val="0"/>
      <w:marRight w:val="0"/>
      <w:marTop w:val="0"/>
      <w:marBottom w:val="0"/>
      <w:divBdr>
        <w:top w:val="none" w:sz="0" w:space="0" w:color="auto"/>
        <w:left w:val="none" w:sz="0" w:space="0" w:color="auto"/>
        <w:bottom w:val="none" w:sz="0" w:space="0" w:color="auto"/>
        <w:right w:val="none" w:sz="0" w:space="0" w:color="auto"/>
      </w:divBdr>
    </w:div>
    <w:div w:id="127284756">
      <w:bodyDiv w:val="1"/>
      <w:marLeft w:val="0"/>
      <w:marRight w:val="0"/>
      <w:marTop w:val="0"/>
      <w:marBottom w:val="0"/>
      <w:divBdr>
        <w:top w:val="none" w:sz="0" w:space="0" w:color="auto"/>
        <w:left w:val="none" w:sz="0" w:space="0" w:color="auto"/>
        <w:bottom w:val="none" w:sz="0" w:space="0" w:color="auto"/>
        <w:right w:val="none" w:sz="0" w:space="0" w:color="auto"/>
      </w:divBdr>
    </w:div>
    <w:div w:id="233318996">
      <w:bodyDiv w:val="1"/>
      <w:marLeft w:val="0"/>
      <w:marRight w:val="0"/>
      <w:marTop w:val="0"/>
      <w:marBottom w:val="0"/>
      <w:divBdr>
        <w:top w:val="none" w:sz="0" w:space="0" w:color="auto"/>
        <w:left w:val="none" w:sz="0" w:space="0" w:color="auto"/>
        <w:bottom w:val="none" w:sz="0" w:space="0" w:color="auto"/>
        <w:right w:val="none" w:sz="0" w:space="0" w:color="auto"/>
      </w:divBdr>
    </w:div>
    <w:div w:id="246116490">
      <w:bodyDiv w:val="1"/>
      <w:marLeft w:val="0"/>
      <w:marRight w:val="0"/>
      <w:marTop w:val="0"/>
      <w:marBottom w:val="0"/>
      <w:divBdr>
        <w:top w:val="none" w:sz="0" w:space="0" w:color="auto"/>
        <w:left w:val="none" w:sz="0" w:space="0" w:color="auto"/>
        <w:bottom w:val="none" w:sz="0" w:space="0" w:color="auto"/>
        <w:right w:val="none" w:sz="0" w:space="0" w:color="auto"/>
      </w:divBdr>
    </w:div>
    <w:div w:id="293174543">
      <w:bodyDiv w:val="1"/>
      <w:marLeft w:val="0"/>
      <w:marRight w:val="0"/>
      <w:marTop w:val="0"/>
      <w:marBottom w:val="0"/>
      <w:divBdr>
        <w:top w:val="none" w:sz="0" w:space="0" w:color="auto"/>
        <w:left w:val="none" w:sz="0" w:space="0" w:color="auto"/>
        <w:bottom w:val="none" w:sz="0" w:space="0" w:color="auto"/>
        <w:right w:val="none" w:sz="0" w:space="0" w:color="auto"/>
      </w:divBdr>
    </w:div>
    <w:div w:id="311759101">
      <w:bodyDiv w:val="1"/>
      <w:marLeft w:val="0"/>
      <w:marRight w:val="0"/>
      <w:marTop w:val="0"/>
      <w:marBottom w:val="0"/>
      <w:divBdr>
        <w:top w:val="none" w:sz="0" w:space="0" w:color="auto"/>
        <w:left w:val="none" w:sz="0" w:space="0" w:color="auto"/>
        <w:bottom w:val="none" w:sz="0" w:space="0" w:color="auto"/>
        <w:right w:val="none" w:sz="0" w:space="0" w:color="auto"/>
      </w:divBdr>
    </w:div>
    <w:div w:id="326835240">
      <w:bodyDiv w:val="1"/>
      <w:marLeft w:val="0"/>
      <w:marRight w:val="0"/>
      <w:marTop w:val="0"/>
      <w:marBottom w:val="0"/>
      <w:divBdr>
        <w:top w:val="none" w:sz="0" w:space="0" w:color="auto"/>
        <w:left w:val="none" w:sz="0" w:space="0" w:color="auto"/>
        <w:bottom w:val="none" w:sz="0" w:space="0" w:color="auto"/>
        <w:right w:val="none" w:sz="0" w:space="0" w:color="auto"/>
      </w:divBdr>
    </w:div>
    <w:div w:id="365104934">
      <w:bodyDiv w:val="1"/>
      <w:marLeft w:val="0"/>
      <w:marRight w:val="0"/>
      <w:marTop w:val="0"/>
      <w:marBottom w:val="0"/>
      <w:divBdr>
        <w:top w:val="none" w:sz="0" w:space="0" w:color="auto"/>
        <w:left w:val="none" w:sz="0" w:space="0" w:color="auto"/>
        <w:bottom w:val="none" w:sz="0" w:space="0" w:color="auto"/>
        <w:right w:val="none" w:sz="0" w:space="0" w:color="auto"/>
      </w:divBdr>
    </w:div>
    <w:div w:id="526989318">
      <w:bodyDiv w:val="1"/>
      <w:marLeft w:val="0"/>
      <w:marRight w:val="0"/>
      <w:marTop w:val="0"/>
      <w:marBottom w:val="0"/>
      <w:divBdr>
        <w:top w:val="none" w:sz="0" w:space="0" w:color="auto"/>
        <w:left w:val="none" w:sz="0" w:space="0" w:color="auto"/>
        <w:bottom w:val="none" w:sz="0" w:space="0" w:color="auto"/>
        <w:right w:val="none" w:sz="0" w:space="0" w:color="auto"/>
      </w:divBdr>
    </w:div>
    <w:div w:id="601180442">
      <w:bodyDiv w:val="1"/>
      <w:marLeft w:val="0"/>
      <w:marRight w:val="0"/>
      <w:marTop w:val="0"/>
      <w:marBottom w:val="0"/>
      <w:divBdr>
        <w:top w:val="none" w:sz="0" w:space="0" w:color="auto"/>
        <w:left w:val="none" w:sz="0" w:space="0" w:color="auto"/>
        <w:bottom w:val="none" w:sz="0" w:space="0" w:color="auto"/>
        <w:right w:val="none" w:sz="0" w:space="0" w:color="auto"/>
      </w:divBdr>
    </w:div>
    <w:div w:id="605621340">
      <w:bodyDiv w:val="1"/>
      <w:marLeft w:val="0"/>
      <w:marRight w:val="0"/>
      <w:marTop w:val="0"/>
      <w:marBottom w:val="0"/>
      <w:divBdr>
        <w:top w:val="none" w:sz="0" w:space="0" w:color="auto"/>
        <w:left w:val="none" w:sz="0" w:space="0" w:color="auto"/>
        <w:bottom w:val="none" w:sz="0" w:space="0" w:color="auto"/>
        <w:right w:val="none" w:sz="0" w:space="0" w:color="auto"/>
      </w:divBdr>
    </w:div>
    <w:div w:id="735780192">
      <w:bodyDiv w:val="1"/>
      <w:marLeft w:val="0"/>
      <w:marRight w:val="0"/>
      <w:marTop w:val="0"/>
      <w:marBottom w:val="0"/>
      <w:divBdr>
        <w:top w:val="none" w:sz="0" w:space="0" w:color="auto"/>
        <w:left w:val="none" w:sz="0" w:space="0" w:color="auto"/>
        <w:bottom w:val="none" w:sz="0" w:space="0" w:color="auto"/>
        <w:right w:val="none" w:sz="0" w:space="0" w:color="auto"/>
      </w:divBdr>
    </w:div>
    <w:div w:id="793718818">
      <w:bodyDiv w:val="1"/>
      <w:marLeft w:val="0"/>
      <w:marRight w:val="0"/>
      <w:marTop w:val="0"/>
      <w:marBottom w:val="0"/>
      <w:divBdr>
        <w:top w:val="none" w:sz="0" w:space="0" w:color="auto"/>
        <w:left w:val="none" w:sz="0" w:space="0" w:color="auto"/>
        <w:bottom w:val="none" w:sz="0" w:space="0" w:color="auto"/>
        <w:right w:val="none" w:sz="0" w:space="0" w:color="auto"/>
      </w:divBdr>
    </w:div>
    <w:div w:id="850683354">
      <w:bodyDiv w:val="1"/>
      <w:marLeft w:val="0"/>
      <w:marRight w:val="0"/>
      <w:marTop w:val="0"/>
      <w:marBottom w:val="0"/>
      <w:divBdr>
        <w:top w:val="none" w:sz="0" w:space="0" w:color="auto"/>
        <w:left w:val="none" w:sz="0" w:space="0" w:color="auto"/>
        <w:bottom w:val="none" w:sz="0" w:space="0" w:color="auto"/>
        <w:right w:val="none" w:sz="0" w:space="0" w:color="auto"/>
      </w:divBdr>
    </w:div>
    <w:div w:id="1004892681">
      <w:bodyDiv w:val="1"/>
      <w:marLeft w:val="0"/>
      <w:marRight w:val="0"/>
      <w:marTop w:val="0"/>
      <w:marBottom w:val="0"/>
      <w:divBdr>
        <w:top w:val="none" w:sz="0" w:space="0" w:color="auto"/>
        <w:left w:val="none" w:sz="0" w:space="0" w:color="auto"/>
        <w:bottom w:val="none" w:sz="0" w:space="0" w:color="auto"/>
        <w:right w:val="none" w:sz="0" w:space="0" w:color="auto"/>
      </w:divBdr>
    </w:div>
    <w:div w:id="1020400752">
      <w:bodyDiv w:val="1"/>
      <w:marLeft w:val="0"/>
      <w:marRight w:val="0"/>
      <w:marTop w:val="0"/>
      <w:marBottom w:val="0"/>
      <w:divBdr>
        <w:top w:val="none" w:sz="0" w:space="0" w:color="auto"/>
        <w:left w:val="none" w:sz="0" w:space="0" w:color="auto"/>
        <w:bottom w:val="none" w:sz="0" w:space="0" w:color="auto"/>
        <w:right w:val="none" w:sz="0" w:space="0" w:color="auto"/>
      </w:divBdr>
    </w:div>
    <w:div w:id="1025525369">
      <w:bodyDiv w:val="1"/>
      <w:marLeft w:val="0"/>
      <w:marRight w:val="0"/>
      <w:marTop w:val="0"/>
      <w:marBottom w:val="0"/>
      <w:divBdr>
        <w:top w:val="none" w:sz="0" w:space="0" w:color="auto"/>
        <w:left w:val="none" w:sz="0" w:space="0" w:color="auto"/>
        <w:bottom w:val="none" w:sz="0" w:space="0" w:color="auto"/>
        <w:right w:val="none" w:sz="0" w:space="0" w:color="auto"/>
      </w:divBdr>
    </w:div>
    <w:div w:id="1179929436">
      <w:bodyDiv w:val="1"/>
      <w:marLeft w:val="0"/>
      <w:marRight w:val="0"/>
      <w:marTop w:val="0"/>
      <w:marBottom w:val="0"/>
      <w:divBdr>
        <w:top w:val="none" w:sz="0" w:space="0" w:color="auto"/>
        <w:left w:val="none" w:sz="0" w:space="0" w:color="auto"/>
        <w:bottom w:val="none" w:sz="0" w:space="0" w:color="auto"/>
        <w:right w:val="none" w:sz="0" w:space="0" w:color="auto"/>
      </w:divBdr>
    </w:div>
    <w:div w:id="1227380609">
      <w:bodyDiv w:val="1"/>
      <w:marLeft w:val="0"/>
      <w:marRight w:val="0"/>
      <w:marTop w:val="0"/>
      <w:marBottom w:val="0"/>
      <w:divBdr>
        <w:top w:val="none" w:sz="0" w:space="0" w:color="auto"/>
        <w:left w:val="none" w:sz="0" w:space="0" w:color="auto"/>
        <w:bottom w:val="none" w:sz="0" w:space="0" w:color="auto"/>
        <w:right w:val="none" w:sz="0" w:space="0" w:color="auto"/>
      </w:divBdr>
    </w:div>
    <w:div w:id="1245649187">
      <w:bodyDiv w:val="1"/>
      <w:marLeft w:val="0"/>
      <w:marRight w:val="0"/>
      <w:marTop w:val="0"/>
      <w:marBottom w:val="0"/>
      <w:divBdr>
        <w:top w:val="none" w:sz="0" w:space="0" w:color="auto"/>
        <w:left w:val="none" w:sz="0" w:space="0" w:color="auto"/>
        <w:bottom w:val="none" w:sz="0" w:space="0" w:color="auto"/>
        <w:right w:val="none" w:sz="0" w:space="0" w:color="auto"/>
      </w:divBdr>
    </w:div>
    <w:div w:id="1301114741">
      <w:bodyDiv w:val="1"/>
      <w:marLeft w:val="0"/>
      <w:marRight w:val="0"/>
      <w:marTop w:val="0"/>
      <w:marBottom w:val="0"/>
      <w:divBdr>
        <w:top w:val="none" w:sz="0" w:space="0" w:color="auto"/>
        <w:left w:val="none" w:sz="0" w:space="0" w:color="auto"/>
        <w:bottom w:val="none" w:sz="0" w:space="0" w:color="auto"/>
        <w:right w:val="none" w:sz="0" w:space="0" w:color="auto"/>
      </w:divBdr>
    </w:div>
    <w:div w:id="1375041150">
      <w:bodyDiv w:val="1"/>
      <w:marLeft w:val="0"/>
      <w:marRight w:val="0"/>
      <w:marTop w:val="0"/>
      <w:marBottom w:val="0"/>
      <w:divBdr>
        <w:top w:val="none" w:sz="0" w:space="0" w:color="auto"/>
        <w:left w:val="none" w:sz="0" w:space="0" w:color="auto"/>
        <w:bottom w:val="none" w:sz="0" w:space="0" w:color="auto"/>
        <w:right w:val="none" w:sz="0" w:space="0" w:color="auto"/>
      </w:divBdr>
    </w:div>
    <w:div w:id="1418205662">
      <w:bodyDiv w:val="1"/>
      <w:marLeft w:val="0"/>
      <w:marRight w:val="0"/>
      <w:marTop w:val="0"/>
      <w:marBottom w:val="0"/>
      <w:divBdr>
        <w:top w:val="none" w:sz="0" w:space="0" w:color="auto"/>
        <w:left w:val="none" w:sz="0" w:space="0" w:color="auto"/>
        <w:bottom w:val="none" w:sz="0" w:space="0" w:color="auto"/>
        <w:right w:val="none" w:sz="0" w:space="0" w:color="auto"/>
      </w:divBdr>
    </w:div>
    <w:div w:id="1422339842">
      <w:bodyDiv w:val="1"/>
      <w:marLeft w:val="0"/>
      <w:marRight w:val="0"/>
      <w:marTop w:val="0"/>
      <w:marBottom w:val="0"/>
      <w:divBdr>
        <w:top w:val="none" w:sz="0" w:space="0" w:color="auto"/>
        <w:left w:val="none" w:sz="0" w:space="0" w:color="auto"/>
        <w:bottom w:val="none" w:sz="0" w:space="0" w:color="auto"/>
        <w:right w:val="none" w:sz="0" w:space="0" w:color="auto"/>
      </w:divBdr>
    </w:div>
    <w:div w:id="1427379580">
      <w:bodyDiv w:val="1"/>
      <w:marLeft w:val="0"/>
      <w:marRight w:val="0"/>
      <w:marTop w:val="0"/>
      <w:marBottom w:val="0"/>
      <w:divBdr>
        <w:top w:val="none" w:sz="0" w:space="0" w:color="auto"/>
        <w:left w:val="none" w:sz="0" w:space="0" w:color="auto"/>
        <w:bottom w:val="none" w:sz="0" w:space="0" w:color="auto"/>
        <w:right w:val="none" w:sz="0" w:space="0" w:color="auto"/>
      </w:divBdr>
    </w:div>
    <w:div w:id="1458253645">
      <w:bodyDiv w:val="1"/>
      <w:marLeft w:val="0"/>
      <w:marRight w:val="0"/>
      <w:marTop w:val="0"/>
      <w:marBottom w:val="0"/>
      <w:divBdr>
        <w:top w:val="none" w:sz="0" w:space="0" w:color="auto"/>
        <w:left w:val="none" w:sz="0" w:space="0" w:color="auto"/>
        <w:bottom w:val="none" w:sz="0" w:space="0" w:color="auto"/>
        <w:right w:val="none" w:sz="0" w:space="0" w:color="auto"/>
      </w:divBdr>
    </w:div>
    <w:div w:id="1604266824">
      <w:bodyDiv w:val="1"/>
      <w:marLeft w:val="0"/>
      <w:marRight w:val="0"/>
      <w:marTop w:val="0"/>
      <w:marBottom w:val="0"/>
      <w:divBdr>
        <w:top w:val="none" w:sz="0" w:space="0" w:color="auto"/>
        <w:left w:val="none" w:sz="0" w:space="0" w:color="auto"/>
        <w:bottom w:val="none" w:sz="0" w:space="0" w:color="auto"/>
        <w:right w:val="none" w:sz="0" w:space="0" w:color="auto"/>
      </w:divBdr>
    </w:div>
    <w:div w:id="1696035208">
      <w:bodyDiv w:val="1"/>
      <w:marLeft w:val="0"/>
      <w:marRight w:val="0"/>
      <w:marTop w:val="0"/>
      <w:marBottom w:val="0"/>
      <w:divBdr>
        <w:top w:val="none" w:sz="0" w:space="0" w:color="auto"/>
        <w:left w:val="none" w:sz="0" w:space="0" w:color="auto"/>
        <w:bottom w:val="none" w:sz="0" w:space="0" w:color="auto"/>
        <w:right w:val="none" w:sz="0" w:space="0" w:color="auto"/>
      </w:divBdr>
    </w:div>
    <w:div w:id="1701970363">
      <w:bodyDiv w:val="1"/>
      <w:marLeft w:val="0"/>
      <w:marRight w:val="0"/>
      <w:marTop w:val="0"/>
      <w:marBottom w:val="0"/>
      <w:divBdr>
        <w:top w:val="none" w:sz="0" w:space="0" w:color="auto"/>
        <w:left w:val="none" w:sz="0" w:space="0" w:color="auto"/>
        <w:bottom w:val="none" w:sz="0" w:space="0" w:color="auto"/>
        <w:right w:val="none" w:sz="0" w:space="0" w:color="auto"/>
      </w:divBdr>
    </w:div>
    <w:div w:id="1761564676">
      <w:bodyDiv w:val="1"/>
      <w:marLeft w:val="0"/>
      <w:marRight w:val="0"/>
      <w:marTop w:val="0"/>
      <w:marBottom w:val="0"/>
      <w:divBdr>
        <w:top w:val="none" w:sz="0" w:space="0" w:color="auto"/>
        <w:left w:val="none" w:sz="0" w:space="0" w:color="auto"/>
        <w:bottom w:val="none" w:sz="0" w:space="0" w:color="auto"/>
        <w:right w:val="none" w:sz="0" w:space="0" w:color="auto"/>
      </w:divBdr>
    </w:div>
    <w:div w:id="1765417409">
      <w:bodyDiv w:val="1"/>
      <w:marLeft w:val="0"/>
      <w:marRight w:val="0"/>
      <w:marTop w:val="0"/>
      <w:marBottom w:val="0"/>
      <w:divBdr>
        <w:top w:val="none" w:sz="0" w:space="0" w:color="auto"/>
        <w:left w:val="none" w:sz="0" w:space="0" w:color="auto"/>
        <w:bottom w:val="none" w:sz="0" w:space="0" w:color="auto"/>
        <w:right w:val="none" w:sz="0" w:space="0" w:color="auto"/>
      </w:divBdr>
    </w:div>
    <w:div w:id="1766488694">
      <w:bodyDiv w:val="1"/>
      <w:marLeft w:val="0"/>
      <w:marRight w:val="0"/>
      <w:marTop w:val="0"/>
      <w:marBottom w:val="0"/>
      <w:divBdr>
        <w:top w:val="none" w:sz="0" w:space="0" w:color="auto"/>
        <w:left w:val="none" w:sz="0" w:space="0" w:color="auto"/>
        <w:bottom w:val="none" w:sz="0" w:space="0" w:color="auto"/>
        <w:right w:val="none" w:sz="0" w:space="0" w:color="auto"/>
      </w:divBdr>
    </w:div>
    <w:div w:id="1786924194">
      <w:bodyDiv w:val="1"/>
      <w:marLeft w:val="0"/>
      <w:marRight w:val="0"/>
      <w:marTop w:val="0"/>
      <w:marBottom w:val="0"/>
      <w:divBdr>
        <w:top w:val="none" w:sz="0" w:space="0" w:color="auto"/>
        <w:left w:val="none" w:sz="0" w:space="0" w:color="auto"/>
        <w:bottom w:val="none" w:sz="0" w:space="0" w:color="auto"/>
        <w:right w:val="none" w:sz="0" w:space="0" w:color="auto"/>
      </w:divBdr>
    </w:div>
    <w:div w:id="1826436525">
      <w:bodyDiv w:val="1"/>
      <w:marLeft w:val="0"/>
      <w:marRight w:val="0"/>
      <w:marTop w:val="0"/>
      <w:marBottom w:val="0"/>
      <w:divBdr>
        <w:top w:val="none" w:sz="0" w:space="0" w:color="auto"/>
        <w:left w:val="none" w:sz="0" w:space="0" w:color="auto"/>
        <w:bottom w:val="none" w:sz="0" w:space="0" w:color="auto"/>
        <w:right w:val="none" w:sz="0" w:space="0" w:color="auto"/>
      </w:divBdr>
    </w:div>
    <w:div w:id="1907372060">
      <w:bodyDiv w:val="1"/>
      <w:marLeft w:val="0"/>
      <w:marRight w:val="0"/>
      <w:marTop w:val="0"/>
      <w:marBottom w:val="0"/>
      <w:divBdr>
        <w:top w:val="none" w:sz="0" w:space="0" w:color="auto"/>
        <w:left w:val="none" w:sz="0" w:space="0" w:color="auto"/>
        <w:bottom w:val="none" w:sz="0" w:space="0" w:color="auto"/>
        <w:right w:val="none" w:sz="0" w:space="0" w:color="auto"/>
      </w:divBdr>
    </w:div>
    <w:div w:id="1914971324">
      <w:bodyDiv w:val="1"/>
      <w:marLeft w:val="0"/>
      <w:marRight w:val="0"/>
      <w:marTop w:val="0"/>
      <w:marBottom w:val="0"/>
      <w:divBdr>
        <w:top w:val="none" w:sz="0" w:space="0" w:color="auto"/>
        <w:left w:val="none" w:sz="0" w:space="0" w:color="auto"/>
        <w:bottom w:val="none" w:sz="0" w:space="0" w:color="auto"/>
        <w:right w:val="none" w:sz="0" w:space="0" w:color="auto"/>
      </w:divBdr>
    </w:div>
    <w:div w:id="1920823206">
      <w:bodyDiv w:val="1"/>
      <w:marLeft w:val="0"/>
      <w:marRight w:val="0"/>
      <w:marTop w:val="0"/>
      <w:marBottom w:val="0"/>
      <w:divBdr>
        <w:top w:val="none" w:sz="0" w:space="0" w:color="auto"/>
        <w:left w:val="none" w:sz="0" w:space="0" w:color="auto"/>
        <w:bottom w:val="none" w:sz="0" w:space="0" w:color="auto"/>
        <w:right w:val="none" w:sz="0" w:space="0" w:color="auto"/>
      </w:divBdr>
    </w:div>
    <w:div w:id="1946843457">
      <w:bodyDiv w:val="1"/>
      <w:marLeft w:val="0"/>
      <w:marRight w:val="0"/>
      <w:marTop w:val="0"/>
      <w:marBottom w:val="0"/>
      <w:divBdr>
        <w:top w:val="none" w:sz="0" w:space="0" w:color="auto"/>
        <w:left w:val="none" w:sz="0" w:space="0" w:color="auto"/>
        <w:bottom w:val="none" w:sz="0" w:space="0" w:color="auto"/>
        <w:right w:val="none" w:sz="0" w:space="0" w:color="auto"/>
      </w:divBdr>
    </w:div>
    <w:div w:id="2024166294">
      <w:bodyDiv w:val="1"/>
      <w:marLeft w:val="0"/>
      <w:marRight w:val="0"/>
      <w:marTop w:val="0"/>
      <w:marBottom w:val="0"/>
      <w:divBdr>
        <w:top w:val="none" w:sz="0" w:space="0" w:color="auto"/>
        <w:left w:val="none" w:sz="0" w:space="0" w:color="auto"/>
        <w:bottom w:val="none" w:sz="0" w:space="0" w:color="auto"/>
        <w:right w:val="none" w:sz="0" w:space="0" w:color="auto"/>
      </w:divBdr>
    </w:div>
    <w:div w:id="2122990191">
      <w:bodyDiv w:val="1"/>
      <w:marLeft w:val="0"/>
      <w:marRight w:val="0"/>
      <w:marTop w:val="0"/>
      <w:marBottom w:val="0"/>
      <w:divBdr>
        <w:top w:val="none" w:sz="0" w:space="0" w:color="auto"/>
        <w:left w:val="none" w:sz="0" w:space="0" w:color="auto"/>
        <w:bottom w:val="none" w:sz="0" w:space="0" w:color="auto"/>
        <w:right w:val="none" w:sz="0" w:space="0" w:color="auto"/>
      </w:divBdr>
    </w:div>
    <w:div w:id="2131776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knowledge/factsheets/pay-structures-factsheet/" TargetMode="External"/><Relationship Id="rId13" Type="http://schemas.openxmlformats.org/officeDocument/2006/relationships/hyperlink" Target="https://hbr.org/2019/03/how-to-design-a-reward-system-that-actually-motivates" TargetMode="External"/><Relationship Id="rId3" Type="http://schemas.openxmlformats.org/officeDocument/2006/relationships/settings" Target="settings.xml"/><Relationship Id="rId7" Type="http://schemas.openxmlformats.org/officeDocument/2006/relationships/hyperlink" Target="https://www.cipd.org/uk/knowledge/factsheets/market-pricing-factsheet/" TargetMode="External"/><Relationship Id="rId12" Type="http://schemas.openxmlformats.org/officeDocument/2006/relationships/hyperlink" Target="https://hbr.org/2018/01/the-power-of-intrinsic-motivation"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br.org/2017/04/the-problem-with-financial-incentives" TargetMode="External"/><Relationship Id="rId5" Type="http://schemas.openxmlformats.org/officeDocument/2006/relationships/footnotes" Target="footnotes.xml"/><Relationship Id="rId15" Type="http://schemas.openxmlformats.org/officeDocument/2006/relationships/hyperlink" Target="https://www.hrmagazine.co.uk/" TargetMode="External"/><Relationship Id="rId10" Type="http://schemas.openxmlformats.org/officeDocument/2006/relationships/hyperlink" Target="https://www.legislation.gov.uk/ukpga/2010/15" TargetMode="External"/><Relationship Id="rId4" Type="http://schemas.openxmlformats.org/officeDocument/2006/relationships/webSettings" Target="webSettings.xml"/><Relationship Id="rId9" Type="http://schemas.openxmlformats.org/officeDocument/2006/relationships/hyperlink" Target="https://www.cipd.org/uk/knowledge/factsheets/reward-factsheet/" TargetMode="External"/><Relationship Id="rId14" Type="http://schemas.openxmlformats.org/officeDocument/2006/relationships/hyperlink" Target="https://hbr.org/2019/09/using-people-analytics-to-improve-decision-mak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23</Pages>
  <Words>8406</Words>
  <Characters>55147</Characters>
  <Application>Microsoft Office Word</Application>
  <DocSecurity>0</DocSecurity>
  <Lines>861</Lines>
  <Paragraphs>184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Warne</dc:creator>
  <cp:keywords/>
  <dc:description/>
  <cp:lastModifiedBy>Melanie Warne</cp:lastModifiedBy>
  <cp:revision>2</cp:revision>
  <dcterms:created xsi:type="dcterms:W3CDTF">2026-03-02T20:51:00Z</dcterms:created>
  <dcterms:modified xsi:type="dcterms:W3CDTF">2026-03-02T20:51:00Z</dcterms:modified>
</cp:coreProperties>
</file>