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A3B845" w14:textId="63C3B6A3" w:rsidR="00D31FEE" w:rsidRPr="00815D9B" w:rsidRDefault="00D31FEE" w:rsidP="00003DD6">
      <w:pPr>
        <w:tabs>
          <w:tab w:val="left" w:pos="1200"/>
        </w:tabs>
        <w:jc w:val="center"/>
        <w:rPr>
          <w:rFonts w:ascii="Arial" w:hAnsi="Arial" w:cs="Arial"/>
          <w:b/>
          <w:bCs/>
        </w:rPr>
      </w:pPr>
      <w:r w:rsidRPr="00815D9B">
        <w:rPr>
          <w:rFonts w:ascii="Arial" w:hAnsi="Arial" w:cs="Arial"/>
        </w:rPr>
        <w:t>Evaluating the Importance of Equality a</w:t>
      </w:r>
      <w:r w:rsidR="00046648" w:rsidRPr="00815D9B">
        <w:rPr>
          <w:rFonts w:ascii="Arial" w:hAnsi="Arial" w:cs="Arial"/>
        </w:rPr>
        <w:t>n</w:t>
      </w:r>
      <w:r w:rsidRPr="00815D9B">
        <w:rPr>
          <w:rFonts w:ascii="Arial" w:hAnsi="Arial" w:cs="Arial"/>
        </w:rPr>
        <w:t>d</w:t>
      </w:r>
      <w:r w:rsidR="007E6517" w:rsidRPr="00815D9B">
        <w:rPr>
          <w:rFonts w:ascii="Arial" w:hAnsi="Arial" w:cs="Arial"/>
          <w:b/>
          <w:bCs/>
        </w:rPr>
        <w:t xml:space="preserve"> </w:t>
      </w:r>
      <w:r w:rsidRPr="00815D9B">
        <w:rPr>
          <w:rFonts w:ascii="Arial" w:hAnsi="Arial" w:cs="Arial"/>
        </w:rPr>
        <w:t>Diversity Within the Legal Profession</w:t>
      </w:r>
    </w:p>
    <w:p w14:paraId="2A743C86" w14:textId="0E7EC36A" w:rsidR="00D31FEE" w:rsidRPr="00815D9B" w:rsidRDefault="00D31FEE" w:rsidP="006A0B1A">
      <w:pPr>
        <w:tabs>
          <w:tab w:val="left" w:pos="1200"/>
        </w:tabs>
        <w:jc w:val="center"/>
        <w:rPr>
          <w:rFonts w:ascii="Arial" w:hAnsi="Arial" w:cs="Arial"/>
          <w:b/>
          <w:bCs/>
        </w:rPr>
      </w:pPr>
      <w:r w:rsidRPr="00815D9B">
        <w:rPr>
          <w:rFonts w:ascii="Arial" w:hAnsi="Arial" w:cs="Arial"/>
          <w:b/>
          <w:bCs/>
        </w:rPr>
        <w:t>Introduction</w:t>
      </w:r>
    </w:p>
    <w:p w14:paraId="21D899A1" w14:textId="18A1E8D2" w:rsidR="00D31FEE" w:rsidRPr="00815D9B" w:rsidRDefault="00730901"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This assignmen</w:t>
      </w:r>
      <w:r w:rsidR="00BE10F9" w:rsidRPr="00815D9B">
        <w:rPr>
          <w:rFonts w:ascii="Arial" w:eastAsia="Times New Roman" w:hAnsi="Arial" w:cs="Arial"/>
          <w:kern w:val="0"/>
          <w:lang w:eastAsia="en-GB"/>
          <w14:ligatures w14:val="none"/>
        </w:rPr>
        <w:t>t will</w:t>
      </w:r>
      <w:r w:rsidR="002C43B1" w:rsidRPr="00815D9B">
        <w:rPr>
          <w:rFonts w:ascii="Arial" w:eastAsia="Times New Roman" w:hAnsi="Arial" w:cs="Arial"/>
          <w:kern w:val="0"/>
          <w:lang w:eastAsia="en-GB"/>
          <w14:ligatures w14:val="none"/>
        </w:rPr>
        <w:t xml:space="preserve"> </w:t>
      </w:r>
      <w:r w:rsidR="00374830" w:rsidRPr="00815D9B">
        <w:rPr>
          <w:rFonts w:ascii="Arial" w:eastAsia="Times New Roman" w:hAnsi="Arial" w:cs="Arial"/>
          <w:kern w:val="0"/>
          <w:lang w:eastAsia="en-GB"/>
          <w14:ligatures w14:val="none"/>
        </w:rPr>
        <w:t xml:space="preserve">evaluate the importance of </w:t>
      </w:r>
      <w:r w:rsidR="0000079E" w:rsidRPr="00815D9B">
        <w:rPr>
          <w:rFonts w:ascii="Arial" w:eastAsia="Times New Roman" w:hAnsi="Arial" w:cs="Arial"/>
          <w:kern w:val="0"/>
          <w:lang w:eastAsia="en-GB"/>
          <w14:ligatures w14:val="none"/>
        </w:rPr>
        <w:t xml:space="preserve">the </w:t>
      </w:r>
      <w:r w:rsidR="00D31FEE" w:rsidRPr="00815D9B">
        <w:rPr>
          <w:rFonts w:ascii="Arial" w:eastAsia="Times New Roman" w:hAnsi="Arial" w:cs="Arial"/>
          <w:kern w:val="0"/>
          <w:lang w:eastAsia="en-GB"/>
          <w14:ligatures w14:val="none"/>
        </w:rPr>
        <w:t>legal profession, equality and diversity</w:t>
      </w:r>
      <w:r w:rsidR="001A3721" w:rsidRPr="00815D9B">
        <w:rPr>
          <w:rFonts w:ascii="Arial" w:eastAsia="Times New Roman" w:hAnsi="Arial" w:cs="Arial"/>
          <w:kern w:val="0"/>
          <w:lang w:eastAsia="en-GB"/>
          <w14:ligatures w14:val="none"/>
        </w:rPr>
        <w:t xml:space="preserve">, which </w:t>
      </w:r>
      <w:r w:rsidR="00D31FEE" w:rsidRPr="00815D9B">
        <w:rPr>
          <w:rFonts w:ascii="Arial" w:eastAsia="Times New Roman" w:hAnsi="Arial" w:cs="Arial"/>
          <w:kern w:val="0"/>
          <w:lang w:eastAsia="en-GB"/>
          <w14:ligatures w14:val="none"/>
        </w:rPr>
        <w:t xml:space="preserve">are fundamental principles </w:t>
      </w:r>
      <w:r w:rsidR="001B0D3B" w:rsidRPr="00815D9B">
        <w:rPr>
          <w:rFonts w:ascii="Arial" w:eastAsia="Times New Roman" w:hAnsi="Arial" w:cs="Arial"/>
          <w:kern w:val="0"/>
          <w:lang w:eastAsia="en-GB"/>
          <w14:ligatures w14:val="none"/>
        </w:rPr>
        <w:t>supporting</w:t>
      </w:r>
      <w:r w:rsidR="00D31FEE" w:rsidRPr="00815D9B">
        <w:rPr>
          <w:rFonts w:ascii="Arial" w:eastAsia="Times New Roman" w:hAnsi="Arial" w:cs="Arial"/>
          <w:kern w:val="0"/>
          <w:lang w:eastAsia="en-GB"/>
          <w14:ligatures w14:val="none"/>
        </w:rPr>
        <w:t xml:space="preserve"> justice and ethical conduct. </w:t>
      </w:r>
      <w:r w:rsidR="001B0D3B" w:rsidRPr="00815D9B">
        <w:rPr>
          <w:rFonts w:ascii="Arial" w:eastAsia="Times New Roman" w:hAnsi="Arial" w:cs="Arial"/>
          <w:kern w:val="0"/>
          <w:lang w:eastAsia="en-GB"/>
          <w14:ligatures w14:val="none"/>
        </w:rPr>
        <w:t>This essay aims to assess the value of diversity and equality in the legal industry, focusing</w:t>
      </w:r>
      <w:r w:rsidR="00D31FEE" w:rsidRPr="00815D9B">
        <w:rPr>
          <w:rFonts w:ascii="Arial" w:eastAsia="Times New Roman" w:hAnsi="Arial" w:cs="Arial"/>
          <w:kern w:val="0"/>
          <w:lang w:eastAsia="en-GB"/>
          <w14:ligatures w14:val="none"/>
        </w:rPr>
        <w:t xml:space="preserve"> on the SRA Code of Conduct (2019) and the Equality Act of 2010. Moreover, the discourse will bring together perspectives from several scholarly and expert sources to thoroughly comprehend these ideas in action.</w:t>
      </w:r>
    </w:p>
    <w:p w14:paraId="50B1CCF3" w14:textId="77777777" w:rsidR="001E30B8" w:rsidRPr="00815D9B" w:rsidRDefault="001E30B8" w:rsidP="00E92205">
      <w:pPr>
        <w:spacing w:after="0" w:line="240" w:lineRule="auto"/>
        <w:jc w:val="both"/>
        <w:rPr>
          <w:rFonts w:ascii="Arial" w:eastAsia="Times New Roman" w:hAnsi="Arial" w:cs="Arial"/>
          <w:kern w:val="0"/>
          <w:lang w:eastAsia="en-GB"/>
          <w14:ligatures w14:val="none"/>
        </w:rPr>
      </w:pPr>
    </w:p>
    <w:p w14:paraId="0A195066" w14:textId="7CBBFBD0" w:rsidR="00D31FEE" w:rsidRPr="00815D9B" w:rsidRDefault="00A5770E" w:rsidP="00E92205">
      <w:pPr>
        <w:spacing w:after="0" w:line="240" w:lineRule="auto"/>
        <w:jc w:val="both"/>
        <w:rPr>
          <w:rFonts w:ascii="Arial" w:eastAsia="Times New Roman" w:hAnsi="Arial" w:cs="Arial"/>
          <w:b/>
          <w:bCs/>
          <w:kern w:val="0"/>
          <w:lang w:eastAsia="en-GB"/>
          <w14:ligatures w14:val="none"/>
        </w:rPr>
      </w:pPr>
      <w:r w:rsidRPr="00815D9B">
        <w:rPr>
          <w:rFonts w:ascii="Arial" w:eastAsia="Times New Roman" w:hAnsi="Arial" w:cs="Arial"/>
          <w:b/>
          <w:bCs/>
          <w:kern w:val="0"/>
          <w:lang w:eastAsia="en-GB"/>
          <w14:ligatures w14:val="none"/>
        </w:rPr>
        <w:t>The Value of Diversity and Equ</w:t>
      </w:r>
      <w:r w:rsidR="004408DA" w:rsidRPr="00815D9B">
        <w:rPr>
          <w:rFonts w:ascii="Arial" w:eastAsia="Times New Roman" w:hAnsi="Arial" w:cs="Arial"/>
          <w:b/>
          <w:bCs/>
          <w:kern w:val="0"/>
          <w:lang w:eastAsia="en-GB"/>
          <w14:ligatures w14:val="none"/>
        </w:rPr>
        <w:t xml:space="preserve">ality </w:t>
      </w:r>
    </w:p>
    <w:p w14:paraId="7701C851" w14:textId="77777777" w:rsidR="004408DA" w:rsidRPr="00815D9B" w:rsidRDefault="004408DA" w:rsidP="00E92205">
      <w:pPr>
        <w:spacing w:after="0" w:line="240" w:lineRule="auto"/>
        <w:jc w:val="both"/>
        <w:rPr>
          <w:rFonts w:ascii="Arial" w:eastAsia="Times New Roman" w:hAnsi="Arial" w:cs="Arial"/>
          <w:kern w:val="0"/>
          <w:lang w:eastAsia="en-GB"/>
          <w14:ligatures w14:val="none"/>
        </w:rPr>
      </w:pPr>
    </w:p>
    <w:p w14:paraId="644CA2D2" w14:textId="4633D316" w:rsidR="00D31FEE" w:rsidRPr="00815D9B" w:rsidRDefault="00D31FEE"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 xml:space="preserve">For </w:t>
      </w:r>
      <w:r w:rsidR="001B0D3B" w:rsidRPr="00815D9B">
        <w:rPr>
          <w:rFonts w:ascii="Arial" w:eastAsia="Times New Roman" w:hAnsi="Arial" w:cs="Arial"/>
          <w:kern w:val="0"/>
          <w:lang w:eastAsia="en-GB"/>
          <w14:ligatures w14:val="none"/>
        </w:rPr>
        <w:t>several</w:t>
      </w:r>
      <w:r w:rsidRPr="00815D9B">
        <w:rPr>
          <w:rFonts w:ascii="Arial" w:eastAsia="Times New Roman" w:hAnsi="Arial" w:cs="Arial"/>
          <w:kern w:val="0"/>
          <w:lang w:eastAsia="en-GB"/>
          <w14:ligatures w14:val="none"/>
        </w:rPr>
        <w:t xml:space="preserve"> reasons, diversity and equality in the legal profession are essential. Initially, they </w:t>
      </w:r>
      <w:r w:rsidR="001B0D3B" w:rsidRPr="00815D9B">
        <w:rPr>
          <w:rFonts w:ascii="Arial" w:eastAsia="Times New Roman" w:hAnsi="Arial" w:cs="Arial"/>
          <w:kern w:val="0"/>
          <w:lang w:eastAsia="en-GB"/>
          <w14:ligatures w14:val="none"/>
        </w:rPr>
        <w:t>ensure that the legal profession reflects the society it works with, increasing</w:t>
      </w:r>
      <w:r w:rsidRPr="00815D9B">
        <w:rPr>
          <w:rFonts w:ascii="Arial" w:eastAsia="Times New Roman" w:hAnsi="Arial" w:cs="Arial"/>
          <w:kern w:val="0"/>
          <w:lang w:eastAsia="en-GB"/>
          <w14:ligatures w14:val="none"/>
        </w:rPr>
        <w:t xml:space="preserve"> public confidence in the legal system (Thomas, 2020). Second, a diverse legal workforce can enhance the calibre of legal services and decision-making by bringing a range of viewpoints and experiences to the table (Barmes, 2016). Thirdly, encouraging diversity and equality guarantees that opportunities in the field are open to all people, regardless of background, and aids in the fight against systemic discrimination (Cownie, 2019).</w:t>
      </w:r>
    </w:p>
    <w:p w14:paraId="76904803" w14:textId="77777777" w:rsidR="007A005A" w:rsidRPr="00815D9B" w:rsidRDefault="007A005A" w:rsidP="00E92205">
      <w:pPr>
        <w:spacing w:after="0" w:line="240" w:lineRule="auto"/>
        <w:jc w:val="both"/>
        <w:rPr>
          <w:rFonts w:ascii="Arial" w:eastAsia="Times New Roman" w:hAnsi="Arial" w:cs="Arial"/>
          <w:kern w:val="0"/>
          <w:lang w:eastAsia="en-GB"/>
          <w14:ligatures w14:val="none"/>
        </w:rPr>
      </w:pPr>
    </w:p>
    <w:p w14:paraId="61304ED6" w14:textId="77777777" w:rsidR="007A005A" w:rsidRPr="00815D9B" w:rsidRDefault="007A005A" w:rsidP="00E92205">
      <w:pPr>
        <w:spacing w:after="0" w:line="240" w:lineRule="auto"/>
        <w:jc w:val="both"/>
        <w:rPr>
          <w:rFonts w:ascii="Arial" w:eastAsia="Times New Roman" w:hAnsi="Arial" w:cs="Arial"/>
          <w:b/>
          <w:bCs/>
          <w:kern w:val="0"/>
          <w:lang w:eastAsia="en-GB"/>
          <w14:ligatures w14:val="none"/>
        </w:rPr>
      </w:pPr>
      <w:r w:rsidRPr="00815D9B">
        <w:rPr>
          <w:rFonts w:ascii="Arial" w:eastAsia="Times New Roman" w:hAnsi="Arial" w:cs="Arial"/>
          <w:b/>
          <w:bCs/>
          <w:kern w:val="0"/>
          <w:lang w:eastAsia="en-GB"/>
          <w14:ligatures w14:val="none"/>
        </w:rPr>
        <w:t>The 2010 Equality Act</w:t>
      </w:r>
    </w:p>
    <w:p w14:paraId="047C607C" w14:textId="70FCB493" w:rsidR="007A005A" w:rsidRPr="00815D9B" w:rsidRDefault="007A005A"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br/>
        <w:t>An important component of UK legislation, the Equality Act 2010 unifies earlier anti-discrimination measures into a single Act. Age, handicap, gender reassignment, marriage and civil partnerships, pregnancy and motherhood, ethnicity, religion or belief, sex, and sexual orientation are the nine protected characteristics that shield people from discrimination (Equality Act, 2010). In order</w:t>
      </w:r>
      <w:r w:rsidR="00A40C5C">
        <w:rPr>
          <w:rFonts w:ascii="Arial" w:eastAsia="Times New Roman" w:hAnsi="Arial" w:cs="Arial"/>
          <w:kern w:val="0"/>
          <w:lang w:eastAsia="en-GB"/>
          <w14:ligatures w14:val="none"/>
        </w:rPr>
        <w:t xml:space="preserve"> </w:t>
      </w:r>
      <w:r w:rsidRPr="00815D9B">
        <w:rPr>
          <w:rFonts w:ascii="Arial" w:eastAsia="Times New Roman" w:hAnsi="Arial" w:cs="Arial"/>
          <w:kern w:val="0"/>
          <w:lang w:eastAsia="en-GB"/>
          <w14:ligatures w14:val="none"/>
        </w:rPr>
        <w:t>to guarantee that solicitors maintain these rights in their practice and at work, this Act is essential.</w:t>
      </w:r>
    </w:p>
    <w:p w14:paraId="5E8E4A0A" w14:textId="77777777" w:rsidR="007A005A" w:rsidRPr="00815D9B" w:rsidRDefault="007A005A"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Employers, including legal firms, are required by the Act to refrain from discriminating against their clients or workers. This mandate covers hiring, advertising, and service delivery as well. Legal practitioners who abide by the Equality Act not only follow the law but also help to create a more equitable and inclusive profession (Adams, 2017).</w:t>
      </w:r>
    </w:p>
    <w:p w14:paraId="5623CEB7" w14:textId="77777777" w:rsidR="00B77C35" w:rsidRPr="00815D9B" w:rsidRDefault="00B77C35" w:rsidP="00E92205">
      <w:pPr>
        <w:spacing w:after="0" w:line="240" w:lineRule="auto"/>
        <w:jc w:val="both"/>
        <w:rPr>
          <w:rFonts w:ascii="Arial" w:eastAsia="Times New Roman" w:hAnsi="Arial" w:cs="Arial"/>
          <w:kern w:val="0"/>
          <w:lang w:eastAsia="en-GB"/>
          <w14:ligatures w14:val="none"/>
        </w:rPr>
      </w:pPr>
    </w:p>
    <w:p w14:paraId="18DDAFCF" w14:textId="48F621FE" w:rsidR="00744AA1" w:rsidRPr="00815D9B" w:rsidRDefault="00744AA1" w:rsidP="00E92205">
      <w:pPr>
        <w:spacing w:after="0" w:line="240" w:lineRule="auto"/>
        <w:jc w:val="both"/>
        <w:rPr>
          <w:rFonts w:ascii="Arial" w:eastAsia="Times New Roman" w:hAnsi="Arial" w:cs="Arial"/>
          <w:b/>
          <w:bCs/>
          <w:kern w:val="0"/>
          <w:lang w:eastAsia="en-GB"/>
          <w14:ligatures w14:val="none"/>
        </w:rPr>
      </w:pPr>
      <w:r w:rsidRPr="00815D9B">
        <w:rPr>
          <w:rFonts w:ascii="Arial" w:eastAsia="Times New Roman" w:hAnsi="Arial" w:cs="Arial"/>
          <w:b/>
          <w:bCs/>
          <w:kern w:val="0"/>
          <w:lang w:eastAsia="en-GB"/>
          <w14:ligatures w14:val="none"/>
        </w:rPr>
        <w:t>The 2019 SRA Code of conduct</w:t>
      </w:r>
    </w:p>
    <w:p w14:paraId="126AF504" w14:textId="77777777" w:rsidR="00744AA1" w:rsidRPr="00815D9B" w:rsidRDefault="00744AA1" w:rsidP="00E92205">
      <w:pPr>
        <w:spacing w:after="0" w:line="240" w:lineRule="auto"/>
        <w:jc w:val="both"/>
        <w:rPr>
          <w:rFonts w:ascii="Arial" w:eastAsia="Times New Roman" w:hAnsi="Arial" w:cs="Arial"/>
          <w:kern w:val="0"/>
          <w:lang w:eastAsia="en-GB"/>
          <w14:ligatures w14:val="none"/>
        </w:rPr>
      </w:pPr>
    </w:p>
    <w:p w14:paraId="29619DD5" w14:textId="41F38339" w:rsidR="007A005A" w:rsidRPr="00815D9B" w:rsidRDefault="007A005A"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The professional standards that solicitors in England and Wales are expected to uphold are outlined in the 2019 Solicitors Regulation Authority (SRA) Code of Conduct. The Code places a strong emphasis on upholding public confidence, acting honourably, and advancing diversity and equality (SRA, 2019). It is consistent with the tenets of the Equality Act 2010 by requiring solicitors to treat all clients equally and without bias.</w:t>
      </w:r>
      <w:r w:rsidR="003E3F57" w:rsidRPr="00815D9B">
        <w:rPr>
          <w:rFonts w:ascii="Arial" w:eastAsia="Times New Roman" w:hAnsi="Arial" w:cs="Arial"/>
          <w:kern w:val="0"/>
          <w:lang w:eastAsia="en-GB"/>
          <w14:ligatures w14:val="none"/>
        </w:rPr>
        <w:t xml:space="preserve"> </w:t>
      </w:r>
      <w:r w:rsidR="00744AA1" w:rsidRPr="00815D9B">
        <w:rPr>
          <w:rFonts w:ascii="Arial" w:eastAsia="Times New Roman" w:hAnsi="Arial" w:cs="Arial"/>
          <w:kern w:val="0"/>
          <w:lang w:eastAsia="en-GB"/>
          <w14:ligatures w14:val="none"/>
        </w:rPr>
        <w:t>T</w:t>
      </w:r>
      <w:r w:rsidRPr="00815D9B">
        <w:rPr>
          <w:rFonts w:ascii="Arial" w:eastAsia="Times New Roman" w:hAnsi="Arial" w:cs="Arial"/>
          <w:kern w:val="0"/>
          <w:lang w:eastAsia="en-GB"/>
          <w14:ligatures w14:val="none"/>
        </w:rPr>
        <w:t>he SRA Code places a strong emphasis on the moral obligations of solicitors. For example, Principle 5 of the SRA Principles mandates that lawyers act with honesty, while Principle 6 compels solicitors to promote equality, diversity, and inclusion (SRA, 2019). These guidelines are intended to make sure that everyone working in the legal field contributes to an environment of justice and decency.</w:t>
      </w:r>
    </w:p>
    <w:p w14:paraId="6D7106F7" w14:textId="42082792" w:rsidR="003E3F57" w:rsidRPr="00815D9B" w:rsidRDefault="003E3F57" w:rsidP="00E92205">
      <w:pPr>
        <w:spacing w:after="0" w:line="240" w:lineRule="auto"/>
        <w:jc w:val="both"/>
        <w:rPr>
          <w:rFonts w:ascii="Arial" w:eastAsia="Times New Roman" w:hAnsi="Arial" w:cs="Arial"/>
          <w:kern w:val="0"/>
          <w:lang w:eastAsia="en-GB"/>
          <w14:ligatures w14:val="none"/>
        </w:rPr>
      </w:pPr>
    </w:p>
    <w:p w14:paraId="1432D599" w14:textId="77777777" w:rsidR="00C81043" w:rsidRPr="00815D9B" w:rsidRDefault="00C81043" w:rsidP="00E92205">
      <w:pPr>
        <w:spacing w:after="0" w:line="240" w:lineRule="auto"/>
        <w:jc w:val="both"/>
        <w:rPr>
          <w:rFonts w:ascii="Arial" w:eastAsia="Times New Roman" w:hAnsi="Arial" w:cs="Arial"/>
          <w:kern w:val="0"/>
          <w:lang w:eastAsia="en-GB"/>
          <w14:ligatures w14:val="none"/>
        </w:rPr>
      </w:pPr>
    </w:p>
    <w:p w14:paraId="118EEE6A" w14:textId="77777777" w:rsidR="00C81043" w:rsidRPr="00815D9B" w:rsidRDefault="00C81043" w:rsidP="00E92205">
      <w:pPr>
        <w:spacing w:after="0" w:line="240" w:lineRule="auto"/>
        <w:jc w:val="both"/>
        <w:rPr>
          <w:rFonts w:ascii="Arial" w:eastAsia="Times New Roman" w:hAnsi="Arial" w:cs="Arial"/>
          <w:kern w:val="0"/>
          <w:lang w:eastAsia="en-GB"/>
          <w14:ligatures w14:val="none"/>
        </w:rPr>
      </w:pPr>
    </w:p>
    <w:p w14:paraId="14708AE9" w14:textId="77777777" w:rsidR="00C81043" w:rsidRPr="00815D9B" w:rsidRDefault="00C81043" w:rsidP="00E92205">
      <w:pPr>
        <w:spacing w:after="0" w:line="240" w:lineRule="auto"/>
        <w:jc w:val="both"/>
        <w:rPr>
          <w:rFonts w:ascii="Arial" w:eastAsia="Times New Roman" w:hAnsi="Arial" w:cs="Arial"/>
          <w:kern w:val="0"/>
          <w:lang w:eastAsia="en-GB"/>
          <w14:ligatures w14:val="none"/>
        </w:rPr>
      </w:pPr>
    </w:p>
    <w:p w14:paraId="15AACE21" w14:textId="335D1161" w:rsidR="003E3F57" w:rsidRPr="00815D9B" w:rsidRDefault="003E3F57" w:rsidP="00E92205">
      <w:pPr>
        <w:spacing w:after="0" w:line="240" w:lineRule="auto"/>
        <w:jc w:val="both"/>
        <w:rPr>
          <w:rFonts w:ascii="Arial" w:eastAsia="Times New Roman" w:hAnsi="Arial" w:cs="Arial"/>
          <w:b/>
          <w:bCs/>
          <w:kern w:val="0"/>
          <w:lang w:eastAsia="en-GB"/>
          <w14:ligatures w14:val="none"/>
        </w:rPr>
      </w:pPr>
      <w:r w:rsidRPr="00815D9B">
        <w:rPr>
          <w:rFonts w:ascii="Arial" w:eastAsia="Times New Roman" w:hAnsi="Arial" w:cs="Arial"/>
          <w:b/>
          <w:bCs/>
          <w:kern w:val="0"/>
          <w:lang w:eastAsia="en-GB"/>
          <w14:ligatures w14:val="none"/>
        </w:rPr>
        <w:lastRenderedPageBreak/>
        <w:t xml:space="preserve">Education and </w:t>
      </w:r>
      <w:r w:rsidR="005C5A69" w:rsidRPr="00815D9B">
        <w:rPr>
          <w:rFonts w:ascii="Arial" w:eastAsia="Times New Roman" w:hAnsi="Arial" w:cs="Arial"/>
          <w:b/>
          <w:bCs/>
          <w:kern w:val="0"/>
          <w:lang w:eastAsia="en-GB"/>
          <w14:ligatures w14:val="none"/>
        </w:rPr>
        <w:t>Practical Perspectives</w:t>
      </w:r>
    </w:p>
    <w:p w14:paraId="3AE55217" w14:textId="77777777" w:rsidR="00C81043" w:rsidRPr="00815D9B" w:rsidRDefault="00C81043" w:rsidP="00E92205">
      <w:pPr>
        <w:spacing w:after="0" w:line="240" w:lineRule="auto"/>
        <w:jc w:val="both"/>
        <w:rPr>
          <w:rFonts w:ascii="Arial" w:eastAsia="Times New Roman" w:hAnsi="Arial" w:cs="Arial"/>
          <w:kern w:val="0"/>
          <w:lang w:eastAsia="en-GB"/>
          <w14:ligatures w14:val="none"/>
        </w:rPr>
      </w:pPr>
    </w:p>
    <w:p w14:paraId="44959D1E" w14:textId="054172FF" w:rsidR="007A005A" w:rsidRPr="00815D9B" w:rsidRDefault="007A005A"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The idea that dedication to diversity and equality is not only morally right but also advantageous for the legal profession is backed by academic research. According to research, diverse teams solve problems more creatively and effectively, which is important in the legal profession (Herring, 2009). Additionally, research has demonstrated that when customers believe their solicitors appreciate and acknowledge their varied backgrounds, they are more satisfied with the services they receive (Rhode, 2015).</w:t>
      </w:r>
    </w:p>
    <w:p w14:paraId="74ED2112" w14:textId="77777777" w:rsidR="007A005A" w:rsidRPr="00815D9B" w:rsidRDefault="007A005A" w:rsidP="00E92205">
      <w:pPr>
        <w:spacing w:after="0" w:line="240" w:lineRule="auto"/>
        <w:jc w:val="both"/>
        <w:rPr>
          <w:rFonts w:ascii="Arial" w:eastAsia="Times New Roman" w:hAnsi="Arial" w:cs="Arial"/>
          <w:kern w:val="0"/>
          <w:lang w:eastAsia="en-GB"/>
          <w14:ligatures w14:val="none"/>
        </w:rPr>
      </w:pPr>
    </w:p>
    <w:p w14:paraId="53F40D7A" w14:textId="77777777" w:rsidR="00CD344E" w:rsidRPr="00815D9B" w:rsidRDefault="00CD344E"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Reports and professional organisations also stress the value of diversity. For instance, the Law Society has produced tools and recommendations to assist legal firms in putting into practice successful diversity programmes. These publications highlight the benefits of diversity for business, pointing out that diverse workforces help companies recruit and retain top people, giving them a competitive advantage (Law Society, 2020).</w:t>
      </w:r>
    </w:p>
    <w:p w14:paraId="2685E620" w14:textId="77777777" w:rsidR="00C81043" w:rsidRPr="00815D9B" w:rsidRDefault="00C81043" w:rsidP="00E92205">
      <w:pPr>
        <w:spacing w:after="0" w:line="240" w:lineRule="auto"/>
        <w:jc w:val="both"/>
        <w:rPr>
          <w:rFonts w:ascii="Arial" w:eastAsia="Times New Roman" w:hAnsi="Arial" w:cs="Arial"/>
          <w:kern w:val="0"/>
          <w:lang w:eastAsia="en-GB"/>
          <w14:ligatures w14:val="none"/>
        </w:rPr>
      </w:pPr>
    </w:p>
    <w:p w14:paraId="3D57EE91" w14:textId="0895DD9F" w:rsidR="00C81043" w:rsidRPr="00815D9B" w:rsidRDefault="00C81043" w:rsidP="00E92205">
      <w:pPr>
        <w:spacing w:after="0" w:line="240" w:lineRule="auto"/>
        <w:jc w:val="both"/>
        <w:rPr>
          <w:rFonts w:ascii="Arial" w:eastAsia="Times New Roman" w:hAnsi="Arial" w:cs="Arial"/>
          <w:b/>
          <w:bCs/>
          <w:kern w:val="0"/>
          <w:lang w:eastAsia="en-GB"/>
          <w14:ligatures w14:val="none"/>
        </w:rPr>
      </w:pPr>
      <w:r w:rsidRPr="00815D9B">
        <w:rPr>
          <w:rFonts w:ascii="Arial" w:eastAsia="Times New Roman" w:hAnsi="Arial" w:cs="Arial"/>
          <w:b/>
          <w:bCs/>
          <w:kern w:val="0"/>
          <w:lang w:eastAsia="en-GB"/>
          <w14:ligatures w14:val="none"/>
        </w:rPr>
        <w:t>Insight and Suggestions</w:t>
      </w:r>
    </w:p>
    <w:p w14:paraId="6D045478" w14:textId="77777777" w:rsidR="00526EC1" w:rsidRPr="00815D9B" w:rsidRDefault="00526EC1" w:rsidP="00E92205">
      <w:pPr>
        <w:spacing w:after="0" w:line="240" w:lineRule="auto"/>
        <w:jc w:val="both"/>
        <w:rPr>
          <w:rFonts w:ascii="Arial" w:eastAsia="Times New Roman" w:hAnsi="Arial" w:cs="Arial"/>
          <w:kern w:val="0"/>
          <w:lang w:eastAsia="en-GB"/>
          <w14:ligatures w14:val="none"/>
        </w:rPr>
      </w:pPr>
    </w:p>
    <w:p w14:paraId="601E7DCB" w14:textId="2369ED6D" w:rsidR="00CD344E" w:rsidRPr="00815D9B" w:rsidRDefault="00CD344E"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 xml:space="preserve">Even with the obvious advantages, there are still many obstacles standing in the way of the legal profession's pursuit of true diversity and equality. Unconscious prejudice, institutional obstacles, and a dearth of representation at the highest levels are some of these difficulties (Ashley &amp; Empson, 2017). </w:t>
      </w:r>
      <w:r w:rsidR="001D5CCE" w:rsidRPr="00815D9B">
        <w:rPr>
          <w:rFonts w:ascii="Arial" w:eastAsia="Times New Roman" w:hAnsi="Arial" w:cs="Arial"/>
          <w:kern w:val="0"/>
          <w:lang w:eastAsia="en-GB"/>
          <w14:ligatures w14:val="none"/>
        </w:rPr>
        <w:t>Legal firms are advised to create explicit policies to encourage inclusion, undertake thorough diversity training programmes, and aggressively seek to remove barriers</w:t>
      </w:r>
      <w:r w:rsidRPr="00815D9B">
        <w:rPr>
          <w:rFonts w:ascii="Arial" w:eastAsia="Times New Roman" w:hAnsi="Arial" w:cs="Arial"/>
          <w:kern w:val="0"/>
          <w:lang w:eastAsia="en-GB"/>
          <w14:ligatures w14:val="none"/>
        </w:rPr>
        <w:t xml:space="preserve"> to entry and progression for underrepresented groups </w:t>
      </w:r>
      <w:r w:rsidR="00803B41" w:rsidRPr="00815D9B">
        <w:rPr>
          <w:rFonts w:ascii="Arial" w:eastAsia="Times New Roman" w:hAnsi="Arial" w:cs="Arial"/>
          <w:kern w:val="0"/>
          <w:lang w:eastAsia="en-GB"/>
          <w14:ligatures w14:val="none"/>
        </w:rPr>
        <w:t>to</w:t>
      </w:r>
      <w:r w:rsidRPr="00815D9B">
        <w:rPr>
          <w:rFonts w:ascii="Arial" w:eastAsia="Times New Roman" w:hAnsi="Arial" w:cs="Arial"/>
          <w:kern w:val="0"/>
          <w:lang w:eastAsia="en-GB"/>
          <w14:ligatures w14:val="none"/>
        </w:rPr>
        <w:t xml:space="preserve"> solve these problems (Tomlinson et al., 2013).</w:t>
      </w:r>
    </w:p>
    <w:p w14:paraId="110E1676" w14:textId="77777777" w:rsidR="003861C4" w:rsidRPr="00815D9B" w:rsidRDefault="003861C4" w:rsidP="00E92205">
      <w:pPr>
        <w:spacing w:after="0" w:line="240" w:lineRule="auto"/>
        <w:jc w:val="both"/>
        <w:rPr>
          <w:rFonts w:ascii="Arial" w:eastAsia="Times New Roman" w:hAnsi="Arial" w:cs="Arial"/>
          <w:kern w:val="0"/>
          <w:lang w:eastAsia="en-GB"/>
          <w14:ligatures w14:val="none"/>
        </w:rPr>
      </w:pPr>
    </w:p>
    <w:p w14:paraId="015E31CC" w14:textId="24546663" w:rsidR="00526EC1" w:rsidRPr="00815D9B" w:rsidRDefault="00526EC1" w:rsidP="00E92205">
      <w:pPr>
        <w:spacing w:after="0" w:line="240" w:lineRule="auto"/>
        <w:jc w:val="both"/>
        <w:rPr>
          <w:rFonts w:ascii="Arial" w:eastAsia="Times New Roman" w:hAnsi="Arial" w:cs="Arial"/>
          <w:b/>
          <w:bCs/>
          <w:kern w:val="0"/>
          <w:lang w:eastAsia="en-GB"/>
          <w14:ligatures w14:val="none"/>
        </w:rPr>
      </w:pPr>
      <w:r w:rsidRPr="00815D9B">
        <w:rPr>
          <w:rFonts w:ascii="Arial" w:eastAsia="Times New Roman" w:hAnsi="Arial" w:cs="Arial"/>
          <w:b/>
          <w:bCs/>
          <w:kern w:val="0"/>
          <w:lang w:eastAsia="en-GB"/>
          <w14:ligatures w14:val="none"/>
        </w:rPr>
        <w:t xml:space="preserve">Emulating the community </w:t>
      </w:r>
    </w:p>
    <w:p w14:paraId="4EA1C67A" w14:textId="77777777" w:rsidR="003861C4" w:rsidRPr="00815D9B" w:rsidRDefault="003861C4" w:rsidP="00E92205">
      <w:pPr>
        <w:spacing w:after="0" w:line="240" w:lineRule="auto"/>
        <w:jc w:val="both"/>
        <w:rPr>
          <w:rFonts w:ascii="Arial" w:eastAsia="Times New Roman" w:hAnsi="Arial" w:cs="Arial"/>
          <w:kern w:val="0"/>
          <w:lang w:eastAsia="en-GB"/>
          <w14:ligatures w14:val="none"/>
        </w:rPr>
      </w:pPr>
    </w:p>
    <w:p w14:paraId="557E8F78" w14:textId="73BDACF9" w:rsidR="00FB26D6" w:rsidRPr="00815D9B" w:rsidRDefault="00FB26D6"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To preserve legitimacy and public trust, the legal profession needs to reflect the variety of the society it serves (Rhode, 2015). More fair and just legal outcomes result from the legal profession's ability to better understand and address the needs and concerns of various groups.</w:t>
      </w:r>
    </w:p>
    <w:p w14:paraId="7C613263" w14:textId="606A584C" w:rsidR="003861C4" w:rsidRPr="00815D9B" w:rsidRDefault="003861C4"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Overcoming Discrimination and Bias</w:t>
      </w:r>
    </w:p>
    <w:p w14:paraId="2F73BC3A" w14:textId="365015A0" w:rsidR="00EB793C" w:rsidRPr="00815D9B" w:rsidRDefault="00EB793C"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 xml:space="preserve">Encouraging diversity and equality aids in the fight against prejudice and discrimination that can exist within the judicial system. Studies have indicated that implicit prejudices may impact the way decisions are made in court, compromising the fairness of trials and other legal processes (Barmes, 2016). </w:t>
      </w:r>
      <w:r w:rsidR="00803B41" w:rsidRPr="00815D9B">
        <w:rPr>
          <w:rFonts w:ascii="Arial" w:eastAsia="Times New Roman" w:hAnsi="Arial" w:cs="Arial"/>
          <w:kern w:val="0"/>
          <w:lang w:eastAsia="en-GB"/>
          <w14:ligatures w14:val="none"/>
        </w:rPr>
        <w:t>To</w:t>
      </w:r>
      <w:r w:rsidRPr="00815D9B">
        <w:rPr>
          <w:rFonts w:ascii="Arial" w:eastAsia="Times New Roman" w:hAnsi="Arial" w:cs="Arial"/>
          <w:kern w:val="0"/>
          <w:lang w:eastAsia="en-GB"/>
          <w14:ligatures w14:val="none"/>
        </w:rPr>
        <w:t xml:space="preserve"> ensure that justice is administered impartially, the legal profession can eradicate these biases by promoting an inclusive culture.</w:t>
      </w:r>
    </w:p>
    <w:p w14:paraId="7C537F87" w14:textId="77777777" w:rsidR="005A3A34" w:rsidRPr="00815D9B" w:rsidRDefault="005A3A34" w:rsidP="00E92205">
      <w:pPr>
        <w:spacing w:after="0" w:line="240" w:lineRule="auto"/>
        <w:jc w:val="both"/>
        <w:rPr>
          <w:rFonts w:ascii="Arial" w:eastAsia="Times New Roman" w:hAnsi="Arial" w:cs="Arial"/>
          <w:kern w:val="0"/>
          <w:lang w:eastAsia="en-GB"/>
          <w14:ligatures w14:val="none"/>
        </w:rPr>
      </w:pPr>
    </w:p>
    <w:p w14:paraId="40A275E4" w14:textId="166A0521" w:rsidR="005A3A34" w:rsidRPr="00815D9B" w:rsidRDefault="005A3A34"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 xml:space="preserve">Accepting Ethical Duties </w:t>
      </w:r>
    </w:p>
    <w:p w14:paraId="18B92686" w14:textId="77777777" w:rsidR="005A3A34" w:rsidRPr="00815D9B" w:rsidRDefault="005A3A34" w:rsidP="00E92205">
      <w:pPr>
        <w:spacing w:after="0" w:line="240" w:lineRule="auto"/>
        <w:jc w:val="both"/>
        <w:rPr>
          <w:rFonts w:ascii="Arial" w:eastAsia="Times New Roman" w:hAnsi="Arial" w:cs="Arial"/>
          <w:kern w:val="0"/>
          <w:lang w:eastAsia="en-GB"/>
          <w14:ligatures w14:val="none"/>
        </w:rPr>
      </w:pPr>
    </w:p>
    <w:p w14:paraId="780385B5" w14:textId="638FA4FB" w:rsidR="00EB793C" w:rsidRPr="00815D9B" w:rsidRDefault="00E57AC7"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For lawyers, upholding the values of diversity and equality is a moral duty. Solicitors are specifically required by the SRA Code of Conduct (2019) to advance equality and prohibit discrimination. Professional reputational harm and disciplinary measures may ensue from a failure to adhere to these norms (SRA, 2019).</w:t>
      </w:r>
    </w:p>
    <w:p w14:paraId="1EFA730D" w14:textId="77777777" w:rsidR="005963A3" w:rsidRPr="00815D9B" w:rsidRDefault="005963A3" w:rsidP="00E92205">
      <w:pPr>
        <w:spacing w:after="0" w:line="240" w:lineRule="auto"/>
        <w:jc w:val="both"/>
        <w:rPr>
          <w:rFonts w:ascii="Arial" w:eastAsia="Times New Roman" w:hAnsi="Arial" w:cs="Arial"/>
          <w:kern w:val="0"/>
          <w:lang w:eastAsia="en-GB"/>
          <w14:ligatures w14:val="none"/>
        </w:rPr>
      </w:pPr>
    </w:p>
    <w:p w14:paraId="1388C1C0" w14:textId="4B9C56E2" w:rsidR="000F2D50" w:rsidRPr="00815D9B" w:rsidRDefault="000F2D50"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Unconscious Bias: According to Kang (2012), even well-meaning people may harbour unconscious biases that influence their relationships and decision-making.</w:t>
      </w:r>
      <w:r w:rsidRPr="00815D9B">
        <w:rPr>
          <w:rFonts w:ascii="Arial" w:eastAsia="Times New Roman" w:hAnsi="Arial" w:cs="Arial"/>
          <w:kern w:val="0"/>
          <w:lang w:eastAsia="en-GB"/>
          <w14:ligatures w14:val="none"/>
        </w:rPr>
        <w:br/>
      </w:r>
      <w:r w:rsidRPr="00815D9B">
        <w:rPr>
          <w:rFonts w:ascii="Arial" w:eastAsia="Times New Roman" w:hAnsi="Arial" w:cs="Arial"/>
          <w:kern w:val="0"/>
          <w:lang w:eastAsia="en-GB"/>
          <w14:ligatures w14:val="none"/>
        </w:rPr>
        <w:lastRenderedPageBreak/>
        <w:t>Structural Inequalities: Advancement towards genuine diversity and inclusion may be</w:t>
      </w:r>
      <w:r w:rsidR="00861C9E" w:rsidRPr="00815D9B">
        <w:rPr>
          <w:rFonts w:ascii="Arial" w:eastAsia="Times New Roman" w:hAnsi="Arial" w:cs="Arial"/>
          <w:kern w:val="0"/>
          <w:lang w:eastAsia="en-GB"/>
          <w14:ligatures w14:val="none"/>
        </w:rPr>
        <w:t xml:space="preserve"> hampered by historical and </w:t>
      </w:r>
      <w:r w:rsidR="003B0134" w:rsidRPr="00815D9B">
        <w:rPr>
          <w:rFonts w:ascii="Arial" w:eastAsia="Times New Roman" w:hAnsi="Arial" w:cs="Arial"/>
          <w:kern w:val="0"/>
          <w:lang w:eastAsia="en-GB"/>
          <w14:ligatures w14:val="none"/>
        </w:rPr>
        <w:t>structural</w:t>
      </w:r>
      <w:r w:rsidR="00861C9E" w:rsidRPr="00815D9B">
        <w:rPr>
          <w:rFonts w:ascii="Arial" w:eastAsia="Times New Roman" w:hAnsi="Arial" w:cs="Arial"/>
          <w:kern w:val="0"/>
          <w:lang w:eastAsia="en-GB"/>
          <w14:ligatures w14:val="none"/>
        </w:rPr>
        <w:t xml:space="preserve"> disparities in societ</w:t>
      </w:r>
      <w:r w:rsidR="00BD0BFC" w:rsidRPr="00815D9B">
        <w:rPr>
          <w:rFonts w:ascii="Arial" w:eastAsia="Times New Roman" w:hAnsi="Arial" w:cs="Arial"/>
          <w:kern w:val="0"/>
          <w:lang w:eastAsia="en-GB"/>
          <w14:ligatures w14:val="none"/>
        </w:rPr>
        <w:t xml:space="preserve">y and the legal </w:t>
      </w:r>
      <w:r w:rsidR="00084206" w:rsidRPr="00815D9B">
        <w:rPr>
          <w:rFonts w:ascii="Arial" w:eastAsia="Times New Roman" w:hAnsi="Arial" w:cs="Arial"/>
          <w:kern w:val="0"/>
          <w:lang w:eastAsia="en-GB"/>
          <w14:ligatures w14:val="none"/>
        </w:rPr>
        <w:t>profession</w:t>
      </w:r>
      <w:r w:rsidR="00BD0BFC" w:rsidRPr="00815D9B">
        <w:rPr>
          <w:rFonts w:ascii="Arial" w:eastAsia="Times New Roman" w:hAnsi="Arial" w:cs="Arial"/>
          <w:kern w:val="0"/>
          <w:lang w:eastAsia="en-GB"/>
          <w14:ligatures w14:val="none"/>
        </w:rPr>
        <w:t xml:space="preserve"> (Wilkins, 2018)</w:t>
      </w:r>
      <w:r w:rsidR="00EF78F2" w:rsidRPr="00815D9B">
        <w:rPr>
          <w:rFonts w:ascii="Arial" w:eastAsia="Times New Roman" w:hAnsi="Arial" w:cs="Arial"/>
          <w:kern w:val="0"/>
          <w:lang w:eastAsia="en-GB"/>
          <w14:ligatures w14:val="none"/>
        </w:rPr>
        <w:t xml:space="preserve">. </w:t>
      </w:r>
      <w:r w:rsidRPr="00815D9B">
        <w:rPr>
          <w:rFonts w:ascii="Arial" w:eastAsia="Times New Roman" w:hAnsi="Arial" w:cs="Arial"/>
          <w:kern w:val="0"/>
          <w:lang w:eastAsia="en-GB"/>
          <w14:ligatures w14:val="none"/>
        </w:rPr>
        <w:t>Lack of Support and Mentorship: According to Rhodes (2006), underrepresented groups may not have access to networking and mentorship opportunities, which are essential for job advancement.</w:t>
      </w:r>
    </w:p>
    <w:p w14:paraId="4711D961" w14:textId="322C55AD" w:rsidR="00BE7F35" w:rsidRPr="00815D9B" w:rsidRDefault="00BE7F35" w:rsidP="00E92205">
      <w:pPr>
        <w:spacing w:after="0" w:line="240" w:lineRule="auto"/>
        <w:jc w:val="both"/>
        <w:rPr>
          <w:rFonts w:ascii="Arial" w:eastAsia="Times New Roman" w:hAnsi="Arial" w:cs="Arial"/>
          <w:kern w:val="0"/>
          <w:lang w:eastAsia="en-GB"/>
          <w14:ligatures w14:val="none"/>
        </w:rPr>
      </w:pPr>
    </w:p>
    <w:p w14:paraId="0D870E33" w14:textId="77777777" w:rsidR="00F4054E" w:rsidRPr="00815D9B" w:rsidRDefault="00E43410" w:rsidP="00F4054E">
      <w:pPr>
        <w:spacing w:after="0" w:line="240" w:lineRule="auto"/>
        <w:jc w:val="center"/>
        <w:rPr>
          <w:rFonts w:ascii="Arial" w:eastAsia="Times New Roman" w:hAnsi="Arial" w:cs="Arial"/>
          <w:b/>
          <w:bCs/>
          <w:kern w:val="0"/>
          <w:lang w:eastAsia="en-GB"/>
          <w14:ligatures w14:val="none"/>
        </w:rPr>
      </w:pPr>
      <w:r w:rsidRPr="00815D9B">
        <w:rPr>
          <w:rFonts w:ascii="Arial" w:eastAsia="Times New Roman" w:hAnsi="Arial" w:cs="Arial"/>
          <w:b/>
          <w:bCs/>
          <w:kern w:val="0"/>
          <w:lang w:eastAsia="en-GB"/>
          <w14:ligatures w14:val="none"/>
        </w:rPr>
        <w:t>Strategies to advance Diversity and Equality</w:t>
      </w:r>
    </w:p>
    <w:p w14:paraId="57A62862" w14:textId="280C9124" w:rsidR="006C0BAD" w:rsidRPr="00815D9B" w:rsidRDefault="00613906" w:rsidP="0074764F">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br/>
        <w:t>Several techniques can be implemented by the legal profession to address</w:t>
      </w:r>
      <w:r w:rsidR="00926BC6" w:rsidRPr="00815D9B">
        <w:rPr>
          <w:rFonts w:ascii="Arial" w:eastAsia="Times New Roman" w:hAnsi="Arial" w:cs="Arial"/>
          <w:kern w:val="0"/>
          <w:lang w:eastAsia="en-GB"/>
          <w14:ligatures w14:val="none"/>
        </w:rPr>
        <w:t xml:space="preserve"> stra</w:t>
      </w:r>
      <w:r w:rsidR="00736FF1" w:rsidRPr="00815D9B">
        <w:rPr>
          <w:rFonts w:ascii="Arial" w:eastAsia="Times New Roman" w:hAnsi="Arial" w:cs="Arial"/>
          <w:kern w:val="0"/>
          <w:lang w:eastAsia="en-GB"/>
          <w14:ligatures w14:val="none"/>
        </w:rPr>
        <w:t>tegies on how to advance diversity and equality,</w:t>
      </w:r>
      <w:r w:rsidRPr="00815D9B">
        <w:rPr>
          <w:rFonts w:ascii="Arial" w:eastAsia="Times New Roman" w:hAnsi="Arial" w:cs="Arial"/>
          <w:kern w:val="0"/>
          <w:lang w:eastAsia="en-GB"/>
          <w14:ligatures w14:val="none"/>
        </w:rPr>
        <w:t xml:space="preserve"> these</w:t>
      </w:r>
      <w:r w:rsidR="00F4054E" w:rsidRPr="00815D9B">
        <w:rPr>
          <w:rFonts w:ascii="Arial" w:eastAsia="Times New Roman" w:hAnsi="Arial" w:cs="Arial"/>
          <w:kern w:val="0"/>
          <w:lang w:eastAsia="en-GB"/>
          <w14:ligatures w14:val="none"/>
        </w:rPr>
        <w:t xml:space="preserve"> </w:t>
      </w:r>
      <w:r w:rsidRPr="00815D9B">
        <w:rPr>
          <w:rFonts w:ascii="Arial" w:eastAsia="Times New Roman" w:hAnsi="Arial" w:cs="Arial"/>
          <w:kern w:val="0"/>
          <w:lang w:eastAsia="en-GB"/>
          <w14:ligatures w14:val="none"/>
        </w:rPr>
        <w:t>obstacles</w:t>
      </w:r>
      <w:r w:rsidR="00736FF1" w:rsidRPr="00815D9B">
        <w:rPr>
          <w:rFonts w:ascii="Arial" w:eastAsia="Times New Roman" w:hAnsi="Arial" w:cs="Arial"/>
          <w:kern w:val="0"/>
          <w:lang w:eastAsia="en-GB"/>
          <w14:ligatures w14:val="none"/>
        </w:rPr>
        <w:t xml:space="preserve"> </w:t>
      </w:r>
      <w:r w:rsidR="00084206" w:rsidRPr="00815D9B">
        <w:rPr>
          <w:rFonts w:ascii="Arial" w:eastAsia="Times New Roman" w:hAnsi="Arial" w:cs="Arial"/>
          <w:kern w:val="0"/>
          <w:lang w:eastAsia="en-GB"/>
          <w14:ligatures w14:val="none"/>
        </w:rPr>
        <w:t xml:space="preserve">include; </w:t>
      </w:r>
      <w:r w:rsidRPr="00815D9B">
        <w:rPr>
          <w:rFonts w:ascii="Arial" w:eastAsia="Times New Roman" w:hAnsi="Arial" w:cs="Arial"/>
          <w:kern w:val="0"/>
          <w:lang w:eastAsia="en-GB"/>
          <w14:ligatures w14:val="none"/>
        </w:rPr>
        <w:br/>
      </w:r>
      <w:r w:rsidRPr="00815D9B">
        <w:rPr>
          <w:rFonts w:ascii="Arial" w:eastAsia="Times New Roman" w:hAnsi="Arial" w:cs="Arial"/>
          <w:b/>
          <w:bCs/>
          <w:kern w:val="0"/>
          <w:lang w:eastAsia="en-GB"/>
          <w14:ligatures w14:val="none"/>
        </w:rPr>
        <w:t>Diversity Training</w:t>
      </w:r>
      <w:r w:rsidRPr="00815D9B">
        <w:rPr>
          <w:rFonts w:ascii="Arial" w:eastAsia="Times New Roman" w:hAnsi="Arial" w:cs="Arial"/>
          <w:kern w:val="0"/>
          <w:lang w:eastAsia="en-GB"/>
          <w14:ligatures w14:val="none"/>
        </w:rPr>
        <w:t>: Attorneys can identify and overcome their prejudices by receiving regular training on diversity, equity, and inclusion (Dobbin &amp; Kalev, 2016).</w:t>
      </w:r>
      <w:r w:rsidRPr="00815D9B">
        <w:rPr>
          <w:rFonts w:ascii="Arial" w:eastAsia="Times New Roman" w:hAnsi="Arial" w:cs="Arial"/>
          <w:kern w:val="0"/>
          <w:lang w:eastAsia="en-GB"/>
          <w14:ligatures w14:val="none"/>
        </w:rPr>
        <w:br/>
      </w:r>
      <w:r w:rsidRPr="00815D9B">
        <w:rPr>
          <w:rFonts w:ascii="Arial" w:eastAsia="Times New Roman" w:hAnsi="Arial" w:cs="Arial"/>
          <w:b/>
          <w:bCs/>
          <w:kern w:val="0"/>
          <w:lang w:eastAsia="en-GB"/>
          <w14:ligatures w14:val="none"/>
        </w:rPr>
        <w:t>Mentorship Programmes</w:t>
      </w:r>
      <w:r w:rsidRPr="00815D9B">
        <w:rPr>
          <w:rFonts w:ascii="Arial" w:eastAsia="Times New Roman" w:hAnsi="Arial" w:cs="Arial"/>
          <w:kern w:val="0"/>
          <w:lang w:eastAsia="en-GB"/>
          <w14:ligatures w14:val="none"/>
        </w:rPr>
        <w:t>: According to Blake-Beard (2001), mentorship programmes can help underrepresented groups advance in their careers by offering the</w:t>
      </w:r>
      <w:r w:rsidR="004D49FC" w:rsidRPr="00815D9B">
        <w:rPr>
          <w:rFonts w:ascii="Arial" w:eastAsia="Times New Roman" w:hAnsi="Arial" w:cs="Arial"/>
          <w:kern w:val="0"/>
          <w:lang w:eastAsia="en-GB"/>
          <w14:ligatures w14:val="none"/>
        </w:rPr>
        <w:t xml:space="preserve"> </w:t>
      </w:r>
      <w:r w:rsidRPr="00815D9B">
        <w:rPr>
          <w:rFonts w:ascii="Arial" w:eastAsia="Times New Roman" w:hAnsi="Arial" w:cs="Arial"/>
          <w:kern w:val="0"/>
          <w:lang w:eastAsia="en-GB"/>
          <w14:ligatures w14:val="none"/>
        </w:rPr>
        <w:t>advice and assistance they need.</w:t>
      </w:r>
      <w:r w:rsidRPr="00815D9B">
        <w:rPr>
          <w:rFonts w:ascii="Arial" w:eastAsia="Times New Roman" w:hAnsi="Arial" w:cs="Arial"/>
          <w:kern w:val="0"/>
          <w:lang w:eastAsia="en-GB"/>
          <w14:ligatures w14:val="none"/>
        </w:rPr>
        <w:br/>
      </w:r>
      <w:r w:rsidRPr="00815D9B">
        <w:rPr>
          <w:rFonts w:ascii="Arial" w:eastAsia="Times New Roman" w:hAnsi="Arial" w:cs="Arial"/>
          <w:b/>
          <w:bCs/>
          <w:kern w:val="0"/>
          <w:lang w:eastAsia="en-GB"/>
          <w14:ligatures w14:val="none"/>
        </w:rPr>
        <w:t xml:space="preserve">Inclusive Recruitment </w:t>
      </w:r>
      <w:r w:rsidR="0030751A" w:rsidRPr="00815D9B">
        <w:rPr>
          <w:rFonts w:ascii="Arial" w:eastAsia="Times New Roman" w:hAnsi="Arial" w:cs="Arial"/>
          <w:b/>
          <w:bCs/>
          <w:kern w:val="0"/>
          <w:lang w:eastAsia="en-GB"/>
          <w14:ligatures w14:val="none"/>
        </w:rPr>
        <w:t>Strategies</w:t>
      </w:r>
      <w:r w:rsidRPr="00815D9B">
        <w:rPr>
          <w:rFonts w:ascii="Arial" w:eastAsia="Times New Roman" w:hAnsi="Arial" w:cs="Arial"/>
          <w:kern w:val="0"/>
          <w:lang w:eastAsia="en-GB"/>
          <w14:ligatures w14:val="none"/>
        </w:rPr>
        <w:t>: Diversifying the workforce and leadership within the legal profession can be achieved through the adoption of inclusive recruitment and promotion strategies (Rivera, 2012).</w:t>
      </w:r>
      <w:r w:rsidR="00AB5C97" w:rsidRPr="00815D9B">
        <w:rPr>
          <w:rFonts w:ascii="Arial" w:eastAsia="Times New Roman" w:hAnsi="Arial" w:cs="Arial"/>
          <w:kern w:val="0"/>
          <w:lang w:eastAsia="en-GB"/>
          <w14:ligatures w14:val="none"/>
        </w:rPr>
        <w:t>Case studies</w:t>
      </w:r>
      <w:r w:rsidR="0074764F" w:rsidRPr="00815D9B">
        <w:rPr>
          <w:rFonts w:ascii="Arial" w:eastAsia="Times New Roman" w:hAnsi="Arial" w:cs="Arial"/>
          <w:kern w:val="0"/>
          <w:lang w:eastAsia="en-GB"/>
          <w14:ligatures w14:val="none"/>
        </w:rPr>
        <w:t xml:space="preserve">: </w:t>
      </w:r>
      <w:r w:rsidR="00AD66AC" w:rsidRPr="00815D9B">
        <w:rPr>
          <w:rFonts w:ascii="Arial" w:eastAsia="Times New Roman" w:hAnsi="Arial" w:cs="Arial"/>
          <w:kern w:val="0"/>
          <w:lang w:eastAsia="en-GB"/>
          <w14:ligatures w14:val="none"/>
        </w:rPr>
        <w:t>The Diversity Access Scheme</w:t>
      </w:r>
      <w:r w:rsidR="0074764F" w:rsidRPr="00815D9B">
        <w:rPr>
          <w:rFonts w:ascii="Arial" w:eastAsia="Times New Roman" w:hAnsi="Arial" w:cs="Arial"/>
          <w:kern w:val="0"/>
          <w:lang w:eastAsia="en-GB"/>
          <w14:ligatures w14:val="none"/>
        </w:rPr>
        <w:t xml:space="preserve"> of the </w:t>
      </w:r>
      <w:r w:rsidR="0062415D" w:rsidRPr="00815D9B">
        <w:rPr>
          <w:rFonts w:ascii="Arial" w:eastAsia="Times New Roman" w:hAnsi="Arial" w:cs="Arial"/>
          <w:kern w:val="0"/>
          <w:lang w:eastAsia="en-GB"/>
          <w14:ligatures w14:val="none"/>
        </w:rPr>
        <w:t>Law Society</w:t>
      </w:r>
      <w:r w:rsidR="0074764F" w:rsidRPr="00815D9B">
        <w:rPr>
          <w:rFonts w:ascii="Arial" w:eastAsia="Times New Roman" w:hAnsi="Arial" w:cs="Arial"/>
          <w:kern w:val="0"/>
          <w:lang w:eastAsia="en-GB"/>
          <w14:ligatures w14:val="none"/>
        </w:rPr>
        <w:t xml:space="preserve"> </w:t>
      </w:r>
      <w:r w:rsidR="00CF1A53" w:rsidRPr="00815D9B">
        <w:rPr>
          <w:rFonts w:ascii="Arial" w:eastAsia="Times New Roman" w:hAnsi="Arial" w:cs="Arial"/>
          <w:kern w:val="0"/>
          <w:lang w:eastAsia="en-GB"/>
          <w14:ligatures w14:val="none"/>
        </w:rPr>
        <w:t xml:space="preserve">Aspiring solicitors from underprivileged backgrounds can apply for scholarships and help through the Law Society's Diversity Access Scheme. </w:t>
      </w:r>
    </w:p>
    <w:p w14:paraId="6BF0CBEA" w14:textId="77777777" w:rsidR="00BF53F8" w:rsidRPr="00815D9B" w:rsidRDefault="00BF53F8" w:rsidP="0074764F">
      <w:pPr>
        <w:spacing w:after="0" w:line="240" w:lineRule="auto"/>
        <w:jc w:val="both"/>
        <w:rPr>
          <w:rFonts w:ascii="Arial" w:eastAsia="Times New Roman" w:hAnsi="Arial" w:cs="Arial"/>
          <w:kern w:val="0"/>
          <w:lang w:eastAsia="en-GB"/>
          <w14:ligatures w14:val="none"/>
        </w:rPr>
      </w:pPr>
    </w:p>
    <w:p w14:paraId="5BFE860B" w14:textId="77777777" w:rsidR="006C0BAD" w:rsidRPr="00815D9B" w:rsidRDefault="006C0BAD" w:rsidP="0074764F">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 xml:space="preserve">Initial for Gender Diversity </w:t>
      </w:r>
    </w:p>
    <w:p w14:paraId="2B04957E" w14:textId="6EEB829C" w:rsidR="00CF1A53" w:rsidRPr="00815D9B" w:rsidRDefault="00CF1A53" w:rsidP="0074764F">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To boost the number of women in top positions, many legal firms have undertaken gender diversity programmes, such as flexible work schedules and focused recruitment campaigns. Gender diversity at the top of the legal profession has gradually increased as a result of these initiatives.</w:t>
      </w:r>
    </w:p>
    <w:p w14:paraId="3DAD0157" w14:textId="77777777" w:rsidR="00412518" w:rsidRPr="00815D9B" w:rsidRDefault="00412518"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To ensure that the legal profession functions justly, morally, and efficiently, equality and diversity are essential. The SRA Code of Conduct (2019) and the Equality Act 2010 offer strong frameworks for advancing these ideals. The legal profession can improve its procedures, represent the society it serves, overcome prejudices, and uphold its ethical duties by embracing equality and diversity. Sustaining the integrity and credibility of the legal system requires a persistent dedication to these values.</w:t>
      </w:r>
    </w:p>
    <w:p w14:paraId="1B5D8874" w14:textId="77777777" w:rsidR="00CF1A53" w:rsidRPr="00815D9B" w:rsidRDefault="00CF1A53" w:rsidP="00E92205">
      <w:pPr>
        <w:spacing w:after="0" w:line="240" w:lineRule="auto"/>
        <w:jc w:val="both"/>
        <w:rPr>
          <w:rFonts w:ascii="Arial" w:eastAsia="Times New Roman" w:hAnsi="Arial" w:cs="Arial"/>
          <w:kern w:val="0"/>
          <w:lang w:eastAsia="en-GB"/>
          <w14:ligatures w14:val="none"/>
        </w:rPr>
      </w:pPr>
    </w:p>
    <w:p w14:paraId="142AAE29" w14:textId="77777777" w:rsidR="00CF1A53" w:rsidRPr="00815D9B" w:rsidRDefault="00CF1A53" w:rsidP="00E92205">
      <w:pPr>
        <w:spacing w:after="0" w:line="240" w:lineRule="auto"/>
        <w:jc w:val="both"/>
        <w:rPr>
          <w:rFonts w:ascii="Arial" w:eastAsia="Times New Roman" w:hAnsi="Arial" w:cs="Arial"/>
          <w:kern w:val="0"/>
          <w:lang w:eastAsia="en-GB"/>
          <w14:ligatures w14:val="none"/>
        </w:rPr>
      </w:pPr>
    </w:p>
    <w:p w14:paraId="09EE4819" w14:textId="77777777" w:rsidR="00547E02" w:rsidRPr="00815D9B" w:rsidRDefault="00547E02"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Conclusion</w:t>
      </w:r>
    </w:p>
    <w:p w14:paraId="077BA268" w14:textId="0E79CB8B" w:rsidR="00CD344E" w:rsidRDefault="00547E02" w:rsidP="00E92205">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lang w:eastAsia="en-GB"/>
          <w14:ligatures w14:val="none"/>
        </w:rPr>
        <w:t xml:space="preserve">In conclusion, </w:t>
      </w:r>
      <w:r w:rsidR="00CD344E" w:rsidRPr="00815D9B">
        <w:rPr>
          <w:rFonts w:ascii="Arial" w:eastAsia="Times New Roman" w:hAnsi="Arial" w:cs="Arial"/>
          <w:kern w:val="0"/>
          <w:lang w:eastAsia="en-GB"/>
          <w14:ligatures w14:val="none"/>
        </w:rPr>
        <w:t>diversity and equality are essential to ethical behaviour and public confidence in the legal profession. The SRA Code of Conduct 2019 and the Equality Act 2010 offer crucial frameworks for advancing these ideals. Through adherence to these rules and proactive efforts to surmount current obstacles, the legal profession can maintain its integrity as an impartial, inclusive, and varied representation of the population it serves.</w:t>
      </w:r>
    </w:p>
    <w:p w14:paraId="213F6AB3" w14:textId="50901955" w:rsidR="003B4EF1" w:rsidRPr="00815D9B" w:rsidRDefault="003B4EF1" w:rsidP="00E92205">
      <w:pPr>
        <w:spacing w:after="0" w:line="240" w:lineRule="auto"/>
        <w:jc w:val="both"/>
        <w:rPr>
          <w:rFonts w:ascii="Arial" w:eastAsia="Times New Roman" w:hAnsi="Arial" w:cs="Arial"/>
          <w:kern w:val="0"/>
          <w:lang w:eastAsia="en-GB"/>
          <w14:ligatures w14:val="none"/>
        </w:rPr>
      </w:pPr>
      <w:r w:rsidRPr="003B4EF1">
        <w:rPr>
          <w:rFonts w:ascii="Arial" w:eastAsia="Times New Roman" w:hAnsi="Arial" w:cs="Arial"/>
          <w:kern w:val="0"/>
          <w:lang w:eastAsia="en-GB"/>
          <w14:ligatures w14:val="none"/>
        </w:rPr>
        <w:t>Moreover, addressing structural inequalities and providing adequate support and mentorship are vital steps towards achieving true inclusivity. Overcoming historical disparities and ensuring equal access to opportunities can help dismantle the barriers that have long hindered underrepresented groups. Implementing targeted strategies such as formal mentorship programs, inclusive networking opportunities, and bias training can foster a more supportive and equitable professional environment.</w:t>
      </w:r>
    </w:p>
    <w:p w14:paraId="1BF9AE01" w14:textId="77777777" w:rsidR="004F3E71" w:rsidRPr="00815D9B" w:rsidRDefault="004F3E71" w:rsidP="00E92205">
      <w:pPr>
        <w:spacing w:after="0" w:line="240" w:lineRule="auto"/>
        <w:jc w:val="both"/>
        <w:rPr>
          <w:rFonts w:ascii="Arial" w:eastAsia="Times New Roman" w:hAnsi="Arial" w:cs="Arial"/>
          <w:kern w:val="0"/>
          <w:lang w:eastAsia="en-GB"/>
          <w14:ligatures w14:val="none"/>
        </w:rPr>
      </w:pPr>
    </w:p>
    <w:p w14:paraId="74B5E679" w14:textId="77777777" w:rsidR="004F3E71" w:rsidRPr="00815D9B" w:rsidRDefault="004F3E71" w:rsidP="00E92205">
      <w:pPr>
        <w:spacing w:after="0" w:line="240" w:lineRule="auto"/>
        <w:jc w:val="both"/>
        <w:rPr>
          <w:rFonts w:ascii="Arial" w:eastAsia="Times New Roman" w:hAnsi="Arial" w:cs="Arial"/>
          <w:kern w:val="0"/>
          <w:lang w:eastAsia="en-GB"/>
          <w14:ligatures w14:val="none"/>
        </w:rPr>
      </w:pPr>
    </w:p>
    <w:p w14:paraId="703E69B5" w14:textId="77777777" w:rsidR="006F4836" w:rsidRDefault="006F4836" w:rsidP="004F3E71">
      <w:pPr>
        <w:spacing w:after="0" w:line="240" w:lineRule="auto"/>
        <w:jc w:val="both"/>
        <w:rPr>
          <w:rFonts w:ascii="Arial" w:eastAsia="Times New Roman" w:hAnsi="Arial" w:cs="Arial"/>
          <w:kern w:val="0"/>
          <w:lang w:eastAsia="en-GB"/>
          <w14:ligatures w14:val="none"/>
        </w:rPr>
      </w:pPr>
    </w:p>
    <w:p w14:paraId="48E5EDF0" w14:textId="402F4387" w:rsidR="00CE50F3" w:rsidRPr="00815D9B" w:rsidRDefault="00CE50F3" w:rsidP="004F3E71">
      <w:pPr>
        <w:spacing w:after="0" w:line="240" w:lineRule="auto"/>
        <w:jc w:val="both"/>
        <w:rPr>
          <w:rFonts w:ascii="Arial" w:eastAsia="Times New Roman" w:hAnsi="Arial" w:cs="Arial"/>
          <w:kern w:val="0"/>
          <w:lang w:eastAsia="en-GB"/>
          <w14:ligatures w14:val="none"/>
        </w:rPr>
      </w:pPr>
      <w:r w:rsidRPr="00815D9B">
        <w:rPr>
          <w:rFonts w:ascii="Arial" w:eastAsia="Times New Roman" w:hAnsi="Arial" w:cs="Arial"/>
          <w:kern w:val="0"/>
          <w:u w:val="single"/>
          <w:lang w:eastAsia="en-GB"/>
          <w14:ligatures w14:val="none"/>
        </w:rPr>
        <w:lastRenderedPageBreak/>
        <w:t>Reference List</w:t>
      </w:r>
    </w:p>
    <w:p w14:paraId="76AE944C" w14:textId="77777777" w:rsidR="00795D99" w:rsidRPr="00815D9B" w:rsidRDefault="00795D99" w:rsidP="00E92205">
      <w:pPr>
        <w:spacing w:after="0" w:line="240" w:lineRule="auto"/>
        <w:jc w:val="both"/>
        <w:rPr>
          <w:rFonts w:ascii="Arial" w:eastAsia="Times New Roman" w:hAnsi="Arial" w:cs="Arial"/>
          <w:kern w:val="0"/>
          <w:lang w:eastAsia="en-GB"/>
          <w14:ligatures w14:val="none"/>
        </w:rPr>
      </w:pPr>
    </w:p>
    <w:p w14:paraId="4F9FEB01" w14:textId="77777777" w:rsidR="00CE50F3" w:rsidRPr="00815D9B" w:rsidRDefault="00CE50F3" w:rsidP="00E92205">
      <w:pPr>
        <w:spacing w:after="0" w:line="240" w:lineRule="auto"/>
        <w:jc w:val="both"/>
        <w:rPr>
          <w:rFonts w:ascii="Arial" w:eastAsia="Times New Roman" w:hAnsi="Arial" w:cs="Arial"/>
          <w:kern w:val="0"/>
          <w:lang w:eastAsia="en-GB"/>
          <w14:ligatures w14:val="none"/>
        </w:rPr>
      </w:pPr>
    </w:p>
    <w:p w14:paraId="02AB6F12" w14:textId="132638E9" w:rsidR="00795D99" w:rsidRPr="00815D9B" w:rsidRDefault="00795D99" w:rsidP="00795D99">
      <w:pPr>
        <w:pStyle w:val="NormalWeb"/>
        <w:spacing w:before="0" w:beforeAutospacing="0" w:after="240" w:afterAutospacing="0" w:line="360" w:lineRule="auto"/>
        <w:rPr>
          <w:rFonts w:ascii="Arial" w:hAnsi="Arial" w:cs="Arial"/>
        </w:rPr>
      </w:pPr>
      <w:r w:rsidRPr="00815D9B">
        <w:rPr>
          <w:rFonts w:ascii="Arial" w:hAnsi="Arial" w:cs="Arial"/>
        </w:rPr>
        <w:t xml:space="preserve">American Psychological Association Logo (2022). </w:t>
      </w:r>
      <w:r w:rsidRPr="00815D9B">
        <w:rPr>
          <w:rFonts w:ascii="Arial" w:hAnsi="Arial" w:cs="Arial"/>
          <w:i/>
          <w:iCs/>
        </w:rPr>
        <w:t>Valuing Diversity Project</w:t>
      </w:r>
      <w:r w:rsidRPr="00815D9B">
        <w:rPr>
          <w:rFonts w:ascii="Arial" w:hAnsi="Arial" w:cs="Arial"/>
        </w:rPr>
        <w:t xml:space="preserve">. [online] Apa.org. Available at: </w:t>
      </w:r>
      <w:hyperlink r:id="rId5" w:anchor=":~:text=Valuing%20diversity%20is%20what%20institutions" w:history="1">
        <w:r w:rsidR="00087FD5" w:rsidRPr="00815D9B">
          <w:rPr>
            <w:rStyle w:val="Hyperlink"/>
            <w:rFonts w:ascii="Arial" w:hAnsi="Arial" w:cs="Arial"/>
          </w:rPr>
          <w:t>https://www.apa.org/pi/valuing-diversity#:~:text=Valuing%20diversity%20is%20what%20institutions</w:t>
        </w:r>
      </w:hyperlink>
      <w:r w:rsidR="00147644" w:rsidRPr="00815D9B">
        <w:rPr>
          <w:rFonts w:ascii="Arial" w:hAnsi="Arial" w:cs="Arial"/>
        </w:rPr>
        <w:t xml:space="preserve">  (</w:t>
      </w:r>
      <w:r w:rsidRPr="00815D9B">
        <w:rPr>
          <w:rFonts w:ascii="Arial" w:hAnsi="Arial" w:cs="Arial"/>
        </w:rPr>
        <w:t xml:space="preserve">Accessed </w:t>
      </w:r>
      <w:r w:rsidR="005C10F3" w:rsidRPr="00815D9B">
        <w:rPr>
          <w:rFonts w:ascii="Arial" w:hAnsi="Arial" w:cs="Arial"/>
        </w:rPr>
        <w:t xml:space="preserve">on: </w:t>
      </w:r>
      <w:r w:rsidRPr="00815D9B">
        <w:rPr>
          <w:rFonts w:ascii="Arial" w:hAnsi="Arial" w:cs="Arial"/>
        </w:rPr>
        <w:t>13 Jun</w:t>
      </w:r>
      <w:r w:rsidR="003C4039" w:rsidRPr="00815D9B">
        <w:rPr>
          <w:rFonts w:ascii="Arial" w:hAnsi="Arial" w:cs="Arial"/>
        </w:rPr>
        <w:t xml:space="preserve">e </w:t>
      </w:r>
      <w:r w:rsidRPr="00815D9B">
        <w:rPr>
          <w:rFonts w:ascii="Arial" w:hAnsi="Arial" w:cs="Arial"/>
        </w:rPr>
        <w:t>2024</w:t>
      </w:r>
      <w:r w:rsidR="004F3E71" w:rsidRPr="00815D9B">
        <w:rPr>
          <w:rFonts w:ascii="Arial" w:hAnsi="Arial" w:cs="Arial"/>
        </w:rPr>
        <w:t>)</w:t>
      </w:r>
    </w:p>
    <w:p w14:paraId="05D0AEE7" w14:textId="77777777" w:rsidR="00795D99" w:rsidRPr="00815D9B" w:rsidRDefault="00795D99" w:rsidP="00795D99">
      <w:pPr>
        <w:pStyle w:val="NormalWeb"/>
        <w:spacing w:before="0" w:beforeAutospacing="0" w:after="240" w:afterAutospacing="0" w:line="360" w:lineRule="auto"/>
        <w:rPr>
          <w:rFonts w:ascii="Arial" w:hAnsi="Arial" w:cs="Arial"/>
        </w:rPr>
      </w:pPr>
      <w:r w:rsidRPr="00815D9B">
        <w:rPr>
          <w:rFonts w:ascii="Arial" w:hAnsi="Arial" w:cs="Arial"/>
        </w:rPr>
        <w:t xml:space="preserve">Corsino, L. and Fuller, A.T. (2021). Educating for diversity, equity, and inclusion: A review of commonly used educational approaches. </w:t>
      </w:r>
      <w:r w:rsidRPr="00815D9B">
        <w:rPr>
          <w:rFonts w:ascii="Arial" w:hAnsi="Arial" w:cs="Arial"/>
          <w:i/>
          <w:iCs/>
        </w:rPr>
        <w:t>Journal of Clinical and Translational Science</w:t>
      </w:r>
      <w:r w:rsidRPr="00815D9B">
        <w:rPr>
          <w:rFonts w:ascii="Arial" w:hAnsi="Arial" w:cs="Arial"/>
        </w:rPr>
        <w:t xml:space="preserve">, [online] 5(1), p.e169. </w:t>
      </w:r>
      <w:proofErr w:type="spellStart"/>
      <w:proofErr w:type="gramStart"/>
      <w:r w:rsidRPr="00815D9B">
        <w:rPr>
          <w:rFonts w:ascii="Arial" w:hAnsi="Arial" w:cs="Arial"/>
        </w:rPr>
        <w:t>doi:https</w:t>
      </w:r>
      <w:proofErr w:type="spellEnd"/>
      <w:r w:rsidRPr="00815D9B">
        <w:rPr>
          <w:rFonts w:ascii="Arial" w:hAnsi="Arial" w:cs="Arial"/>
        </w:rPr>
        <w:t>://doi.org/10.1017/cts.2021.834</w:t>
      </w:r>
      <w:proofErr w:type="gramEnd"/>
      <w:r w:rsidRPr="00815D9B">
        <w:rPr>
          <w:rFonts w:ascii="Arial" w:hAnsi="Arial" w:cs="Arial"/>
        </w:rPr>
        <w:t>.</w:t>
      </w:r>
    </w:p>
    <w:p w14:paraId="31D29196" w14:textId="577AB979" w:rsidR="00795D99" w:rsidRPr="00815D9B" w:rsidRDefault="00795D99" w:rsidP="00795D99">
      <w:pPr>
        <w:pStyle w:val="NormalWeb"/>
        <w:spacing w:before="0" w:beforeAutospacing="0" w:after="240" w:afterAutospacing="0" w:line="360" w:lineRule="auto"/>
        <w:rPr>
          <w:rFonts w:ascii="Arial" w:hAnsi="Arial" w:cs="Arial"/>
        </w:rPr>
      </w:pPr>
      <w:r w:rsidRPr="00815D9B">
        <w:rPr>
          <w:rFonts w:ascii="Arial" w:hAnsi="Arial" w:cs="Arial"/>
        </w:rPr>
        <w:t xml:space="preserve">Equality and Human Rights Commission (2018). </w:t>
      </w:r>
      <w:r w:rsidRPr="00815D9B">
        <w:rPr>
          <w:rFonts w:ascii="Arial" w:hAnsi="Arial" w:cs="Arial"/>
          <w:i/>
          <w:iCs/>
        </w:rPr>
        <w:t xml:space="preserve">Equality Act </w:t>
      </w:r>
      <w:proofErr w:type="gramStart"/>
      <w:r w:rsidRPr="00815D9B">
        <w:rPr>
          <w:rFonts w:ascii="Arial" w:hAnsi="Arial" w:cs="Arial"/>
          <w:i/>
          <w:iCs/>
        </w:rPr>
        <w:t xml:space="preserve">2010 </w:t>
      </w:r>
      <w:r w:rsidRPr="00815D9B">
        <w:rPr>
          <w:rFonts w:ascii="Arial" w:hAnsi="Arial" w:cs="Arial"/>
        </w:rPr>
        <w:t>.</w:t>
      </w:r>
      <w:proofErr w:type="gramEnd"/>
      <w:r w:rsidRPr="00815D9B">
        <w:rPr>
          <w:rFonts w:ascii="Arial" w:hAnsi="Arial" w:cs="Arial"/>
        </w:rPr>
        <w:t xml:space="preserve"> [online] Equality and </w:t>
      </w:r>
      <w:r w:rsidR="00B4525D" w:rsidRPr="00815D9B">
        <w:rPr>
          <w:rFonts w:ascii="Arial" w:hAnsi="Arial" w:cs="Arial"/>
        </w:rPr>
        <w:t>Human Rights Commission</w:t>
      </w:r>
      <w:r w:rsidRPr="00815D9B">
        <w:rPr>
          <w:rFonts w:ascii="Arial" w:hAnsi="Arial" w:cs="Arial"/>
        </w:rPr>
        <w:t xml:space="preserve">. Available at: </w:t>
      </w:r>
      <w:hyperlink r:id="rId6" w:history="1">
        <w:r w:rsidR="00087FD5" w:rsidRPr="00815D9B">
          <w:rPr>
            <w:rStyle w:val="Hyperlink"/>
            <w:rFonts w:ascii="Arial" w:hAnsi="Arial" w:cs="Arial"/>
          </w:rPr>
          <w:t>https://www.equalityhumanrights.com/equality/equality-act-2010</w:t>
        </w:r>
      </w:hyperlink>
      <w:r w:rsidRPr="00815D9B">
        <w:rPr>
          <w:rFonts w:ascii="Arial" w:hAnsi="Arial" w:cs="Arial"/>
        </w:rPr>
        <w:t xml:space="preserve"> </w:t>
      </w:r>
      <w:r w:rsidR="00B873E5" w:rsidRPr="00815D9B">
        <w:rPr>
          <w:rFonts w:ascii="Arial" w:hAnsi="Arial" w:cs="Arial"/>
        </w:rPr>
        <w:t>(</w:t>
      </w:r>
      <w:r w:rsidRPr="00815D9B">
        <w:rPr>
          <w:rFonts w:ascii="Arial" w:hAnsi="Arial" w:cs="Arial"/>
        </w:rPr>
        <w:t xml:space="preserve">Accessed </w:t>
      </w:r>
      <w:r w:rsidR="003C4039" w:rsidRPr="00815D9B">
        <w:rPr>
          <w:rFonts w:ascii="Arial" w:hAnsi="Arial" w:cs="Arial"/>
        </w:rPr>
        <w:t xml:space="preserve">on: </w:t>
      </w:r>
      <w:r w:rsidRPr="00815D9B">
        <w:rPr>
          <w:rFonts w:ascii="Arial" w:hAnsi="Arial" w:cs="Arial"/>
        </w:rPr>
        <w:t>10 Jun</w:t>
      </w:r>
      <w:r w:rsidR="00B873E5" w:rsidRPr="00815D9B">
        <w:rPr>
          <w:rFonts w:ascii="Arial" w:hAnsi="Arial" w:cs="Arial"/>
        </w:rPr>
        <w:t>e</w:t>
      </w:r>
      <w:r w:rsidRPr="00815D9B">
        <w:rPr>
          <w:rFonts w:ascii="Arial" w:hAnsi="Arial" w:cs="Arial"/>
        </w:rPr>
        <w:t xml:space="preserve"> 2024</w:t>
      </w:r>
      <w:r w:rsidR="00B873E5" w:rsidRPr="00815D9B">
        <w:rPr>
          <w:rFonts w:ascii="Arial" w:hAnsi="Arial" w:cs="Arial"/>
        </w:rPr>
        <w:t>)</w:t>
      </w:r>
    </w:p>
    <w:p w14:paraId="762804C4" w14:textId="77777777" w:rsidR="00795D99" w:rsidRPr="00815D9B" w:rsidRDefault="00795D99" w:rsidP="00795D99">
      <w:pPr>
        <w:pStyle w:val="NormalWeb"/>
        <w:spacing w:before="0" w:beforeAutospacing="0" w:after="240" w:afterAutospacing="0" w:line="360" w:lineRule="auto"/>
        <w:rPr>
          <w:rFonts w:ascii="Arial" w:hAnsi="Arial" w:cs="Arial"/>
        </w:rPr>
      </w:pPr>
      <w:r w:rsidRPr="00815D9B">
        <w:rPr>
          <w:rFonts w:ascii="Arial" w:hAnsi="Arial" w:cs="Arial"/>
        </w:rPr>
        <w:t xml:space="preserve">Janssens, M. and Zanoni, P. (2014). Alternative diversity management: Organizational practices fostering ethnic equality at work. </w:t>
      </w:r>
      <w:r w:rsidRPr="00815D9B">
        <w:rPr>
          <w:rFonts w:ascii="Arial" w:hAnsi="Arial" w:cs="Arial"/>
          <w:i/>
          <w:iCs/>
        </w:rPr>
        <w:t>Scandinavian Journal of Management</w:t>
      </w:r>
      <w:r w:rsidRPr="00815D9B">
        <w:rPr>
          <w:rFonts w:ascii="Arial" w:hAnsi="Arial" w:cs="Arial"/>
        </w:rPr>
        <w:t xml:space="preserve">, [online] 30(3), pp.317–331. </w:t>
      </w:r>
      <w:proofErr w:type="spellStart"/>
      <w:proofErr w:type="gramStart"/>
      <w:r w:rsidRPr="00815D9B">
        <w:rPr>
          <w:rFonts w:ascii="Arial" w:hAnsi="Arial" w:cs="Arial"/>
        </w:rPr>
        <w:t>doi:https</w:t>
      </w:r>
      <w:proofErr w:type="spellEnd"/>
      <w:r w:rsidRPr="00815D9B">
        <w:rPr>
          <w:rFonts w:ascii="Arial" w:hAnsi="Arial" w:cs="Arial"/>
        </w:rPr>
        <w:t>://doi.org/10.1016/j.scaman.2013.12.006</w:t>
      </w:r>
      <w:proofErr w:type="gramEnd"/>
      <w:r w:rsidRPr="00815D9B">
        <w:rPr>
          <w:rFonts w:ascii="Arial" w:hAnsi="Arial" w:cs="Arial"/>
        </w:rPr>
        <w:t>.</w:t>
      </w:r>
    </w:p>
    <w:p w14:paraId="784BC9A0" w14:textId="6B1B90F5" w:rsidR="00795D99" w:rsidRPr="00815D9B" w:rsidRDefault="00795D99" w:rsidP="00795D99">
      <w:pPr>
        <w:pStyle w:val="NormalWeb"/>
        <w:spacing w:before="0" w:beforeAutospacing="0" w:after="240" w:afterAutospacing="0" w:line="360" w:lineRule="auto"/>
        <w:rPr>
          <w:rFonts w:ascii="Arial" w:hAnsi="Arial" w:cs="Arial"/>
        </w:rPr>
      </w:pPr>
      <w:r w:rsidRPr="00815D9B">
        <w:rPr>
          <w:rFonts w:ascii="Arial" w:hAnsi="Arial" w:cs="Arial"/>
        </w:rPr>
        <w:t xml:space="preserve">Jr, R.R.T. (2005). </w:t>
      </w:r>
      <w:r w:rsidRPr="00815D9B">
        <w:rPr>
          <w:rFonts w:ascii="Arial" w:hAnsi="Arial" w:cs="Arial"/>
          <w:i/>
          <w:iCs/>
        </w:rPr>
        <w:t>Building on the Promise of Diversity: How We Can Move to the Next Level in Our Workplaces, Our Communities, and Our Society</w:t>
      </w:r>
      <w:r w:rsidRPr="00815D9B">
        <w:rPr>
          <w:rFonts w:ascii="Arial" w:hAnsi="Arial" w:cs="Arial"/>
        </w:rPr>
        <w:t xml:space="preserve">. [online] </w:t>
      </w:r>
      <w:r w:rsidRPr="00815D9B">
        <w:rPr>
          <w:rFonts w:ascii="Arial" w:hAnsi="Arial" w:cs="Arial"/>
          <w:i/>
          <w:iCs/>
        </w:rPr>
        <w:t>Google Books</w:t>
      </w:r>
      <w:r w:rsidRPr="00815D9B">
        <w:rPr>
          <w:rFonts w:ascii="Arial" w:hAnsi="Arial" w:cs="Arial"/>
        </w:rPr>
        <w:t xml:space="preserve">. AMACOM Div American </w:t>
      </w:r>
      <w:proofErr w:type="spellStart"/>
      <w:r w:rsidRPr="00815D9B">
        <w:rPr>
          <w:rFonts w:ascii="Arial" w:hAnsi="Arial" w:cs="Arial"/>
        </w:rPr>
        <w:t>Mgmt</w:t>
      </w:r>
      <w:proofErr w:type="spellEnd"/>
      <w:r w:rsidRPr="00815D9B">
        <w:rPr>
          <w:rFonts w:ascii="Arial" w:hAnsi="Arial" w:cs="Arial"/>
        </w:rPr>
        <w:t xml:space="preserve"> Assn. Available at: </w:t>
      </w:r>
      <w:hyperlink r:id="rId7" w:anchor="v=onepage&amp;q&amp;f=false" w:history="1">
        <w:r w:rsidR="007A1F3B" w:rsidRPr="00815D9B">
          <w:rPr>
            <w:rStyle w:val="Hyperlink"/>
            <w:rFonts w:ascii="Arial" w:hAnsi="Arial" w:cs="Arial"/>
          </w:rPr>
          <w:t>https://books.google.co.uk/books?hl=en&amp;lr=&amp;id=7lYfDPhOkYIC&amp;oi=fnd&amp;pg=PR11&amp;dq=emulating+the+community+of+diversity+and+equality&amp;ots=qCoYIhy1Y1&amp;sig=YR87RuFCgfB-gAB7_iMq7lUBBE4#v=onepage&amp;q&amp;f=false</w:t>
        </w:r>
      </w:hyperlink>
      <w:r w:rsidR="008D6B43" w:rsidRPr="00815D9B">
        <w:rPr>
          <w:rFonts w:ascii="Arial" w:hAnsi="Arial" w:cs="Arial"/>
        </w:rPr>
        <w:t xml:space="preserve"> </w:t>
      </w:r>
      <w:r w:rsidR="0080174F" w:rsidRPr="00815D9B">
        <w:rPr>
          <w:rFonts w:ascii="Arial" w:hAnsi="Arial" w:cs="Arial"/>
        </w:rPr>
        <w:t>(</w:t>
      </w:r>
      <w:r w:rsidRPr="00815D9B">
        <w:rPr>
          <w:rFonts w:ascii="Arial" w:hAnsi="Arial" w:cs="Arial"/>
        </w:rPr>
        <w:t>Accessed</w:t>
      </w:r>
      <w:r w:rsidR="0080174F" w:rsidRPr="00815D9B">
        <w:rPr>
          <w:rFonts w:ascii="Arial" w:hAnsi="Arial" w:cs="Arial"/>
        </w:rPr>
        <w:t xml:space="preserve"> on: </w:t>
      </w:r>
      <w:r w:rsidRPr="00815D9B">
        <w:rPr>
          <w:rFonts w:ascii="Arial" w:hAnsi="Arial" w:cs="Arial"/>
        </w:rPr>
        <w:t>21 Jun</w:t>
      </w:r>
      <w:r w:rsidR="0080174F" w:rsidRPr="00815D9B">
        <w:rPr>
          <w:rFonts w:ascii="Arial" w:hAnsi="Arial" w:cs="Arial"/>
        </w:rPr>
        <w:t xml:space="preserve">e </w:t>
      </w:r>
      <w:r w:rsidRPr="00815D9B">
        <w:rPr>
          <w:rFonts w:ascii="Arial" w:hAnsi="Arial" w:cs="Arial"/>
        </w:rPr>
        <w:t>2024</w:t>
      </w:r>
      <w:r w:rsidR="0080174F" w:rsidRPr="00815D9B">
        <w:rPr>
          <w:rFonts w:ascii="Arial" w:hAnsi="Arial" w:cs="Arial"/>
        </w:rPr>
        <w:t>)</w:t>
      </w:r>
      <w:r w:rsidR="003C4039" w:rsidRPr="00815D9B">
        <w:rPr>
          <w:rFonts w:ascii="Arial" w:hAnsi="Arial" w:cs="Arial"/>
        </w:rPr>
        <w:t>.</w:t>
      </w:r>
    </w:p>
    <w:p w14:paraId="0E82EF72" w14:textId="25FB9452" w:rsidR="00795D99" w:rsidRPr="00815D9B" w:rsidRDefault="00795D99" w:rsidP="00795D99">
      <w:pPr>
        <w:pStyle w:val="NormalWeb"/>
        <w:spacing w:before="0" w:beforeAutospacing="0" w:after="240" w:afterAutospacing="0" w:line="360" w:lineRule="auto"/>
        <w:rPr>
          <w:rFonts w:ascii="Arial" w:hAnsi="Arial" w:cs="Arial"/>
        </w:rPr>
      </w:pPr>
      <w:proofErr w:type="gramStart"/>
      <w:r w:rsidRPr="00815D9B">
        <w:rPr>
          <w:rFonts w:ascii="Arial" w:hAnsi="Arial" w:cs="Arial"/>
        </w:rPr>
        <w:t>solicitors</w:t>
      </w:r>
      <w:proofErr w:type="gramEnd"/>
      <w:r w:rsidRPr="00815D9B">
        <w:rPr>
          <w:rFonts w:ascii="Arial" w:hAnsi="Arial" w:cs="Arial"/>
        </w:rPr>
        <w:t xml:space="preserve"> regulation authority (2019). </w:t>
      </w:r>
      <w:r w:rsidRPr="00815D9B">
        <w:rPr>
          <w:rFonts w:ascii="Arial" w:hAnsi="Arial" w:cs="Arial"/>
          <w:i/>
          <w:iCs/>
        </w:rPr>
        <w:t>SRA Code of Conduct for Firms</w:t>
      </w:r>
      <w:r w:rsidRPr="00815D9B">
        <w:rPr>
          <w:rFonts w:ascii="Arial" w:hAnsi="Arial" w:cs="Arial"/>
        </w:rPr>
        <w:t xml:space="preserve">. [online] www.sra.org.uk. Available at: </w:t>
      </w:r>
      <w:hyperlink r:id="rId8" w:history="1">
        <w:r w:rsidR="007A1F3B" w:rsidRPr="00815D9B">
          <w:rPr>
            <w:rStyle w:val="Hyperlink"/>
            <w:rFonts w:ascii="Arial" w:hAnsi="Arial" w:cs="Arial"/>
          </w:rPr>
          <w:t>https://www.sra.org.uk/solicitors/standards-regulations/code-conduct-firms/</w:t>
        </w:r>
      </w:hyperlink>
      <w:r w:rsidR="003C4039" w:rsidRPr="00815D9B">
        <w:rPr>
          <w:rFonts w:ascii="Arial" w:hAnsi="Arial" w:cs="Arial"/>
        </w:rPr>
        <w:t xml:space="preserve"> </w:t>
      </w:r>
      <w:r w:rsidR="0080174F" w:rsidRPr="00815D9B">
        <w:rPr>
          <w:rFonts w:ascii="Arial" w:hAnsi="Arial" w:cs="Arial"/>
        </w:rPr>
        <w:t>(</w:t>
      </w:r>
      <w:r w:rsidRPr="00815D9B">
        <w:rPr>
          <w:rFonts w:ascii="Arial" w:hAnsi="Arial" w:cs="Arial"/>
        </w:rPr>
        <w:t>Accessed</w:t>
      </w:r>
      <w:r w:rsidR="0080174F" w:rsidRPr="00815D9B">
        <w:rPr>
          <w:rFonts w:ascii="Arial" w:hAnsi="Arial" w:cs="Arial"/>
        </w:rPr>
        <w:t xml:space="preserve"> on:</w:t>
      </w:r>
      <w:r w:rsidRPr="00815D9B">
        <w:rPr>
          <w:rFonts w:ascii="Arial" w:hAnsi="Arial" w:cs="Arial"/>
        </w:rPr>
        <w:t xml:space="preserve"> 21 May 2024</w:t>
      </w:r>
      <w:r w:rsidR="0080174F" w:rsidRPr="00815D9B">
        <w:rPr>
          <w:rFonts w:ascii="Arial" w:hAnsi="Arial" w:cs="Arial"/>
        </w:rPr>
        <w:t>)</w:t>
      </w:r>
      <w:r w:rsidRPr="00815D9B">
        <w:rPr>
          <w:rFonts w:ascii="Arial" w:hAnsi="Arial" w:cs="Arial"/>
        </w:rPr>
        <w:t>.</w:t>
      </w:r>
    </w:p>
    <w:p w14:paraId="1FE3E982" w14:textId="5DD5BB60" w:rsidR="00BE602A" w:rsidRPr="00815D9B" w:rsidRDefault="007C3B43" w:rsidP="00E92205">
      <w:pPr>
        <w:spacing w:after="0" w:line="240" w:lineRule="auto"/>
        <w:jc w:val="both"/>
        <w:rPr>
          <w:rFonts w:ascii="Arial" w:eastAsia="Times New Roman" w:hAnsi="Arial" w:cs="Arial"/>
          <w:kern w:val="0"/>
          <w:lang w:eastAsia="en-GB"/>
          <w14:ligatures w14:val="none"/>
        </w:rPr>
      </w:pPr>
      <w:proofErr w:type="spellStart"/>
      <w:r w:rsidRPr="00815D9B">
        <w:rPr>
          <w:rFonts w:ascii="Arial" w:eastAsia="Times New Roman" w:hAnsi="Arial" w:cs="Arial"/>
          <w:kern w:val="0"/>
          <w:lang w:eastAsia="en-GB"/>
          <w14:ligatures w14:val="none"/>
        </w:rPr>
        <w:t>Tungodden</w:t>
      </w:r>
      <w:proofErr w:type="spellEnd"/>
      <w:r w:rsidRPr="00815D9B">
        <w:rPr>
          <w:rFonts w:ascii="Arial" w:eastAsia="Times New Roman" w:hAnsi="Arial" w:cs="Arial"/>
          <w:kern w:val="0"/>
          <w:lang w:eastAsia="en-GB"/>
          <w14:ligatures w14:val="none"/>
        </w:rPr>
        <w:t>, Bertil. (2001). The Value of Equality. Economics and Philosophy. 19. 1-44. 10.1017/S0266267103001007. Available</w:t>
      </w:r>
      <w:r w:rsidR="008354CC" w:rsidRPr="00815D9B">
        <w:rPr>
          <w:rFonts w:ascii="Arial" w:eastAsia="Times New Roman" w:hAnsi="Arial" w:cs="Arial"/>
          <w:kern w:val="0"/>
          <w:lang w:eastAsia="en-GB"/>
          <w14:ligatures w14:val="none"/>
        </w:rPr>
        <w:t xml:space="preserve">: </w:t>
      </w:r>
      <w:hyperlink r:id="rId9" w:history="1">
        <w:r w:rsidR="00BE602A" w:rsidRPr="00815D9B">
          <w:rPr>
            <w:rStyle w:val="Hyperlink"/>
            <w:rFonts w:ascii="Arial" w:eastAsia="Times New Roman" w:hAnsi="Arial" w:cs="Arial"/>
            <w:kern w:val="0"/>
            <w:lang w:eastAsia="en-GB"/>
            <w14:ligatures w14:val="none"/>
          </w:rPr>
          <w:t>https://www.researchgate.net/publication/227349507_The_Value_of_Equality</w:t>
        </w:r>
      </w:hyperlink>
      <w:r w:rsidR="005C10F3" w:rsidRPr="00815D9B">
        <w:rPr>
          <w:rFonts w:ascii="Arial" w:eastAsia="Times New Roman" w:hAnsi="Arial" w:cs="Arial"/>
          <w:kern w:val="0"/>
          <w:lang w:eastAsia="en-GB"/>
          <w14:ligatures w14:val="none"/>
        </w:rPr>
        <w:t xml:space="preserve"> (</w:t>
      </w:r>
      <w:r w:rsidR="00BE602A" w:rsidRPr="00815D9B">
        <w:rPr>
          <w:rFonts w:ascii="Arial" w:eastAsia="Times New Roman" w:hAnsi="Arial" w:cs="Arial"/>
          <w:kern w:val="0"/>
          <w:lang w:eastAsia="en-GB"/>
          <w14:ligatures w14:val="none"/>
        </w:rPr>
        <w:t>Accessed</w:t>
      </w:r>
      <w:r w:rsidR="00A334A0" w:rsidRPr="00815D9B">
        <w:rPr>
          <w:rFonts w:ascii="Arial" w:eastAsia="Times New Roman" w:hAnsi="Arial" w:cs="Arial"/>
          <w:kern w:val="0"/>
          <w:lang w:eastAsia="en-GB"/>
          <w14:ligatures w14:val="none"/>
        </w:rPr>
        <w:t xml:space="preserve"> on</w:t>
      </w:r>
      <w:r w:rsidR="00BE602A" w:rsidRPr="00815D9B">
        <w:rPr>
          <w:rFonts w:ascii="Arial" w:eastAsia="Times New Roman" w:hAnsi="Arial" w:cs="Arial"/>
          <w:kern w:val="0"/>
          <w:lang w:eastAsia="en-GB"/>
          <w14:ligatures w14:val="none"/>
        </w:rPr>
        <w:t>: 13</w:t>
      </w:r>
      <w:r w:rsidR="00A334A0" w:rsidRPr="00815D9B">
        <w:rPr>
          <w:rFonts w:ascii="Arial" w:eastAsia="Times New Roman" w:hAnsi="Arial" w:cs="Arial"/>
          <w:kern w:val="0"/>
          <w:vertAlign w:val="superscript"/>
          <w:lang w:eastAsia="en-GB"/>
          <w14:ligatures w14:val="none"/>
        </w:rPr>
        <w:t>th</w:t>
      </w:r>
      <w:r w:rsidR="00A334A0" w:rsidRPr="00815D9B">
        <w:rPr>
          <w:rFonts w:ascii="Arial" w:eastAsia="Times New Roman" w:hAnsi="Arial" w:cs="Arial"/>
          <w:kern w:val="0"/>
          <w:lang w:eastAsia="en-GB"/>
          <w14:ligatures w14:val="none"/>
        </w:rPr>
        <w:t xml:space="preserve"> June 2024</w:t>
      </w:r>
      <w:r w:rsidR="003C4039" w:rsidRPr="00815D9B">
        <w:rPr>
          <w:rFonts w:ascii="Arial" w:eastAsia="Times New Roman" w:hAnsi="Arial" w:cs="Arial"/>
          <w:kern w:val="0"/>
          <w:lang w:eastAsia="en-GB"/>
          <w14:ligatures w14:val="none"/>
        </w:rPr>
        <w:t>)</w:t>
      </w:r>
    </w:p>
    <w:p w14:paraId="41876CC6" w14:textId="77777777" w:rsidR="007A005A" w:rsidRPr="00815D9B" w:rsidRDefault="007A005A" w:rsidP="00E92205">
      <w:pPr>
        <w:spacing w:after="0" w:line="240" w:lineRule="auto"/>
        <w:jc w:val="both"/>
        <w:rPr>
          <w:rFonts w:ascii="Arial" w:eastAsia="Times New Roman" w:hAnsi="Arial" w:cs="Arial"/>
          <w:kern w:val="0"/>
          <w:lang w:eastAsia="en-GB"/>
          <w14:ligatures w14:val="none"/>
        </w:rPr>
      </w:pPr>
    </w:p>
    <w:p w14:paraId="491FF70E" w14:textId="77777777" w:rsidR="000072B3" w:rsidRPr="000072B3" w:rsidRDefault="000072B3" w:rsidP="000072B3">
      <w:pPr>
        <w:tabs>
          <w:tab w:val="left" w:pos="1200"/>
        </w:tabs>
        <w:jc w:val="both"/>
        <w:rPr>
          <w:rFonts w:ascii="Arial" w:hAnsi="Arial" w:cs="Arial"/>
        </w:rPr>
      </w:pPr>
      <w:r w:rsidRPr="000072B3">
        <w:rPr>
          <w:rFonts w:ascii="Arial" w:hAnsi="Arial" w:cs="Arial"/>
        </w:rPr>
        <w:t xml:space="preserve">Devine, P.G. and Ash, T.L. (2021). Diversity Training Goals, Limitations, and Promise: A Review of the Multidisciplinary Literature. </w:t>
      </w:r>
      <w:r w:rsidRPr="000072B3">
        <w:rPr>
          <w:rFonts w:ascii="Arial" w:hAnsi="Arial" w:cs="Arial"/>
          <w:i/>
          <w:iCs/>
        </w:rPr>
        <w:t>Annual Review of Psychology</w:t>
      </w:r>
      <w:r w:rsidRPr="000072B3">
        <w:rPr>
          <w:rFonts w:ascii="Arial" w:hAnsi="Arial" w:cs="Arial"/>
        </w:rPr>
        <w:t xml:space="preserve">, [online] 73(1). </w:t>
      </w:r>
      <w:proofErr w:type="spellStart"/>
      <w:proofErr w:type="gramStart"/>
      <w:r w:rsidRPr="000072B3">
        <w:rPr>
          <w:rFonts w:ascii="Arial" w:hAnsi="Arial" w:cs="Arial"/>
        </w:rPr>
        <w:t>doi:https</w:t>
      </w:r>
      <w:proofErr w:type="spellEnd"/>
      <w:r w:rsidRPr="000072B3">
        <w:rPr>
          <w:rFonts w:ascii="Arial" w:hAnsi="Arial" w:cs="Arial"/>
        </w:rPr>
        <w:t>://doi.org/10.1146/annurev-psych-060221-122215</w:t>
      </w:r>
      <w:proofErr w:type="gramEnd"/>
      <w:r w:rsidRPr="000072B3">
        <w:rPr>
          <w:rFonts w:ascii="Arial" w:hAnsi="Arial" w:cs="Arial"/>
        </w:rPr>
        <w:t>.</w:t>
      </w:r>
    </w:p>
    <w:p w14:paraId="6A55B890" w14:textId="526BCD65" w:rsidR="000072B3" w:rsidRPr="000072B3" w:rsidRDefault="000072B3" w:rsidP="000072B3">
      <w:pPr>
        <w:tabs>
          <w:tab w:val="left" w:pos="1200"/>
        </w:tabs>
        <w:jc w:val="both"/>
        <w:rPr>
          <w:rFonts w:ascii="Arial" w:hAnsi="Arial" w:cs="Arial"/>
        </w:rPr>
      </w:pPr>
      <w:r w:rsidRPr="000072B3">
        <w:rPr>
          <w:rFonts w:ascii="Arial" w:hAnsi="Arial" w:cs="Arial"/>
        </w:rPr>
        <w:t>Gilbert, S.D. and Allen, M.P. (1992). Overcoming Discrimination in the Legal Profession: Should the Model Rules Be Changed</w:t>
      </w:r>
      <w:r w:rsidR="00AA13A3" w:rsidRPr="00815D9B">
        <w:rPr>
          <w:rFonts w:ascii="Arial" w:hAnsi="Arial" w:cs="Arial"/>
          <w:kern w:val="0"/>
          <w14:ligatures w14:val="none"/>
        </w:rPr>
        <w:t>?</w:t>
      </w:r>
      <w:r w:rsidRPr="000072B3">
        <w:rPr>
          <w:rFonts w:ascii="Arial" w:hAnsi="Arial" w:cs="Arial"/>
        </w:rPr>
        <w:t xml:space="preserve"> </w:t>
      </w:r>
      <w:r w:rsidRPr="000072B3">
        <w:rPr>
          <w:rFonts w:ascii="Arial" w:hAnsi="Arial" w:cs="Arial"/>
          <w:i/>
          <w:iCs/>
        </w:rPr>
        <w:t>Georgetown Journal of Legal Ethics</w:t>
      </w:r>
      <w:r w:rsidRPr="000072B3">
        <w:rPr>
          <w:rFonts w:ascii="Arial" w:hAnsi="Arial" w:cs="Arial"/>
        </w:rPr>
        <w:t xml:space="preserve">, [online] 6, p.933. Available at: </w:t>
      </w:r>
      <w:hyperlink r:id="rId10" w:history="1">
        <w:r w:rsidRPr="000072B3">
          <w:rPr>
            <w:rStyle w:val="Hyperlink"/>
            <w:rFonts w:ascii="Arial" w:hAnsi="Arial" w:cs="Arial"/>
          </w:rPr>
          <w:t>https://heinonline.org/HOL/LandingPage?handle=hein.journals/geojlege6&amp;div=37&amp;id=&amp;page=</w:t>
        </w:r>
      </w:hyperlink>
      <w:r w:rsidR="00AA13A3" w:rsidRPr="00815D9B">
        <w:rPr>
          <w:rFonts w:ascii="Arial" w:hAnsi="Arial" w:cs="Arial"/>
        </w:rPr>
        <w:t xml:space="preserve">  </w:t>
      </w:r>
      <w:r w:rsidR="00025E13" w:rsidRPr="00815D9B">
        <w:rPr>
          <w:rFonts w:ascii="Arial" w:hAnsi="Arial" w:cs="Arial"/>
        </w:rPr>
        <w:t>(</w:t>
      </w:r>
      <w:r w:rsidRPr="000072B3">
        <w:rPr>
          <w:rFonts w:ascii="Arial" w:hAnsi="Arial" w:cs="Arial"/>
        </w:rPr>
        <w:t>Accessed</w:t>
      </w:r>
      <w:r w:rsidR="00025E13" w:rsidRPr="00815D9B">
        <w:rPr>
          <w:rFonts w:ascii="Arial" w:hAnsi="Arial" w:cs="Arial"/>
        </w:rPr>
        <w:t xml:space="preserve"> on:</w:t>
      </w:r>
      <w:r w:rsidRPr="000072B3">
        <w:rPr>
          <w:rFonts w:ascii="Arial" w:hAnsi="Arial" w:cs="Arial"/>
        </w:rPr>
        <w:t xml:space="preserve"> 21 Jun</w:t>
      </w:r>
      <w:r w:rsidR="00025E13" w:rsidRPr="00815D9B">
        <w:rPr>
          <w:rFonts w:ascii="Arial" w:hAnsi="Arial" w:cs="Arial"/>
        </w:rPr>
        <w:t>e</w:t>
      </w:r>
      <w:r w:rsidRPr="000072B3">
        <w:rPr>
          <w:rFonts w:ascii="Arial" w:hAnsi="Arial" w:cs="Arial"/>
        </w:rPr>
        <w:t xml:space="preserve"> 2024</w:t>
      </w:r>
      <w:r w:rsidR="00025E13" w:rsidRPr="00815D9B">
        <w:rPr>
          <w:rFonts w:ascii="Arial" w:hAnsi="Arial" w:cs="Arial"/>
        </w:rPr>
        <w:t>)</w:t>
      </w:r>
      <w:r w:rsidRPr="000072B3">
        <w:rPr>
          <w:rFonts w:ascii="Arial" w:hAnsi="Arial" w:cs="Arial"/>
        </w:rPr>
        <w:t>.</w:t>
      </w:r>
    </w:p>
    <w:p w14:paraId="75965C67" w14:textId="77777777" w:rsidR="000072B3" w:rsidRPr="000072B3" w:rsidRDefault="000072B3" w:rsidP="000072B3">
      <w:pPr>
        <w:tabs>
          <w:tab w:val="left" w:pos="1200"/>
        </w:tabs>
        <w:jc w:val="both"/>
        <w:rPr>
          <w:rFonts w:ascii="Arial" w:hAnsi="Arial" w:cs="Arial"/>
        </w:rPr>
      </w:pPr>
      <w:r w:rsidRPr="000072B3">
        <w:rPr>
          <w:rFonts w:ascii="Arial" w:hAnsi="Arial" w:cs="Arial"/>
        </w:rPr>
        <w:t xml:space="preserve">Wieczorek-Szymańska, A. (2020). Gender Diversity in Academic Sector—Case Study. </w:t>
      </w:r>
      <w:r w:rsidRPr="000072B3">
        <w:rPr>
          <w:rFonts w:ascii="Arial" w:hAnsi="Arial" w:cs="Arial"/>
          <w:i/>
          <w:iCs/>
        </w:rPr>
        <w:t>Administrative Sciences</w:t>
      </w:r>
      <w:r w:rsidRPr="000072B3">
        <w:rPr>
          <w:rFonts w:ascii="Arial" w:hAnsi="Arial" w:cs="Arial"/>
        </w:rPr>
        <w:t xml:space="preserve">, 10(3), p.41. </w:t>
      </w:r>
      <w:proofErr w:type="spellStart"/>
      <w:proofErr w:type="gramStart"/>
      <w:r w:rsidRPr="000072B3">
        <w:rPr>
          <w:rFonts w:ascii="Arial" w:hAnsi="Arial" w:cs="Arial"/>
        </w:rPr>
        <w:t>doi:https</w:t>
      </w:r>
      <w:proofErr w:type="spellEnd"/>
      <w:r w:rsidRPr="000072B3">
        <w:rPr>
          <w:rFonts w:ascii="Arial" w:hAnsi="Arial" w:cs="Arial"/>
        </w:rPr>
        <w:t>://doi.org/10.3390/admsci10030041</w:t>
      </w:r>
      <w:proofErr w:type="gramEnd"/>
      <w:r w:rsidRPr="000072B3">
        <w:rPr>
          <w:rFonts w:ascii="Arial" w:hAnsi="Arial" w:cs="Arial"/>
        </w:rPr>
        <w:t>.</w:t>
      </w:r>
    </w:p>
    <w:p w14:paraId="11547552" w14:textId="77777777" w:rsidR="00D31FEE" w:rsidRPr="00815D9B" w:rsidRDefault="00D31FEE" w:rsidP="00E92205">
      <w:pPr>
        <w:tabs>
          <w:tab w:val="left" w:pos="1200"/>
        </w:tabs>
        <w:jc w:val="both"/>
        <w:rPr>
          <w:rFonts w:ascii="Arial" w:hAnsi="Arial" w:cs="Arial"/>
        </w:rPr>
      </w:pPr>
    </w:p>
    <w:sectPr w:rsidR="00D31FEE" w:rsidRPr="00815D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FEE"/>
    <w:rsid w:val="0000079E"/>
    <w:rsid w:val="00003DD6"/>
    <w:rsid w:val="000072B3"/>
    <w:rsid w:val="00025E13"/>
    <w:rsid w:val="00046648"/>
    <w:rsid w:val="00084206"/>
    <w:rsid w:val="00087FD5"/>
    <w:rsid w:val="000C7562"/>
    <w:rsid w:val="000F2D50"/>
    <w:rsid w:val="00147644"/>
    <w:rsid w:val="001A3721"/>
    <w:rsid w:val="001B0D3B"/>
    <w:rsid w:val="001D5CCE"/>
    <w:rsid w:val="001E30B8"/>
    <w:rsid w:val="001F1CD5"/>
    <w:rsid w:val="0025644C"/>
    <w:rsid w:val="002A7370"/>
    <w:rsid w:val="002C43B1"/>
    <w:rsid w:val="0030751A"/>
    <w:rsid w:val="00321320"/>
    <w:rsid w:val="00350F18"/>
    <w:rsid w:val="00374830"/>
    <w:rsid w:val="003861C4"/>
    <w:rsid w:val="00390F18"/>
    <w:rsid w:val="003B0134"/>
    <w:rsid w:val="003B4EF1"/>
    <w:rsid w:val="003C4039"/>
    <w:rsid w:val="003E3F57"/>
    <w:rsid w:val="00412518"/>
    <w:rsid w:val="004408DA"/>
    <w:rsid w:val="004D49FC"/>
    <w:rsid w:val="004F3E71"/>
    <w:rsid w:val="00526EC1"/>
    <w:rsid w:val="00547E02"/>
    <w:rsid w:val="005963A3"/>
    <w:rsid w:val="005A3A34"/>
    <w:rsid w:val="005C10F3"/>
    <w:rsid w:val="005C5A69"/>
    <w:rsid w:val="005D4E92"/>
    <w:rsid w:val="00613906"/>
    <w:rsid w:val="0062415D"/>
    <w:rsid w:val="006A0B1A"/>
    <w:rsid w:val="006B3A23"/>
    <w:rsid w:val="006C0BAD"/>
    <w:rsid w:val="006F4836"/>
    <w:rsid w:val="00730901"/>
    <w:rsid w:val="00736FF1"/>
    <w:rsid w:val="00744AA1"/>
    <w:rsid w:val="0074764F"/>
    <w:rsid w:val="00795D99"/>
    <w:rsid w:val="007A005A"/>
    <w:rsid w:val="007A1F3B"/>
    <w:rsid w:val="007C3B43"/>
    <w:rsid w:val="007E6517"/>
    <w:rsid w:val="0080174F"/>
    <w:rsid w:val="00803B41"/>
    <w:rsid w:val="00815D9B"/>
    <w:rsid w:val="008354CC"/>
    <w:rsid w:val="0084249C"/>
    <w:rsid w:val="00861C9E"/>
    <w:rsid w:val="008620BC"/>
    <w:rsid w:val="008842E0"/>
    <w:rsid w:val="008D6B43"/>
    <w:rsid w:val="00926BC6"/>
    <w:rsid w:val="0095271D"/>
    <w:rsid w:val="00964D21"/>
    <w:rsid w:val="00A334A0"/>
    <w:rsid w:val="00A40C5C"/>
    <w:rsid w:val="00A5770E"/>
    <w:rsid w:val="00A902EE"/>
    <w:rsid w:val="00AA13A3"/>
    <w:rsid w:val="00AB5C97"/>
    <w:rsid w:val="00AD66AC"/>
    <w:rsid w:val="00B01FE0"/>
    <w:rsid w:val="00B34862"/>
    <w:rsid w:val="00B4525D"/>
    <w:rsid w:val="00B53917"/>
    <w:rsid w:val="00B669A2"/>
    <w:rsid w:val="00B77C35"/>
    <w:rsid w:val="00B86909"/>
    <w:rsid w:val="00B873E5"/>
    <w:rsid w:val="00B8769D"/>
    <w:rsid w:val="00BB0CDD"/>
    <w:rsid w:val="00BD0BFC"/>
    <w:rsid w:val="00BE10F9"/>
    <w:rsid w:val="00BE602A"/>
    <w:rsid w:val="00BE7F35"/>
    <w:rsid w:val="00BF53F8"/>
    <w:rsid w:val="00C81043"/>
    <w:rsid w:val="00CD344E"/>
    <w:rsid w:val="00CE1ED9"/>
    <w:rsid w:val="00CE50F3"/>
    <w:rsid w:val="00CF1A53"/>
    <w:rsid w:val="00D17332"/>
    <w:rsid w:val="00D31FEE"/>
    <w:rsid w:val="00DE43F0"/>
    <w:rsid w:val="00E30AA4"/>
    <w:rsid w:val="00E43410"/>
    <w:rsid w:val="00E57AC7"/>
    <w:rsid w:val="00E92205"/>
    <w:rsid w:val="00EB793C"/>
    <w:rsid w:val="00EF78F2"/>
    <w:rsid w:val="00F4054E"/>
    <w:rsid w:val="00F6396F"/>
    <w:rsid w:val="00FB2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159FD6"/>
  <w15:chartTrackingRefBased/>
  <w15:docId w15:val="{617956A1-3A0A-47A2-896C-7D1A2F10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1F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1F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1F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31F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1F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1F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1F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1F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1F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1F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1F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1F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31F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F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F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F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F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FEE"/>
    <w:rPr>
      <w:rFonts w:eastAsiaTheme="majorEastAsia" w:cstheme="majorBidi"/>
      <w:color w:val="272727" w:themeColor="text1" w:themeTint="D8"/>
    </w:rPr>
  </w:style>
  <w:style w:type="paragraph" w:styleId="Title">
    <w:name w:val="Title"/>
    <w:basedOn w:val="Normal"/>
    <w:next w:val="Normal"/>
    <w:link w:val="TitleChar"/>
    <w:uiPriority w:val="10"/>
    <w:qFormat/>
    <w:rsid w:val="00D31F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F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F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F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FEE"/>
    <w:pPr>
      <w:spacing w:before="160"/>
      <w:jc w:val="center"/>
    </w:pPr>
    <w:rPr>
      <w:i/>
      <w:iCs/>
      <w:color w:val="404040" w:themeColor="text1" w:themeTint="BF"/>
    </w:rPr>
  </w:style>
  <w:style w:type="character" w:customStyle="1" w:styleId="QuoteChar">
    <w:name w:val="Quote Char"/>
    <w:basedOn w:val="DefaultParagraphFont"/>
    <w:link w:val="Quote"/>
    <w:uiPriority w:val="29"/>
    <w:rsid w:val="00D31FEE"/>
    <w:rPr>
      <w:i/>
      <w:iCs/>
      <w:color w:val="404040" w:themeColor="text1" w:themeTint="BF"/>
    </w:rPr>
  </w:style>
  <w:style w:type="paragraph" w:styleId="ListParagraph">
    <w:name w:val="List Paragraph"/>
    <w:basedOn w:val="Normal"/>
    <w:uiPriority w:val="34"/>
    <w:qFormat/>
    <w:rsid w:val="00D31FEE"/>
    <w:pPr>
      <w:ind w:left="720"/>
      <w:contextualSpacing/>
    </w:pPr>
  </w:style>
  <w:style w:type="character" w:styleId="IntenseEmphasis">
    <w:name w:val="Intense Emphasis"/>
    <w:basedOn w:val="DefaultParagraphFont"/>
    <w:uiPriority w:val="21"/>
    <w:qFormat/>
    <w:rsid w:val="00D31FEE"/>
    <w:rPr>
      <w:i/>
      <w:iCs/>
      <w:color w:val="0F4761" w:themeColor="accent1" w:themeShade="BF"/>
    </w:rPr>
  </w:style>
  <w:style w:type="paragraph" w:styleId="IntenseQuote">
    <w:name w:val="Intense Quote"/>
    <w:basedOn w:val="Normal"/>
    <w:next w:val="Normal"/>
    <w:link w:val="IntenseQuoteChar"/>
    <w:uiPriority w:val="30"/>
    <w:qFormat/>
    <w:rsid w:val="00D31F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FEE"/>
    <w:rPr>
      <w:i/>
      <w:iCs/>
      <w:color w:val="0F4761" w:themeColor="accent1" w:themeShade="BF"/>
    </w:rPr>
  </w:style>
  <w:style w:type="character" w:styleId="IntenseReference">
    <w:name w:val="Intense Reference"/>
    <w:basedOn w:val="DefaultParagraphFont"/>
    <w:uiPriority w:val="32"/>
    <w:qFormat/>
    <w:rsid w:val="00D31FEE"/>
    <w:rPr>
      <w:b/>
      <w:bCs/>
      <w:smallCaps/>
      <w:color w:val="0F4761" w:themeColor="accent1" w:themeShade="BF"/>
      <w:spacing w:val="5"/>
    </w:rPr>
  </w:style>
  <w:style w:type="paragraph" w:styleId="NormalWeb">
    <w:name w:val="Normal (Web)"/>
    <w:basedOn w:val="Normal"/>
    <w:uiPriority w:val="99"/>
    <w:semiHidden/>
    <w:unhideWhenUsed/>
    <w:rsid w:val="00D31FE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E602A"/>
    <w:rPr>
      <w:color w:val="467886" w:themeColor="hyperlink"/>
      <w:u w:val="single"/>
    </w:rPr>
  </w:style>
  <w:style w:type="character" w:styleId="UnresolvedMention">
    <w:name w:val="Unresolved Mention"/>
    <w:basedOn w:val="DefaultParagraphFont"/>
    <w:uiPriority w:val="99"/>
    <w:semiHidden/>
    <w:unhideWhenUsed/>
    <w:rsid w:val="00BE60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51683">
      <w:bodyDiv w:val="1"/>
      <w:marLeft w:val="0"/>
      <w:marRight w:val="0"/>
      <w:marTop w:val="0"/>
      <w:marBottom w:val="0"/>
      <w:divBdr>
        <w:top w:val="none" w:sz="0" w:space="0" w:color="auto"/>
        <w:left w:val="none" w:sz="0" w:space="0" w:color="auto"/>
        <w:bottom w:val="none" w:sz="0" w:space="0" w:color="auto"/>
        <w:right w:val="none" w:sz="0" w:space="0" w:color="auto"/>
      </w:divBdr>
    </w:div>
    <w:div w:id="91903766">
      <w:bodyDiv w:val="1"/>
      <w:marLeft w:val="0"/>
      <w:marRight w:val="0"/>
      <w:marTop w:val="0"/>
      <w:marBottom w:val="0"/>
      <w:divBdr>
        <w:top w:val="none" w:sz="0" w:space="0" w:color="auto"/>
        <w:left w:val="none" w:sz="0" w:space="0" w:color="auto"/>
        <w:bottom w:val="none" w:sz="0" w:space="0" w:color="auto"/>
        <w:right w:val="none" w:sz="0" w:space="0" w:color="auto"/>
      </w:divBdr>
    </w:div>
    <w:div w:id="228805193">
      <w:bodyDiv w:val="1"/>
      <w:marLeft w:val="0"/>
      <w:marRight w:val="0"/>
      <w:marTop w:val="0"/>
      <w:marBottom w:val="0"/>
      <w:divBdr>
        <w:top w:val="none" w:sz="0" w:space="0" w:color="auto"/>
        <w:left w:val="none" w:sz="0" w:space="0" w:color="auto"/>
        <w:bottom w:val="none" w:sz="0" w:space="0" w:color="auto"/>
        <w:right w:val="none" w:sz="0" w:space="0" w:color="auto"/>
      </w:divBdr>
    </w:div>
    <w:div w:id="398290268">
      <w:bodyDiv w:val="1"/>
      <w:marLeft w:val="0"/>
      <w:marRight w:val="0"/>
      <w:marTop w:val="0"/>
      <w:marBottom w:val="0"/>
      <w:divBdr>
        <w:top w:val="none" w:sz="0" w:space="0" w:color="auto"/>
        <w:left w:val="none" w:sz="0" w:space="0" w:color="auto"/>
        <w:bottom w:val="none" w:sz="0" w:space="0" w:color="auto"/>
        <w:right w:val="none" w:sz="0" w:space="0" w:color="auto"/>
      </w:divBdr>
    </w:div>
    <w:div w:id="441804080">
      <w:bodyDiv w:val="1"/>
      <w:marLeft w:val="0"/>
      <w:marRight w:val="0"/>
      <w:marTop w:val="0"/>
      <w:marBottom w:val="0"/>
      <w:divBdr>
        <w:top w:val="none" w:sz="0" w:space="0" w:color="auto"/>
        <w:left w:val="none" w:sz="0" w:space="0" w:color="auto"/>
        <w:bottom w:val="none" w:sz="0" w:space="0" w:color="auto"/>
        <w:right w:val="none" w:sz="0" w:space="0" w:color="auto"/>
      </w:divBdr>
    </w:div>
    <w:div w:id="528957567">
      <w:bodyDiv w:val="1"/>
      <w:marLeft w:val="0"/>
      <w:marRight w:val="0"/>
      <w:marTop w:val="0"/>
      <w:marBottom w:val="0"/>
      <w:divBdr>
        <w:top w:val="none" w:sz="0" w:space="0" w:color="auto"/>
        <w:left w:val="none" w:sz="0" w:space="0" w:color="auto"/>
        <w:bottom w:val="none" w:sz="0" w:space="0" w:color="auto"/>
        <w:right w:val="none" w:sz="0" w:space="0" w:color="auto"/>
      </w:divBdr>
    </w:div>
    <w:div w:id="570316649">
      <w:bodyDiv w:val="1"/>
      <w:marLeft w:val="0"/>
      <w:marRight w:val="0"/>
      <w:marTop w:val="0"/>
      <w:marBottom w:val="0"/>
      <w:divBdr>
        <w:top w:val="none" w:sz="0" w:space="0" w:color="auto"/>
        <w:left w:val="none" w:sz="0" w:space="0" w:color="auto"/>
        <w:bottom w:val="none" w:sz="0" w:space="0" w:color="auto"/>
        <w:right w:val="none" w:sz="0" w:space="0" w:color="auto"/>
      </w:divBdr>
    </w:div>
    <w:div w:id="605041552">
      <w:bodyDiv w:val="1"/>
      <w:marLeft w:val="0"/>
      <w:marRight w:val="0"/>
      <w:marTop w:val="0"/>
      <w:marBottom w:val="0"/>
      <w:divBdr>
        <w:top w:val="none" w:sz="0" w:space="0" w:color="auto"/>
        <w:left w:val="none" w:sz="0" w:space="0" w:color="auto"/>
        <w:bottom w:val="none" w:sz="0" w:space="0" w:color="auto"/>
        <w:right w:val="none" w:sz="0" w:space="0" w:color="auto"/>
      </w:divBdr>
      <w:divsChild>
        <w:div w:id="1709449232">
          <w:marLeft w:val="0"/>
          <w:marRight w:val="0"/>
          <w:marTop w:val="0"/>
          <w:marBottom w:val="0"/>
          <w:divBdr>
            <w:top w:val="none" w:sz="0" w:space="0" w:color="auto"/>
            <w:left w:val="none" w:sz="0" w:space="0" w:color="auto"/>
            <w:bottom w:val="none" w:sz="0" w:space="0" w:color="auto"/>
            <w:right w:val="none" w:sz="0" w:space="0" w:color="auto"/>
          </w:divBdr>
        </w:div>
      </w:divsChild>
    </w:div>
    <w:div w:id="781802102">
      <w:bodyDiv w:val="1"/>
      <w:marLeft w:val="0"/>
      <w:marRight w:val="0"/>
      <w:marTop w:val="0"/>
      <w:marBottom w:val="0"/>
      <w:divBdr>
        <w:top w:val="none" w:sz="0" w:space="0" w:color="auto"/>
        <w:left w:val="none" w:sz="0" w:space="0" w:color="auto"/>
        <w:bottom w:val="none" w:sz="0" w:space="0" w:color="auto"/>
        <w:right w:val="none" w:sz="0" w:space="0" w:color="auto"/>
      </w:divBdr>
    </w:div>
    <w:div w:id="807281166">
      <w:bodyDiv w:val="1"/>
      <w:marLeft w:val="0"/>
      <w:marRight w:val="0"/>
      <w:marTop w:val="0"/>
      <w:marBottom w:val="0"/>
      <w:divBdr>
        <w:top w:val="none" w:sz="0" w:space="0" w:color="auto"/>
        <w:left w:val="none" w:sz="0" w:space="0" w:color="auto"/>
        <w:bottom w:val="none" w:sz="0" w:space="0" w:color="auto"/>
        <w:right w:val="none" w:sz="0" w:space="0" w:color="auto"/>
      </w:divBdr>
      <w:divsChild>
        <w:div w:id="1061321277">
          <w:marLeft w:val="0"/>
          <w:marRight w:val="0"/>
          <w:marTop w:val="0"/>
          <w:marBottom w:val="0"/>
          <w:divBdr>
            <w:top w:val="none" w:sz="0" w:space="0" w:color="auto"/>
            <w:left w:val="none" w:sz="0" w:space="0" w:color="auto"/>
            <w:bottom w:val="none" w:sz="0" w:space="0" w:color="auto"/>
            <w:right w:val="none" w:sz="0" w:space="0" w:color="auto"/>
          </w:divBdr>
        </w:div>
      </w:divsChild>
    </w:div>
    <w:div w:id="831484856">
      <w:bodyDiv w:val="1"/>
      <w:marLeft w:val="0"/>
      <w:marRight w:val="0"/>
      <w:marTop w:val="0"/>
      <w:marBottom w:val="0"/>
      <w:divBdr>
        <w:top w:val="none" w:sz="0" w:space="0" w:color="auto"/>
        <w:left w:val="none" w:sz="0" w:space="0" w:color="auto"/>
        <w:bottom w:val="none" w:sz="0" w:space="0" w:color="auto"/>
        <w:right w:val="none" w:sz="0" w:space="0" w:color="auto"/>
      </w:divBdr>
    </w:div>
    <w:div w:id="1089892153">
      <w:bodyDiv w:val="1"/>
      <w:marLeft w:val="0"/>
      <w:marRight w:val="0"/>
      <w:marTop w:val="0"/>
      <w:marBottom w:val="0"/>
      <w:divBdr>
        <w:top w:val="none" w:sz="0" w:space="0" w:color="auto"/>
        <w:left w:val="none" w:sz="0" w:space="0" w:color="auto"/>
        <w:bottom w:val="none" w:sz="0" w:space="0" w:color="auto"/>
        <w:right w:val="none" w:sz="0" w:space="0" w:color="auto"/>
      </w:divBdr>
    </w:div>
    <w:div w:id="1163274017">
      <w:bodyDiv w:val="1"/>
      <w:marLeft w:val="0"/>
      <w:marRight w:val="0"/>
      <w:marTop w:val="0"/>
      <w:marBottom w:val="0"/>
      <w:divBdr>
        <w:top w:val="none" w:sz="0" w:space="0" w:color="auto"/>
        <w:left w:val="none" w:sz="0" w:space="0" w:color="auto"/>
        <w:bottom w:val="none" w:sz="0" w:space="0" w:color="auto"/>
        <w:right w:val="none" w:sz="0" w:space="0" w:color="auto"/>
      </w:divBdr>
    </w:div>
    <w:div w:id="1335911614">
      <w:bodyDiv w:val="1"/>
      <w:marLeft w:val="0"/>
      <w:marRight w:val="0"/>
      <w:marTop w:val="0"/>
      <w:marBottom w:val="0"/>
      <w:divBdr>
        <w:top w:val="none" w:sz="0" w:space="0" w:color="auto"/>
        <w:left w:val="none" w:sz="0" w:space="0" w:color="auto"/>
        <w:bottom w:val="none" w:sz="0" w:space="0" w:color="auto"/>
        <w:right w:val="none" w:sz="0" w:space="0" w:color="auto"/>
      </w:divBdr>
    </w:div>
    <w:div w:id="1369573791">
      <w:bodyDiv w:val="1"/>
      <w:marLeft w:val="0"/>
      <w:marRight w:val="0"/>
      <w:marTop w:val="0"/>
      <w:marBottom w:val="0"/>
      <w:divBdr>
        <w:top w:val="none" w:sz="0" w:space="0" w:color="auto"/>
        <w:left w:val="none" w:sz="0" w:space="0" w:color="auto"/>
        <w:bottom w:val="none" w:sz="0" w:space="0" w:color="auto"/>
        <w:right w:val="none" w:sz="0" w:space="0" w:color="auto"/>
      </w:divBdr>
    </w:div>
    <w:div w:id="1516963050">
      <w:bodyDiv w:val="1"/>
      <w:marLeft w:val="0"/>
      <w:marRight w:val="0"/>
      <w:marTop w:val="0"/>
      <w:marBottom w:val="0"/>
      <w:divBdr>
        <w:top w:val="none" w:sz="0" w:space="0" w:color="auto"/>
        <w:left w:val="none" w:sz="0" w:space="0" w:color="auto"/>
        <w:bottom w:val="none" w:sz="0" w:space="0" w:color="auto"/>
        <w:right w:val="none" w:sz="0" w:space="0" w:color="auto"/>
      </w:divBdr>
    </w:div>
    <w:div w:id="1595434512">
      <w:bodyDiv w:val="1"/>
      <w:marLeft w:val="0"/>
      <w:marRight w:val="0"/>
      <w:marTop w:val="0"/>
      <w:marBottom w:val="0"/>
      <w:divBdr>
        <w:top w:val="none" w:sz="0" w:space="0" w:color="auto"/>
        <w:left w:val="none" w:sz="0" w:space="0" w:color="auto"/>
        <w:bottom w:val="none" w:sz="0" w:space="0" w:color="auto"/>
        <w:right w:val="none" w:sz="0" w:space="0" w:color="auto"/>
      </w:divBdr>
    </w:div>
    <w:div w:id="1605916806">
      <w:bodyDiv w:val="1"/>
      <w:marLeft w:val="0"/>
      <w:marRight w:val="0"/>
      <w:marTop w:val="0"/>
      <w:marBottom w:val="0"/>
      <w:divBdr>
        <w:top w:val="none" w:sz="0" w:space="0" w:color="auto"/>
        <w:left w:val="none" w:sz="0" w:space="0" w:color="auto"/>
        <w:bottom w:val="none" w:sz="0" w:space="0" w:color="auto"/>
        <w:right w:val="none" w:sz="0" w:space="0" w:color="auto"/>
      </w:divBdr>
    </w:div>
    <w:div w:id="1663242746">
      <w:bodyDiv w:val="1"/>
      <w:marLeft w:val="0"/>
      <w:marRight w:val="0"/>
      <w:marTop w:val="0"/>
      <w:marBottom w:val="0"/>
      <w:divBdr>
        <w:top w:val="none" w:sz="0" w:space="0" w:color="auto"/>
        <w:left w:val="none" w:sz="0" w:space="0" w:color="auto"/>
        <w:bottom w:val="none" w:sz="0" w:space="0" w:color="auto"/>
        <w:right w:val="none" w:sz="0" w:space="0" w:color="auto"/>
      </w:divBdr>
    </w:div>
    <w:div w:id="1710304127">
      <w:bodyDiv w:val="1"/>
      <w:marLeft w:val="0"/>
      <w:marRight w:val="0"/>
      <w:marTop w:val="0"/>
      <w:marBottom w:val="0"/>
      <w:divBdr>
        <w:top w:val="none" w:sz="0" w:space="0" w:color="auto"/>
        <w:left w:val="none" w:sz="0" w:space="0" w:color="auto"/>
        <w:bottom w:val="none" w:sz="0" w:space="0" w:color="auto"/>
        <w:right w:val="none" w:sz="0" w:space="0" w:color="auto"/>
      </w:divBdr>
    </w:div>
    <w:div w:id="1765570722">
      <w:bodyDiv w:val="1"/>
      <w:marLeft w:val="0"/>
      <w:marRight w:val="0"/>
      <w:marTop w:val="0"/>
      <w:marBottom w:val="0"/>
      <w:divBdr>
        <w:top w:val="none" w:sz="0" w:space="0" w:color="auto"/>
        <w:left w:val="none" w:sz="0" w:space="0" w:color="auto"/>
        <w:bottom w:val="none" w:sz="0" w:space="0" w:color="auto"/>
        <w:right w:val="none" w:sz="0" w:space="0" w:color="auto"/>
      </w:divBdr>
      <w:divsChild>
        <w:div w:id="1127627883">
          <w:marLeft w:val="0"/>
          <w:marRight w:val="0"/>
          <w:marTop w:val="0"/>
          <w:marBottom w:val="0"/>
          <w:divBdr>
            <w:top w:val="none" w:sz="0" w:space="0" w:color="auto"/>
            <w:left w:val="none" w:sz="0" w:space="0" w:color="auto"/>
            <w:bottom w:val="none" w:sz="0" w:space="0" w:color="auto"/>
            <w:right w:val="none" w:sz="0" w:space="0" w:color="auto"/>
          </w:divBdr>
        </w:div>
      </w:divsChild>
    </w:div>
    <w:div w:id="210541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ra.org.uk/solicitors/standards-regulations/code-conduct-firms/" TargetMode="External"/><Relationship Id="rId3" Type="http://schemas.openxmlformats.org/officeDocument/2006/relationships/settings" Target="settings.xml"/><Relationship Id="rId7" Type="http://schemas.openxmlformats.org/officeDocument/2006/relationships/hyperlink" Target="https://books.google.co.uk/books?hl=en&amp;lr=&amp;id=7lYfDPhOkYIC&amp;oi=fnd&amp;pg=PR11&amp;dq=emulating+the+community+of+diversity+and+equality&amp;ots=qCoYIhy1Y1&amp;sig=YR87RuFCgfB-gAB7_iMq7lUBBE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equalityhumanrights.com/equality/equality-act-2010" TargetMode="External"/><Relationship Id="rId11" Type="http://schemas.openxmlformats.org/officeDocument/2006/relationships/fontTable" Target="fontTable.xml"/><Relationship Id="rId5" Type="http://schemas.openxmlformats.org/officeDocument/2006/relationships/hyperlink" Target="https://www.apa.org/pi/valuing-diversity" TargetMode="External"/><Relationship Id="rId10" Type="http://schemas.openxmlformats.org/officeDocument/2006/relationships/hyperlink" Target="https://heinonline.org/HOL/LandingPage?handle=hein.journals/geojlege6&amp;div=37&amp;id=&amp;page=" TargetMode="External"/><Relationship Id="rId4" Type="http://schemas.openxmlformats.org/officeDocument/2006/relationships/webSettings" Target="webSettings.xml"/><Relationship Id="rId9" Type="http://schemas.openxmlformats.org/officeDocument/2006/relationships/hyperlink" Target="https://www.researchgate.net/publication/227349507_The_Value_of_Equ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C7E35-92FC-4029-AAFB-92989B76C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1527</Words>
  <Characters>9915</Characters>
  <Application>Microsoft Office Word</Application>
  <DocSecurity>0</DocSecurity>
  <Lines>192</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Salimata Traore</dc:creator>
  <cp:keywords/>
  <dc:description/>
  <cp:lastModifiedBy>Salimata Traore</cp:lastModifiedBy>
  <cp:revision>2</cp:revision>
  <dcterms:created xsi:type="dcterms:W3CDTF">2024-06-21T21:52:00Z</dcterms:created>
  <dcterms:modified xsi:type="dcterms:W3CDTF">2024-06-21T21:52:00Z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9a801f5d-b669-4e1e-902b-3df2c3a028de</vt:lpwstr>
  </property>
</Properties>
</file>