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1BD9F46C" w:rsidR="5A453747" w:rsidRDefault="00012B16">
      <w:r>
        <w:rPr>
          <w:noProof/>
        </w:rPr>
        <w:drawing>
          <wp:anchor distT="0" distB="0" distL="114300" distR="114300" simplePos="0" relativeHeight="251658240" behindDoc="0" locked="0" layoutInCell="1" allowOverlap="1" wp14:anchorId="02F2A5C9" wp14:editId="31BC3214">
            <wp:simplePos x="685800" y="914400"/>
            <wp:positionH relativeFrom="column">
              <wp:align>left</wp:align>
            </wp:positionH>
            <wp:positionV relativeFrom="paragraph">
              <wp:align>top</wp:align>
            </wp:positionV>
            <wp:extent cx="2028825" cy="704850"/>
            <wp:effectExtent l="0" t="0" r="9525" b="0"/>
            <wp:wrapSquare wrapText="bothSides"/>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anchor>
        </w:drawing>
      </w:r>
      <w:r w:rsidR="00113E1B">
        <w:br w:type="textWrapping" w:clear="all"/>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19BB7F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13E1B">
              <w:rPr>
                <w:rFonts w:ascii="Times New Roman" w:hAnsi="Times New Roman" w:cs="Times New Roman"/>
                <w:b/>
                <w:color w:val="auto"/>
                <w:sz w:val="48"/>
              </w:rPr>
              <w:t>Darren Croft</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EB45B7C"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13E1B">
              <w:rPr>
                <w:rFonts w:ascii="Times New Roman" w:hAnsi="Times New Roman" w:cs="Times New Roman"/>
                <w:b/>
                <w:color w:val="auto"/>
                <w:sz w:val="48"/>
              </w:rPr>
              <w:t xml:space="preserve"> dcroft14@gmail.com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2E72D33"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University Registration</w:t>
            </w:r>
            <w:r w:rsidR="00F927A1" w:rsidRPr="005D3F07">
              <w:rPr>
                <w:rFonts w:ascii="Times New Roman" w:hAnsi="Times New Roman" w:cs="Times New Roman"/>
                <w:b/>
                <w:color w:val="auto"/>
                <w:sz w:val="48"/>
              </w:rPr>
              <w:t xml:space="preserve"> Number:</w:t>
            </w:r>
            <w:r w:rsidR="00113E1B">
              <w:rPr>
                <w:rFonts w:ascii="Times New Roman" w:hAnsi="Times New Roman" w:cs="Times New Roman"/>
                <w:b/>
                <w:color w:val="auto"/>
                <w:sz w:val="48"/>
              </w:rPr>
              <w:t xml:space="preserve"> 1604512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1F7515E5" w14:textId="77777777" w:rsidR="00373E81" w:rsidRDefault="00373E81" w:rsidP="00373E81">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0318E819" w14:textId="77777777" w:rsidR="00FC0334" w:rsidRDefault="00FC0334" w:rsidP="00FF7EBB">
            <w:pPr>
              <w:jc w:val="both"/>
              <w:rPr>
                <w:sz w:val="24"/>
                <w:szCs w:val="24"/>
              </w:rPr>
            </w:pPr>
          </w:p>
          <w:p w14:paraId="7992DB66" w14:textId="77777777" w:rsidR="00373E81" w:rsidRDefault="00373E81" w:rsidP="00FF7EBB">
            <w:pPr>
              <w:jc w:val="both"/>
              <w:rPr>
                <w:sz w:val="24"/>
                <w:szCs w:val="24"/>
              </w:rPr>
            </w:pPr>
          </w:p>
          <w:p w14:paraId="7D2E0C69" w14:textId="77777777" w:rsidR="00373E81" w:rsidRPr="00373E81" w:rsidRDefault="00373E81" w:rsidP="00373E81">
            <w:pPr>
              <w:overflowPunct/>
              <w:autoSpaceDE/>
              <w:autoSpaceDN/>
              <w:adjustRightInd/>
              <w:spacing w:after="160" w:line="360" w:lineRule="auto"/>
              <w:textAlignment w:val="auto"/>
              <w:rPr>
                <w:rFonts w:asciiTheme="minorHAnsi" w:eastAsiaTheme="minorHAnsi" w:hAnsiTheme="minorHAnsi" w:cstheme="minorBidi"/>
                <w:color w:val="auto"/>
                <w:kern w:val="2"/>
                <w:sz w:val="22"/>
                <w:szCs w:val="22"/>
                <w:lang w:eastAsia="en-US"/>
                <w14:ligatures w14:val="standardContextual"/>
              </w:rPr>
            </w:pPr>
            <w:r w:rsidRPr="00373E81">
              <w:rPr>
                <w:rFonts w:asciiTheme="minorHAnsi" w:eastAsiaTheme="minorHAnsi" w:hAnsiTheme="minorHAnsi" w:cstheme="minorBidi"/>
                <w:color w:val="auto"/>
                <w:kern w:val="2"/>
                <w:sz w:val="22"/>
                <w:szCs w:val="22"/>
                <w:lang w:eastAsia="en-US"/>
                <w14:ligatures w14:val="standardContextual"/>
              </w:rPr>
              <w:t>The principles of the United Nations Convention on the Rights of the Child are ingrained in the Social Services and Wellbeing (Wales) Act 2014 (SSWBA). These include: the right to be heard, non-discrimination, right to life and best interest (UNICEF, 2023). Welsh Ministers must consider such rights when making strategic decisions incumbent in policy development (</w:t>
            </w:r>
            <w:bookmarkStart w:id="0" w:name="_Hlk143436264"/>
            <w:r w:rsidRPr="00373E81">
              <w:rPr>
                <w:rFonts w:asciiTheme="minorHAnsi" w:eastAsiaTheme="minorHAnsi" w:hAnsiTheme="minorHAnsi" w:cstheme="minorBidi"/>
                <w:color w:val="auto"/>
                <w:kern w:val="2"/>
                <w:sz w:val="22"/>
                <w:szCs w:val="22"/>
                <w:lang w:eastAsia="en-US"/>
                <w14:ligatures w14:val="standardContextual"/>
              </w:rPr>
              <w:t>Rights of Children and Young Persons {Wales} Measure, 2011</w:t>
            </w:r>
            <w:bookmarkEnd w:id="0"/>
            <w:r w:rsidRPr="00373E81">
              <w:rPr>
                <w:rFonts w:asciiTheme="minorHAnsi" w:eastAsiaTheme="minorHAnsi" w:hAnsiTheme="minorHAnsi" w:cstheme="minorBidi"/>
                <w:color w:val="auto"/>
                <w:kern w:val="2"/>
                <w:sz w:val="22"/>
                <w:szCs w:val="22"/>
                <w:lang w:eastAsia="en-US"/>
                <w14:ligatures w14:val="standardContextual"/>
              </w:rPr>
              <w:t xml:space="preserve">). Welsh local authorities (LAs) assume the main statutory responsibility for safeguarding children in alignment with these rights. Under s7 of the SSWBA, LAs are required to create Safeguarding Children Boards to include representatives from public agencies. This function is supported by the Children Act 2004 which notes a duty on the same agencies to ensure they ‘discharge their functions’ in regard to the welfare of children (Law Wales, 2021). </w:t>
            </w:r>
          </w:p>
          <w:p w14:paraId="6A9F0FA7" w14:textId="77777777" w:rsidR="00373E81" w:rsidRPr="00373E81" w:rsidRDefault="00373E81" w:rsidP="00373E81">
            <w:pPr>
              <w:overflowPunct/>
              <w:autoSpaceDE/>
              <w:autoSpaceDN/>
              <w:adjustRightInd/>
              <w:spacing w:after="160" w:line="360" w:lineRule="auto"/>
              <w:textAlignment w:val="auto"/>
              <w:rPr>
                <w:rFonts w:asciiTheme="minorHAnsi" w:eastAsiaTheme="minorHAnsi" w:hAnsiTheme="minorHAnsi" w:cstheme="minorBidi"/>
                <w:color w:val="auto"/>
                <w:kern w:val="2"/>
                <w:sz w:val="22"/>
                <w:szCs w:val="22"/>
                <w:lang w:eastAsia="en-US"/>
                <w14:ligatures w14:val="standardContextual"/>
              </w:rPr>
            </w:pPr>
            <w:r w:rsidRPr="00373E81">
              <w:rPr>
                <w:rFonts w:asciiTheme="minorHAnsi" w:eastAsiaTheme="minorHAnsi" w:hAnsiTheme="minorHAnsi" w:cstheme="minorBidi"/>
                <w:color w:val="auto"/>
                <w:kern w:val="2"/>
                <w:sz w:val="22"/>
                <w:szCs w:val="22"/>
                <w:lang w:eastAsia="en-US"/>
                <w14:ligatures w14:val="standardContextual"/>
              </w:rPr>
              <w:t xml:space="preserve">The Wales Safeguarding Procedures (2019) were introduced to assist practitioners apply the legislative guidance in the SSWBA 2014 when a child is at risk of harm, neglect or abuse. Local policy reflects these procedures noting that the LA must respond to a report received regarding a child. Partner agencies must advise the LA if they believe a child is at risk (SSWBA 2014, s130). Indicators of abuse, according to the NSPCC (2023), include unexplained behavioural changes, appearing anxious/withdrawn, being unnaturally aggressive and going missing/running away. If the evidence suggests that the child is suffering (or may suffer) significant harm, a s47 enquiry will determine the necessary action required to safeguard the child. The harm includes sexual/emotional/psychological abuse, neglect, the impairment of mental or physical health and the </w:t>
            </w:r>
            <w:r w:rsidRPr="00373E81">
              <w:rPr>
                <w:rFonts w:asciiTheme="minorHAnsi" w:eastAsiaTheme="minorHAnsi" w:hAnsiTheme="minorHAnsi" w:cstheme="minorBidi"/>
                <w:color w:val="auto"/>
                <w:kern w:val="2"/>
                <w:sz w:val="22"/>
                <w:szCs w:val="22"/>
                <w:lang w:eastAsia="en-US"/>
                <w14:ligatures w14:val="standardContextual"/>
              </w:rPr>
              <w:lastRenderedPageBreak/>
              <w:t xml:space="preserve">impairment of behavioural development (Wales Safeguarding Procedures, 2019; Children Act, 1989). Concerns may emanate from different categories simultaneously. </w:t>
            </w:r>
          </w:p>
          <w:p w14:paraId="73286F14" w14:textId="77777777" w:rsidR="00373E81" w:rsidRPr="00373E81" w:rsidRDefault="00373E81" w:rsidP="00373E81">
            <w:pPr>
              <w:overflowPunct/>
              <w:autoSpaceDE/>
              <w:autoSpaceDN/>
              <w:adjustRightInd/>
              <w:spacing w:after="160" w:line="360" w:lineRule="auto"/>
              <w:textAlignment w:val="auto"/>
              <w:rPr>
                <w:rFonts w:asciiTheme="minorHAnsi" w:eastAsiaTheme="minorHAnsi" w:hAnsiTheme="minorHAnsi" w:cstheme="minorHAnsi"/>
                <w:color w:val="auto"/>
                <w:kern w:val="2"/>
                <w:sz w:val="22"/>
                <w:szCs w:val="22"/>
                <w:lang w:eastAsia="en-US"/>
                <w14:ligatures w14:val="standardContextual"/>
              </w:rPr>
            </w:pPr>
            <w:r w:rsidRPr="00373E81">
              <w:rPr>
                <w:rFonts w:asciiTheme="minorHAnsi" w:eastAsiaTheme="minorHAnsi" w:hAnsiTheme="minorHAnsi" w:cstheme="minorBidi"/>
                <w:color w:val="auto"/>
                <w:kern w:val="2"/>
                <w:sz w:val="22"/>
                <w:szCs w:val="22"/>
                <w:lang w:eastAsia="en-US"/>
                <w14:ligatures w14:val="standardContextual"/>
              </w:rPr>
              <w:t xml:space="preserve">The LA may undertake a joint enquiry with the police if there is also a criminal investigation (Children Act, 1989; Wales Safeguarding Procedures, 2019). There is a duty for all partner agencies to cooperate when undertaking enquiries and relevant information can be shared (Data Protection Act, 2018). Practitioners can also access the Child Protection Register to ascertain if the child had been identified previously (NSPCC, 2023). </w:t>
            </w:r>
            <w:r w:rsidRPr="00373E81">
              <w:rPr>
                <w:rFonts w:asciiTheme="minorHAnsi" w:eastAsiaTheme="minorHAnsi" w:hAnsiTheme="minorHAnsi" w:cstheme="minorHAnsi"/>
                <w:color w:val="383735"/>
                <w:kern w:val="2"/>
                <w:sz w:val="22"/>
                <w:szCs w:val="22"/>
                <w:shd w:val="clear" w:color="auto" w:fill="FFFFFF"/>
                <w:lang w:eastAsia="en-US"/>
                <w14:ligatures w14:val="standardContextual"/>
              </w:rPr>
              <w:t xml:space="preserve">S47 enquiries may lead to court applications/orders which result in the LA assuming shared parental responsibility (Children Act, 1989). </w:t>
            </w:r>
          </w:p>
          <w:p w14:paraId="713A444E" w14:textId="77777777" w:rsidR="00373E81" w:rsidRPr="00373E81" w:rsidRDefault="00373E81" w:rsidP="00373E81">
            <w:pPr>
              <w:overflowPunct/>
              <w:autoSpaceDE/>
              <w:autoSpaceDN/>
              <w:adjustRightInd/>
              <w:spacing w:after="160" w:line="360" w:lineRule="auto"/>
              <w:textAlignment w:val="auto"/>
              <w:rPr>
                <w:rFonts w:asciiTheme="minorHAnsi" w:eastAsiaTheme="minorHAnsi" w:hAnsiTheme="minorHAnsi" w:cstheme="minorBidi"/>
                <w:color w:val="auto"/>
                <w:kern w:val="2"/>
                <w:sz w:val="22"/>
                <w:szCs w:val="22"/>
                <w:lang w:eastAsia="en-US"/>
                <w14:ligatures w14:val="standardContextual"/>
              </w:rPr>
            </w:pPr>
            <w:r w:rsidRPr="00373E81">
              <w:rPr>
                <w:rFonts w:asciiTheme="minorHAnsi" w:eastAsiaTheme="minorHAnsi" w:hAnsiTheme="minorHAnsi" w:cstheme="minorBidi"/>
                <w:color w:val="auto"/>
                <w:kern w:val="2"/>
                <w:sz w:val="22"/>
                <w:szCs w:val="22"/>
                <w:lang w:eastAsia="en-US"/>
                <w14:ligatures w14:val="standardContextual"/>
              </w:rPr>
              <w:t>If the child is deemed to need immediate protection, an Emergency Protection Order (EPO) can be applied for to remove the child from their home. The perpetrator can also be removed under an Exclusion Order (Family Law Act, 1996). In a joint investigation, Police Powers of Protection may be deployed when a delay in an EPO presents a risk for the child. (Children Act 1989, s46). Alternative interventions are explored beforehand such as the child being cared for by another family member or the LA with parental consent (SSWBA, 2014; s76). Such considerations comply with the ‘no order’ principle of the Children Act 1989.</w:t>
            </w:r>
          </w:p>
          <w:p w14:paraId="635B4FDB" w14:textId="77777777" w:rsidR="00373E81" w:rsidRPr="00373E81" w:rsidRDefault="00373E81" w:rsidP="00373E81">
            <w:pPr>
              <w:overflowPunct/>
              <w:autoSpaceDE/>
              <w:autoSpaceDN/>
              <w:adjustRightInd/>
              <w:spacing w:after="160" w:line="360" w:lineRule="auto"/>
              <w:textAlignment w:val="auto"/>
              <w:rPr>
                <w:rFonts w:asciiTheme="minorHAnsi" w:eastAsiaTheme="minorHAnsi" w:hAnsiTheme="minorHAnsi" w:cstheme="minorBidi"/>
                <w:color w:val="auto"/>
                <w:kern w:val="2"/>
                <w:sz w:val="22"/>
                <w:szCs w:val="22"/>
                <w:lang w:eastAsia="en-US"/>
                <w14:ligatures w14:val="standardContextual"/>
              </w:rPr>
            </w:pPr>
            <w:r w:rsidRPr="00373E81">
              <w:rPr>
                <w:rFonts w:asciiTheme="minorHAnsi" w:eastAsiaTheme="minorHAnsi" w:hAnsiTheme="minorHAnsi" w:cstheme="minorBidi"/>
                <w:color w:val="auto"/>
                <w:kern w:val="2"/>
                <w:sz w:val="22"/>
                <w:szCs w:val="22"/>
                <w:lang w:eastAsia="en-US"/>
                <w14:ligatures w14:val="standardContextual"/>
              </w:rPr>
              <w:t>An Interim Care Order may be recommended by the court to establish outcomes/support plans to keep the child safe. This involves consultation and considers whether the child can remain with the family or whether the best interests of the child are met by LA care (Care Order), temporary adoption (Placement Order) or permanent adoption (Adoption Order). In any eventuality, the best interest and welfare of the child is paramount. Any procedural delay will negatively impact the child (Children Act 1989; NSPCC, 2023).</w:t>
            </w:r>
          </w:p>
          <w:p w14:paraId="03BD6D93" w14:textId="24446746" w:rsidR="007A628F" w:rsidRPr="00061939" w:rsidRDefault="00373E81" w:rsidP="00061939">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sidRPr="00373E81">
              <w:rPr>
                <w:rFonts w:asciiTheme="minorHAnsi" w:eastAsiaTheme="minorHAnsi" w:hAnsiTheme="minorHAnsi" w:cstheme="minorBidi"/>
                <w:color w:val="auto"/>
                <w:kern w:val="2"/>
                <w:sz w:val="22"/>
                <w:szCs w:val="22"/>
                <w:lang w:eastAsia="en-US"/>
                <w14:ligatures w14:val="standardContextual"/>
              </w:rPr>
              <w:tab/>
            </w:r>
            <w:r w:rsidRPr="00373E81">
              <w:rPr>
                <w:rFonts w:asciiTheme="minorHAnsi" w:eastAsiaTheme="minorHAnsi" w:hAnsiTheme="minorHAnsi" w:cstheme="minorBidi"/>
                <w:color w:val="auto"/>
                <w:kern w:val="2"/>
                <w:sz w:val="22"/>
                <w:szCs w:val="22"/>
                <w:lang w:eastAsia="en-US"/>
                <w14:ligatures w14:val="standardContextual"/>
              </w:rPr>
              <w:tab/>
            </w:r>
            <w:r w:rsidRPr="00373E81">
              <w:rPr>
                <w:rFonts w:asciiTheme="minorHAnsi" w:eastAsiaTheme="minorHAnsi" w:hAnsiTheme="minorHAnsi" w:cstheme="minorBidi"/>
                <w:color w:val="auto"/>
                <w:kern w:val="2"/>
                <w:sz w:val="22"/>
                <w:szCs w:val="22"/>
                <w:lang w:eastAsia="en-US"/>
                <w14:ligatures w14:val="standardContextual"/>
              </w:rPr>
              <w:tab/>
            </w:r>
            <w:r w:rsidRPr="00373E81">
              <w:rPr>
                <w:rFonts w:asciiTheme="minorHAnsi" w:eastAsiaTheme="minorHAnsi" w:hAnsiTheme="minorHAnsi" w:cstheme="minorBidi"/>
                <w:color w:val="auto"/>
                <w:kern w:val="2"/>
                <w:sz w:val="22"/>
                <w:szCs w:val="22"/>
                <w:lang w:eastAsia="en-US"/>
                <w14:ligatures w14:val="standardContextual"/>
              </w:rPr>
              <w:tab/>
            </w:r>
            <w:r w:rsidRPr="00373E81">
              <w:rPr>
                <w:rFonts w:asciiTheme="minorHAnsi" w:eastAsiaTheme="minorHAnsi" w:hAnsiTheme="minorHAnsi" w:cstheme="minorBidi"/>
                <w:color w:val="auto"/>
                <w:kern w:val="2"/>
                <w:sz w:val="22"/>
                <w:szCs w:val="22"/>
                <w:lang w:eastAsia="en-US"/>
                <w14:ligatures w14:val="standardContextual"/>
              </w:rPr>
              <w:tab/>
            </w:r>
            <w:r w:rsidRPr="00373E81">
              <w:rPr>
                <w:rFonts w:asciiTheme="minorHAnsi" w:eastAsiaTheme="minorHAnsi" w:hAnsiTheme="minorHAnsi" w:cstheme="minorBidi"/>
                <w:color w:val="auto"/>
                <w:kern w:val="2"/>
                <w:sz w:val="22"/>
                <w:szCs w:val="22"/>
                <w:lang w:eastAsia="en-US"/>
                <w14:ligatures w14:val="standardContextual"/>
              </w:rPr>
              <w:tab/>
            </w:r>
            <w:r w:rsidRPr="00373E81">
              <w:rPr>
                <w:rFonts w:asciiTheme="minorHAnsi" w:eastAsiaTheme="minorHAnsi" w:hAnsiTheme="minorHAnsi" w:cstheme="minorBidi"/>
                <w:color w:val="auto"/>
                <w:kern w:val="2"/>
                <w:sz w:val="22"/>
                <w:szCs w:val="22"/>
                <w:lang w:eastAsia="en-US"/>
                <w14:ligatures w14:val="standardContextual"/>
              </w:rPr>
              <w:tab/>
            </w:r>
            <w:r w:rsidRPr="00373E81">
              <w:rPr>
                <w:rFonts w:asciiTheme="minorHAnsi" w:eastAsiaTheme="minorHAnsi" w:hAnsiTheme="minorHAnsi" w:cstheme="minorBidi"/>
                <w:color w:val="auto"/>
                <w:kern w:val="2"/>
                <w:sz w:val="22"/>
                <w:szCs w:val="22"/>
                <w:lang w:eastAsia="en-US"/>
                <w14:ligatures w14:val="standardContextual"/>
              </w:rPr>
              <w:tab/>
            </w:r>
            <w:r w:rsidRPr="00373E81">
              <w:rPr>
                <w:rFonts w:asciiTheme="minorHAnsi" w:eastAsiaTheme="minorHAnsi" w:hAnsiTheme="minorHAnsi" w:cstheme="minorBidi"/>
                <w:color w:val="auto"/>
                <w:kern w:val="2"/>
                <w:sz w:val="22"/>
                <w:szCs w:val="22"/>
                <w:lang w:eastAsia="en-US"/>
                <w14:ligatures w14:val="standardContextual"/>
              </w:rPr>
              <w:tab/>
            </w:r>
            <w:r w:rsidRPr="00373E81">
              <w:rPr>
                <w:rFonts w:asciiTheme="minorHAnsi" w:eastAsiaTheme="minorHAnsi" w:hAnsiTheme="minorHAnsi" w:cstheme="minorBidi"/>
                <w:color w:val="auto"/>
                <w:kern w:val="2"/>
                <w:sz w:val="22"/>
                <w:szCs w:val="22"/>
                <w:lang w:eastAsia="en-US"/>
                <w14:ligatures w14:val="standardContextual"/>
              </w:rPr>
              <w:tab/>
            </w:r>
            <w:r w:rsidRPr="00373E81">
              <w:rPr>
                <w:rFonts w:asciiTheme="minorHAnsi" w:eastAsiaTheme="minorHAnsi" w:hAnsiTheme="minorHAnsi" w:cstheme="minorBidi"/>
                <w:color w:val="auto"/>
                <w:kern w:val="2"/>
                <w:sz w:val="22"/>
                <w:szCs w:val="22"/>
                <w:lang w:eastAsia="en-US"/>
                <w14:ligatures w14:val="standardContextual"/>
              </w:rPr>
              <w:tab/>
              <w:t>(549)</w:t>
            </w:r>
          </w:p>
        </w:tc>
      </w:tr>
    </w:tbl>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010F0E86" w14:textId="3317555B" w:rsidR="00373E81" w:rsidRDefault="00FC0334" w:rsidP="00373E81">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r w:rsidR="00B47D49">
              <w:rPr>
                <w:sz w:val="24"/>
                <w:szCs w:val="24"/>
              </w:rPr>
              <w:t>.</w:t>
            </w:r>
          </w:p>
          <w:p w14:paraId="57E90B2E" w14:textId="27EB1846" w:rsidR="00373E81" w:rsidRDefault="00373E81" w:rsidP="00373E81">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2ADF1EC3" w14:textId="225EBFA6" w:rsidR="00FC0334" w:rsidRDefault="00FC0334" w:rsidP="00FC0334">
            <w:pPr>
              <w:jc w:val="both"/>
              <w:rPr>
                <w:sz w:val="24"/>
                <w:szCs w:val="24"/>
              </w:rPr>
            </w:pPr>
          </w:p>
          <w:p w14:paraId="4CABE426" w14:textId="77777777" w:rsidR="00FC0334" w:rsidRDefault="00FC0334" w:rsidP="00FC0334">
            <w:pPr>
              <w:jc w:val="both"/>
              <w:rPr>
                <w:sz w:val="24"/>
                <w:szCs w:val="24"/>
              </w:rPr>
            </w:pPr>
          </w:p>
          <w:p w14:paraId="0F8A2EB0" w14:textId="77777777" w:rsidR="00373E81" w:rsidRPr="00373E81" w:rsidRDefault="00373E81" w:rsidP="00373E81">
            <w:pPr>
              <w:shd w:val="clear" w:color="auto" w:fill="FFFFFF"/>
              <w:overflowPunct/>
              <w:autoSpaceDE/>
              <w:autoSpaceDN/>
              <w:adjustRightInd/>
              <w:spacing w:line="360" w:lineRule="auto"/>
              <w:textAlignment w:val="auto"/>
              <w:rPr>
                <w:rFonts w:asciiTheme="minorHAnsi" w:hAnsiTheme="minorHAnsi" w:cstheme="minorHAnsi"/>
                <w:color w:val="auto"/>
                <w:sz w:val="22"/>
                <w:szCs w:val="22"/>
              </w:rPr>
            </w:pPr>
            <w:r w:rsidRPr="00373E81">
              <w:rPr>
                <w:rFonts w:asciiTheme="minorHAnsi" w:hAnsiTheme="minorHAnsi" w:cstheme="minorHAnsi"/>
                <w:color w:val="auto"/>
                <w:sz w:val="22"/>
                <w:szCs w:val="22"/>
              </w:rPr>
              <w:t>The notion of safeguarding adults and children in Wales emanates from human rights principles which include the right to life and the prohibition of torture. Legislation in recent years reflects such principles and considers them to be everybody’s business (Brayne and Carr, 2015; Human Rights Act, 1998; SSWBA, 2014). However, there are differences in how these two areas are approached by practitioners when resolving concerns.</w:t>
            </w:r>
          </w:p>
          <w:p w14:paraId="432DCB23" w14:textId="77777777" w:rsidR="00373E81" w:rsidRPr="00373E81" w:rsidRDefault="00373E81" w:rsidP="00373E81">
            <w:pPr>
              <w:shd w:val="clear" w:color="auto" w:fill="FFFFFF"/>
              <w:overflowPunct/>
              <w:autoSpaceDE/>
              <w:autoSpaceDN/>
              <w:adjustRightInd/>
              <w:spacing w:line="360" w:lineRule="auto"/>
              <w:textAlignment w:val="auto"/>
              <w:rPr>
                <w:rFonts w:asciiTheme="minorHAnsi" w:hAnsiTheme="minorHAnsi" w:cstheme="minorHAnsi"/>
                <w:color w:val="auto"/>
                <w:sz w:val="22"/>
                <w:szCs w:val="22"/>
              </w:rPr>
            </w:pPr>
          </w:p>
          <w:p w14:paraId="4ED6D634" w14:textId="77777777" w:rsidR="00373E81" w:rsidRPr="00373E81" w:rsidRDefault="00373E81" w:rsidP="00373E81">
            <w:pPr>
              <w:shd w:val="clear" w:color="auto" w:fill="FFFFFF"/>
              <w:overflowPunct/>
              <w:autoSpaceDE/>
              <w:autoSpaceDN/>
              <w:adjustRightInd/>
              <w:spacing w:line="360" w:lineRule="auto"/>
              <w:textAlignment w:val="auto"/>
              <w:rPr>
                <w:rFonts w:asciiTheme="minorHAnsi" w:hAnsiTheme="minorHAnsi" w:cstheme="minorHAnsi"/>
                <w:color w:val="auto"/>
                <w:sz w:val="22"/>
                <w:szCs w:val="22"/>
              </w:rPr>
            </w:pPr>
            <w:r w:rsidRPr="00373E81">
              <w:rPr>
                <w:rFonts w:asciiTheme="minorHAnsi" w:hAnsiTheme="minorHAnsi" w:cstheme="minorHAnsi"/>
                <w:color w:val="auto"/>
                <w:sz w:val="22"/>
                <w:szCs w:val="22"/>
              </w:rPr>
              <w:lastRenderedPageBreak/>
              <w:t>A duty exists to ensure all children are safeguarded while not all adults require such parameters. According to Faulkner (2012), when an adult is considered ‘vulnerable’ it is presupposed that protection is necessary, however, an adult has the right to self-determination (SSWBA, 2014). Of relevance here is the right to make unwise decisions and the right to a private/family life (Human Rights Act, 1998; Mental Capacity Act, 2005). Legal intervention can be pursued where the adult lacks capacity and a best interest decision is necessary (MCA, 2005).</w:t>
            </w:r>
          </w:p>
          <w:p w14:paraId="22E47696" w14:textId="77777777" w:rsidR="00373E81" w:rsidRPr="00373E81" w:rsidRDefault="00373E81" w:rsidP="00373E81">
            <w:pPr>
              <w:shd w:val="clear" w:color="auto" w:fill="FFFFFF"/>
              <w:overflowPunct/>
              <w:autoSpaceDE/>
              <w:autoSpaceDN/>
              <w:adjustRightInd/>
              <w:spacing w:line="360" w:lineRule="auto"/>
              <w:textAlignment w:val="auto"/>
              <w:rPr>
                <w:rFonts w:asciiTheme="minorHAnsi" w:hAnsiTheme="minorHAnsi" w:cstheme="minorHAnsi"/>
                <w:color w:val="auto"/>
                <w:sz w:val="22"/>
                <w:szCs w:val="22"/>
              </w:rPr>
            </w:pPr>
          </w:p>
          <w:p w14:paraId="31A62F56" w14:textId="77777777" w:rsidR="00373E81" w:rsidRPr="00373E81" w:rsidRDefault="00373E81" w:rsidP="00373E81">
            <w:pPr>
              <w:shd w:val="clear" w:color="auto" w:fill="FFFFFF"/>
              <w:overflowPunct/>
              <w:autoSpaceDE/>
              <w:autoSpaceDN/>
              <w:adjustRightInd/>
              <w:spacing w:line="360" w:lineRule="auto"/>
              <w:textAlignment w:val="auto"/>
              <w:rPr>
                <w:rFonts w:asciiTheme="minorHAnsi" w:hAnsiTheme="minorHAnsi" w:cstheme="minorHAnsi"/>
                <w:color w:val="auto"/>
                <w:sz w:val="22"/>
                <w:szCs w:val="22"/>
              </w:rPr>
            </w:pPr>
            <w:r w:rsidRPr="00373E81">
              <w:rPr>
                <w:rFonts w:asciiTheme="minorHAnsi" w:hAnsiTheme="minorHAnsi" w:cstheme="minorHAnsi"/>
                <w:color w:val="auto"/>
                <w:sz w:val="22"/>
                <w:szCs w:val="22"/>
              </w:rPr>
              <w:t>Guidance on determining a child’s capacity to consent evolved from a court case in 1982 (involving campaigner Victoria Gillick) related to having contraceptive advice/treatment. Although children may be considered mature enough to decide (Gillick competent), actions taken are ultimately guided by best interests despite the child’s preferences. For example, if the refusal of medical treatment could potentially cause a permanent injury or death, the child’s decision can be nullified by the Court of Protection (NHS, 2022; Safeguarding Hub, 2023).</w:t>
            </w:r>
          </w:p>
          <w:p w14:paraId="4F72BDB9" w14:textId="77777777" w:rsidR="00373E81" w:rsidRPr="00373E81" w:rsidRDefault="00373E81" w:rsidP="00373E81">
            <w:pPr>
              <w:shd w:val="clear" w:color="auto" w:fill="FFFFFF"/>
              <w:overflowPunct/>
              <w:autoSpaceDE/>
              <w:autoSpaceDN/>
              <w:adjustRightInd/>
              <w:spacing w:line="360" w:lineRule="auto"/>
              <w:textAlignment w:val="auto"/>
              <w:rPr>
                <w:rFonts w:asciiTheme="minorHAnsi" w:hAnsiTheme="minorHAnsi" w:cstheme="minorHAnsi"/>
                <w:color w:val="auto"/>
                <w:sz w:val="22"/>
                <w:szCs w:val="22"/>
              </w:rPr>
            </w:pPr>
          </w:p>
          <w:p w14:paraId="7FE546FB" w14:textId="77777777" w:rsidR="00373E81" w:rsidRPr="00373E81" w:rsidRDefault="00373E81" w:rsidP="00373E81">
            <w:pPr>
              <w:shd w:val="clear" w:color="auto" w:fill="FFFFFF"/>
              <w:overflowPunct/>
              <w:autoSpaceDE/>
              <w:autoSpaceDN/>
              <w:adjustRightInd/>
              <w:spacing w:after="300" w:line="360" w:lineRule="auto"/>
              <w:textAlignment w:val="auto"/>
              <w:rPr>
                <w:rFonts w:asciiTheme="minorHAnsi" w:hAnsiTheme="minorHAnsi" w:cstheme="minorHAnsi"/>
                <w:color w:val="303030"/>
                <w:sz w:val="22"/>
                <w:szCs w:val="22"/>
              </w:rPr>
            </w:pPr>
            <w:r w:rsidRPr="00373E81">
              <w:rPr>
                <w:rFonts w:asciiTheme="minorHAnsi" w:hAnsiTheme="minorHAnsi" w:cstheme="minorHAnsi"/>
                <w:color w:val="303030"/>
                <w:sz w:val="22"/>
                <w:szCs w:val="22"/>
              </w:rPr>
              <w:t xml:space="preserve">Safeguarding may also involve depriving an individual of their liberty (for care/treatment) contrary to Article 5 of the Human Rights Act 1998. For an adult, procedures (Deprivation of Liberty Safeguards) are embedded in the MCA 2005 (amended by Mental Health Act 2007). This is not the case for children. </w:t>
            </w:r>
            <w:r w:rsidRPr="00373E81">
              <w:rPr>
                <w:rFonts w:asciiTheme="minorHAnsi" w:hAnsiTheme="minorHAnsi" w:cstheme="minorHAnsi"/>
                <w:sz w:val="22"/>
                <w:szCs w:val="22"/>
              </w:rPr>
              <w:t>D</w:t>
            </w:r>
            <w:r w:rsidRPr="00373E81">
              <w:rPr>
                <w:rFonts w:asciiTheme="minorHAnsi" w:hAnsiTheme="minorHAnsi" w:cstheme="minorHAnsi"/>
                <w:color w:val="303030"/>
                <w:sz w:val="22"/>
                <w:szCs w:val="22"/>
              </w:rPr>
              <w:t xml:space="preserve">epriving a child of liberty requires a </w:t>
            </w:r>
            <w:r w:rsidRPr="00373E81">
              <w:rPr>
                <w:rFonts w:asciiTheme="minorHAnsi" w:hAnsiTheme="minorHAnsi" w:cstheme="minorHAnsi"/>
                <w:sz w:val="22"/>
                <w:szCs w:val="22"/>
              </w:rPr>
              <w:t>local authority (with parental responsibility) to apply to the courts for a Deprivation of Liberty Order which can be applicable for secure and unregulated placements (Care Inspectorate Wales, 2023).</w:t>
            </w:r>
          </w:p>
          <w:p w14:paraId="22950166" w14:textId="4B3314D1" w:rsidR="00373E81" w:rsidRPr="00373E81" w:rsidRDefault="00373E81" w:rsidP="00373E81">
            <w:pPr>
              <w:shd w:val="clear" w:color="auto" w:fill="FFFFFF"/>
              <w:overflowPunct/>
              <w:autoSpaceDE/>
              <w:autoSpaceDN/>
              <w:adjustRightInd/>
              <w:spacing w:line="360" w:lineRule="auto"/>
              <w:textAlignment w:val="auto"/>
              <w:rPr>
                <w:rFonts w:asciiTheme="minorHAnsi" w:hAnsiTheme="minorHAnsi" w:cstheme="minorHAnsi"/>
                <w:sz w:val="22"/>
                <w:szCs w:val="22"/>
              </w:rPr>
            </w:pPr>
            <w:r>
              <w:rPr>
                <w:rFonts w:asciiTheme="minorHAnsi" w:hAnsiTheme="minorHAnsi" w:cstheme="minorHAnsi"/>
                <w:sz w:val="22"/>
                <w:szCs w:val="22"/>
              </w:rPr>
              <w:t>T</w:t>
            </w:r>
            <w:r w:rsidRPr="00373E81">
              <w:rPr>
                <w:rFonts w:asciiTheme="minorHAnsi" w:hAnsiTheme="minorHAnsi" w:cstheme="minorHAnsi"/>
                <w:sz w:val="22"/>
                <w:szCs w:val="22"/>
              </w:rPr>
              <w:t>here appears to be more protection for children but more legislation for adults. The concept of self-determination is the most distinguishing feature of safeguarding adults and it also presents more uncertainties (Saunders, 2022). This is notable in cases of self-neglect where the balance between autonomy and protecting a person’s wellbeing can prove challenging, particularly where people are unwilling to accept support (Dong, 2017; Touza, 2019). It is interesting to note that despite differences in approaches to adult and children safeguarding, similar systemic concerns exist. Practice reviews in both areas frequently highlight that improvements are necessary in multi-agency working and information sharing (Cardiff &amp; Vale of Glamorgan Safeguarding Board, 2019; NIHR, 2021; North Wales Safeguarding Board, 2021; Working Together to Safeguard People, 2019).</w:t>
            </w:r>
          </w:p>
          <w:p w14:paraId="3B4FED58" w14:textId="77777777" w:rsidR="00FC0334" w:rsidRDefault="00373E81" w:rsidP="00061939">
            <w:pPr>
              <w:shd w:val="clear" w:color="auto" w:fill="FFFFFF"/>
              <w:overflowPunct/>
              <w:autoSpaceDE/>
              <w:autoSpaceDN/>
              <w:adjustRightInd/>
              <w:ind w:left="7200" w:firstLine="720"/>
              <w:textAlignment w:val="auto"/>
              <w:rPr>
                <w:rFonts w:asciiTheme="minorHAnsi" w:hAnsiTheme="minorHAnsi" w:cstheme="minorHAnsi"/>
                <w:color w:val="auto"/>
                <w:sz w:val="22"/>
                <w:szCs w:val="22"/>
              </w:rPr>
            </w:pPr>
            <w:r w:rsidRPr="00373E81">
              <w:rPr>
                <w:rFonts w:asciiTheme="minorHAnsi" w:hAnsiTheme="minorHAnsi" w:cstheme="minorHAnsi"/>
                <w:color w:val="auto"/>
                <w:sz w:val="22"/>
                <w:szCs w:val="22"/>
              </w:rPr>
              <w:t>(4</w:t>
            </w:r>
            <w:r>
              <w:rPr>
                <w:rFonts w:asciiTheme="minorHAnsi" w:hAnsiTheme="minorHAnsi" w:cstheme="minorHAnsi"/>
                <w:color w:val="auto"/>
                <w:sz w:val="22"/>
                <w:szCs w:val="22"/>
              </w:rPr>
              <w:t>38</w:t>
            </w:r>
            <w:r w:rsidRPr="00373E81">
              <w:rPr>
                <w:rFonts w:asciiTheme="minorHAnsi" w:hAnsiTheme="minorHAnsi" w:cstheme="minorHAnsi"/>
                <w:color w:val="auto"/>
                <w:sz w:val="22"/>
                <w:szCs w:val="22"/>
              </w:rPr>
              <w:t>)</w:t>
            </w:r>
          </w:p>
          <w:p w14:paraId="08760B3D" w14:textId="483E976F" w:rsidR="00061939" w:rsidRPr="00061939" w:rsidRDefault="00061939" w:rsidP="00061939">
            <w:pPr>
              <w:shd w:val="clear" w:color="auto" w:fill="FFFFFF"/>
              <w:overflowPunct/>
              <w:autoSpaceDE/>
              <w:autoSpaceDN/>
              <w:adjustRightInd/>
              <w:ind w:left="7200" w:firstLine="720"/>
              <w:textAlignment w:val="auto"/>
              <w:rPr>
                <w:rFonts w:asciiTheme="minorHAnsi" w:hAnsiTheme="minorHAnsi" w:cstheme="minorHAnsi"/>
                <w:color w:val="auto"/>
                <w:sz w:val="22"/>
                <w:szCs w:val="22"/>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F4CB00" w14:textId="77777777" w:rsidR="00A76EF8" w:rsidRDefault="00A76EF8">
      <w:r>
        <w:separator/>
      </w:r>
    </w:p>
  </w:endnote>
  <w:endnote w:type="continuationSeparator" w:id="0">
    <w:p w14:paraId="3E65132A" w14:textId="77777777" w:rsidR="00A76EF8" w:rsidRDefault="00A76E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9BF51B" w14:textId="77777777" w:rsidR="00A76EF8" w:rsidRDefault="00A76EF8">
      <w:r>
        <w:separator/>
      </w:r>
    </w:p>
  </w:footnote>
  <w:footnote w:type="continuationSeparator" w:id="0">
    <w:p w14:paraId="76D103F7" w14:textId="77777777" w:rsidR="00A76EF8" w:rsidRDefault="00A76EF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7791DCE6" w:rsidR="00A5656A" w:rsidRDefault="00113E1B">
    <w:pPr>
      <w:pStyle w:val="Header"/>
    </w:pPr>
    <w:r>
      <w:tab/>
    </w:r>
    <w:r>
      <w:tab/>
      <w:t>Darren Croft 1604512</w:t>
    </w:r>
    <w:r w:rsidR="00A5656A">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1939"/>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3E1B"/>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1BAD"/>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3E81"/>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76EF8"/>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47D49"/>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4</Pages>
  <Words>1176</Words>
  <Characters>6709</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Darren Croft</cp:lastModifiedBy>
  <cp:revision>4</cp:revision>
  <cp:lastPrinted>2020-02-11T19:20:00Z</cp:lastPrinted>
  <dcterms:created xsi:type="dcterms:W3CDTF">2023-10-14T12:53:00Z</dcterms:created>
  <dcterms:modified xsi:type="dcterms:W3CDTF">2023-10-14T13:16:00Z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