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78F8" w:rsidRPr="008E47EA" w:rsidRDefault="008E47EA">
      <w:pPr>
        <w:spacing w:line="360" w:lineRule="auto"/>
        <w:rPr>
          <w:rFonts w:eastAsia="Times New Roman"/>
          <w:b/>
          <w:sz w:val="24"/>
          <w:szCs w:val="24"/>
        </w:rPr>
      </w:pPr>
      <w:r w:rsidRPr="008E47EA">
        <w:rPr>
          <w:rFonts w:eastAsia="Times New Roman"/>
          <w:b/>
          <w:noProof/>
          <w:sz w:val="24"/>
          <w:szCs w:val="24"/>
        </w:rPr>
        <w:drawing>
          <wp:inline distT="114300" distB="114300" distL="114300" distR="114300">
            <wp:extent cx="5734050" cy="8077200"/>
            <wp:effectExtent l="0" t="0" r="0" b="0"/>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6"/>
                    <a:srcRect/>
                    <a:stretch>
                      <a:fillRect/>
                    </a:stretch>
                  </pic:blipFill>
                  <pic:spPr>
                    <a:xfrm>
                      <a:off x="0" y="0"/>
                      <a:ext cx="5734050" cy="8077200"/>
                    </a:xfrm>
                    <a:prstGeom prst="rect">
                      <a:avLst/>
                    </a:prstGeom>
                    <a:ln/>
                  </pic:spPr>
                </pic:pic>
              </a:graphicData>
            </a:graphic>
          </wp:inline>
        </w:drawing>
      </w: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E47EA">
      <w:pPr>
        <w:spacing w:line="360" w:lineRule="auto"/>
        <w:rPr>
          <w:rFonts w:eastAsia="Times New Roman"/>
          <w:b/>
          <w:sz w:val="24"/>
          <w:szCs w:val="24"/>
        </w:rPr>
      </w:pPr>
      <w:r w:rsidRPr="008E47EA">
        <w:rPr>
          <w:rFonts w:eastAsia="Times New Roman"/>
          <w:b/>
          <w:sz w:val="24"/>
          <w:szCs w:val="24"/>
        </w:rPr>
        <w:t>Discuss the importance and effectiveness of developing Assessment for learning throughout the primary school, including critical analysis of personal implementation of ONE AfL strategy from Professional Teaching Experience.</w:t>
      </w: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jc w:val="center"/>
        <w:rPr>
          <w:rFonts w:eastAsia="Times New Roman"/>
          <w:b/>
          <w:sz w:val="24"/>
          <w:szCs w:val="24"/>
          <w:u w:val="single"/>
        </w:rPr>
      </w:pPr>
    </w:p>
    <w:tbl>
      <w:tblPr>
        <w:tblStyle w:val="a"/>
        <w:tblW w:w="6330" w:type="dxa"/>
        <w:jc w:val="center"/>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Look w:val="0600" w:firstRow="0" w:lastRow="0" w:firstColumn="0" w:lastColumn="0" w:noHBand="1" w:noVBand="1"/>
      </w:tblPr>
      <w:tblGrid>
        <w:gridCol w:w="3105"/>
        <w:gridCol w:w="3225"/>
      </w:tblGrid>
      <w:tr w:rsidR="008978F8" w:rsidRPr="008E47EA">
        <w:trPr>
          <w:jc w:val="center"/>
        </w:trPr>
        <w:tc>
          <w:tcPr>
            <w:tcW w:w="310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b/>
                <w:sz w:val="24"/>
                <w:szCs w:val="24"/>
              </w:rPr>
            </w:pPr>
            <w:r w:rsidRPr="008E47EA">
              <w:rPr>
                <w:rFonts w:eastAsia="Times New Roman"/>
                <w:b/>
                <w:sz w:val="24"/>
                <w:szCs w:val="24"/>
              </w:rPr>
              <w:t>Page number</w:t>
            </w:r>
          </w:p>
        </w:tc>
        <w:tc>
          <w:tcPr>
            <w:tcW w:w="322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b/>
                <w:sz w:val="24"/>
                <w:szCs w:val="24"/>
              </w:rPr>
            </w:pPr>
            <w:r w:rsidRPr="008E47EA">
              <w:rPr>
                <w:rFonts w:eastAsia="Times New Roman"/>
                <w:b/>
                <w:sz w:val="24"/>
                <w:szCs w:val="24"/>
              </w:rPr>
              <w:t>Contents</w:t>
            </w:r>
          </w:p>
        </w:tc>
      </w:tr>
      <w:tr w:rsidR="008978F8" w:rsidRPr="008E47EA">
        <w:trPr>
          <w:jc w:val="center"/>
        </w:trPr>
        <w:tc>
          <w:tcPr>
            <w:tcW w:w="310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1</w:t>
            </w:r>
          </w:p>
        </w:tc>
        <w:tc>
          <w:tcPr>
            <w:tcW w:w="322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Assessment Specification</w:t>
            </w:r>
          </w:p>
        </w:tc>
      </w:tr>
      <w:tr w:rsidR="008978F8" w:rsidRPr="008E47EA">
        <w:trPr>
          <w:jc w:val="center"/>
        </w:trPr>
        <w:tc>
          <w:tcPr>
            <w:tcW w:w="3105" w:type="dxa"/>
            <w:shd w:val="clear" w:color="auto" w:fill="auto"/>
            <w:tcMar>
              <w:top w:w="100" w:type="dxa"/>
              <w:left w:w="100" w:type="dxa"/>
              <w:bottom w:w="100" w:type="dxa"/>
              <w:right w:w="100" w:type="dxa"/>
            </w:tcMar>
          </w:tcPr>
          <w:p w:rsidR="008978F8" w:rsidRPr="008E47EA" w:rsidRDefault="008E47EA">
            <w:pPr>
              <w:widowControl w:val="0"/>
              <w:spacing w:line="360" w:lineRule="auto"/>
              <w:rPr>
                <w:rFonts w:eastAsia="Times New Roman"/>
                <w:sz w:val="24"/>
                <w:szCs w:val="24"/>
              </w:rPr>
            </w:pPr>
            <w:r w:rsidRPr="008E47EA">
              <w:rPr>
                <w:rFonts w:eastAsia="Times New Roman"/>
                <w:sz w:val="24"/>
                <w:szCs w:val="24"/>
              </w:rPr>
              <w:t xml:space="preserve">2 </w:t>
            </w:r>
          </w:p>
        </w:tc>
        <w:tc>
          <w:tcPr>
            <w:tcW w:w="3225" w:type="dxa"/>
            <w:shd w:val="clear" w:color="auto" w:fill="auto"/>
            <w:tcMar>
              <w:top w:w="100" w:type="dxa"/>
              <w:left w:w="100" w:type="dxa"/>
              <w:bottom w:w="100" w:type="dxa"/>
              <w:right w:w="100" w:type="dxa"/>
            </w:tcMar>
          </w:tcPr>
          <w:p w:rsidR="008978F8" w:rsidRPr="008E47EA" w:rsidRDefault="008E47EA">
            <w:pPr>
              <w:widowControl w:val="0"/>
              <w:spacing w:line="360" w:lineRule="auto"/>
              <w:rPr>
                <w:rFonts w:eastAsia="Times New Roman"/>
                <w:sz w:val="24"/>
                <w:szCs w:val="24"/>
              </w:rPr>
            </w:pPr>
            <w:r w:rsidRPr="008E47EA">
              <w:rPr>
                <w:rFonts w:eastAsia="Times New Roman"/>
                <w:sz w:val="24"/>
                <w:szCs w:val="24"/>
              </w:rPr>
              <w:t xml:space="preserve">Title and contents </w:t>
            </w:r>
          </w:p>
        </w:tc>
      </w:tr>
      <w:tr w:rsidR="008978F8" w:rsidRPr="008E47EA">
        <w:trPr>
          <w:jc w:val="center"/>
        </w:trPr>
        <w:tc>
          <w:tcPr>
            <w:tcW w:w="3105" w:type="dxa"/>
            <w:shd w:val="clear" w:color="auto" w:fill="auto"/>
            <w:tcMar>
              <w:top w:w="100" w:type="dxa"/>
              <w:left w:w="100" w:type="dxa"/>
              <w:bottom w:w="100" w:type="dxa"/>
              <w:right w:w="100" w:type="dxa"/>
            </w:tcMar>
          </w:tcPr>
          <w:p w:rsidR="008978F8" w:rsidRPr="008E47EA" w:rsidRDefault="008E47EA">
            <w:pPr>
              <w:widowControl w:val="0"/>
              <w:spacing w:line="360" w:lineRule="auto"/>
              <w:rPr>
                <w:rFonts w:eastAsia="Times New Roman"/>
                <w:sz w:val="24"/>
                <w:szCs w:val="24"/>
              </w:rPr>
            </w:pPr>
            <w:r w:rsidRPr="008E47EA">
              <w:rPr>
                <w:rFonts w:eastAsia="Times New Roman"/>
                <w:sz w:val="24"/>
                <w:szCs w:val="24"/>
              </w:rPr>
              <w:t>3-8</w:t>
            </w:r>
          </w:p>
        </w:tc>
        <w:tc>
          <w:tcPr>
            <w:tcW w:w="3225" w:type="dxa"/>
            <w:shd w:val="clear" w:color="auto" w:fill="auto"/>
            <w:tcMar>
              <w:top w:w="100" w:type="dxa"/>
              <w:left w:w="100" w:type="dxa"/>
              <w:bottom w:w="100" w:type="dxa"/>
              <w:right w:w="100" w:type="dxa"/>
            </w:tcMar>
          </w:tcPr>
          <w:p w:rsidR="008978F8" w:rsidRPr="008E47EA" w:rsidRDefault="008E47EA">
            <w:pPr>
              <w:widowControl w:val="0"/>
              <w:spacing w:line="360" w:lineRule="auto"/>
              <w:rPr>
                <w:rFonts w:eastAsia="Times New Roman"/>
                <w:sz w:val="24"/>
                <w:szCs w:val="24"/>
              </w:rPr>
            </w:pPr>
            <w:r w:rsidRPr="008E47EA">
              <w:rPr>
                <w:rFonts w:eastAsia="Times New Roman"/>
                <w:sz w:val="24"/>
                <w:szCs w:val="24"/>
              </w:rPr>
              <w:t>Assignment</w:t>
            </w:r>
          </w:p>
        </w:tc>
      </w:tr>
      <w:tr w:rsidR="008978F8" w:rsidRPr="008E47EA">
        <w:trPr>
          <w:jc w:val="center"/>
        </w:trPr>
        <w:tc>
          <w:tcPr>
            <w:tcW w:w="310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9-11</w:t>
            </w:r>
          </w:p>
        </w:tc>
        <w:tc>
          <w:tcPr>
            <w:tcW w:w="322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Bibliography</w:t>
            </w:r>
          </w:p>
        </w:tc>
      </w:tr>
      <w:tr w:rsidR="008978F8" w:rsidRPr="008E47EA">
        <w:trPr>
          <w:jc w:val="center"/>
        </w:trPr>
        <w:tc>
          <w:tcPr>
            <w:tcW w:w="310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12</w:t>
            </w:r>
          </w:p>
        </w:tc>
        <w:tc>
          <w:tcPr>
            <w:tcW w:w="322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Appendix 1</w:t>
            </w:r>
          </w:p>
        </w:tc>
      </w:tr>
      <w:tr w:rsidR="008978F8" w:rsidRPr="008E47EA">
        <w:trPr>
          <w:jc w:val="center"/>
        </w:trPr>
        <w:tc>
          <w:tcPr>
            <w:tcW w:w="310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13</w:t>
            </w:r>
          </w:p>
        </w:tc>
        <w:tc>
          <w:tcPr>
            <w:tcW w:w="322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Appendix 2</w:t>
            </w:r>
          </w:p>
        </w:tc>
      </w:tr>
      <w:tr w:rsidR="008978F8" w:rsidRPr="008E47EA">
        <w:trPr>
          <w:jc w:val="center"/>
        </w:trPr>
        <w:tc>
          <w:tcPr>
            <w:tcW w:w="310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14</w:t>
            </w:r>
          </w:p>
        </w:tc>
        <w:tc>
          <w:tcPr>
            <w:tcW w:w="3225" w:type="dxa"/>
            <w:shd w:val="clear" w:color="auto" w:fill="auto"/>
            <w:tcMar>
              <w:top w:w="100" w:type="dxa"/>
              <w:left w:w="100" w:type="dxa"/>
              <w:bottom w:w="100" w:type="dxa"/>
              <w:right w:w="100" w:type="dxa"/>
            </w:tcMar>
          </w:tcPr>
          <w:p w:rsidR="008978F8" w:rsidRPr="008E47EA" w:rsidRDefault="008E47EA">
            <w:pPr>
              <w:widowControl w:val="0"/>
              <w:pBdr>
                <w:top w:val="nil"/>
                <w:left w:val="nil"/>
                <w:bottom w:val="nil"/>
                <w:right w:val="nil"/>
                <w:between w:val="nil"/>
              </w:pBdr>
              <w:spacing w:line="360" w:lineRule="auto"/>
              <w:rPr>
                <w:rFonts w:eastAsia="Times New Roman"/>
                <w:sz w:val="24"/>
                <w:szCs w:val="24"/>
              </w:rPr>
            </w:pPr>
            <w:r w:rsidRPr="008E47EA">
              <w:rPr>
                <w:rFonts w:eastAsia="Times New Roman"/>
                <w:sz w:val="24"/>
                <w:szCs w:val="24"/>
              </w:rPr>
              <w:t>Appendix 3</w:t>
            </w:r>
          </w:p>
        </w:tc>
      </w:tr>
    </w:tbl>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978F8" w:rsidRPr="008E47EA" w:rsidRDefault="008978F8">
      <w:pPr>
        <w:spacing w:line="360" w:lineRule="auto"/>
        <w:rPr>
          <w:rFonts w:eastAsia="Times New Roman"/>
          <w:b/>
          <w:sz w:val="24"/>
          <w:szCs w:val="24"/>
        </w:rPr>
      </w:pPr>
    </w:p>
    <w:p w:rsidR="008E47EA" w:rsidRPr="008E47EA" w:rsidRDefault="008E47EA">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lastRenderedPageBreak/>
        <w:t>Assessment for learning (AfL) is a process of continuous formative assessment that aims to inform both the teacher and student on the student’s learning whilst it is in action (Wiliam, 2011). This assessment should be used ‘to identify where the learners are’ on their learning continuum now, ‘where they need to go and how best to get there’ and this data should be shared by the teacher with the student (ARG, 2002, p.2; WAG, 2010a). Through the use of AfL strategies, both the teacher and learner will be more informed of the learner’s progress and will be able to effectively plan a route to the desired final outcome by ‘adapting teaching and materials to meet the needs of individuals’ (Sadler, 2010; Black and Wiliam, 1998; Donaldson, 2015, p.68). Hattie supported and extended this approach noting that effective AfL encourages children to become more active in their learning and become their own teachers by responding ‘positively to feedback to set themselves challenging’ learning goals (STEM, 2018; Bates; 2016, p. 157).</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 xml:space="preserve">Secondly, Black and Wiliam (1998) and ESTYN (2017a) note that the use of effective AfL in the primary school raises the attainment of all children and in particular highlight that low-attainers see the most improvement helping to address the closure of the attainment gap. Furthermore, research has shown the effective use of AfL in education can produce a much greater rate of learning or effect size, when measured in months of learning, when compared to a control group of children not exposed to AfL (Black and Wiliam, 1998; Black et al. 2007). Moreover, AfL can also help to develop a growth mindset within children as they will be praised for effort and given constructive feedback to develop their ability to analyse failure to improve for next time (Dweck, 2006, 2010). </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 xml:space="preserve">During Personal Teaching Experience in a Year three class, the writer personally implemented an AfL strategy. ClassDojo was already in use within the classroom to support behaviour management and delayed point accumulation for reading and homework. The writer observed that children were very engaged with the current strategy and it was used by the class teacher with good effect. However, through personal research, the writer felt the strategy was not being used to its full potential and decided to pilot the further development of the strategy through the use of the toolkit to support AfL in the classroom (Spade, 2017; ClassDojo, 2018). </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lastRenderedPageBreak/>
        <w:t xml:space="preserve">One element of the ClassDojo toolkit is a random tool. This function allows the user to perform a visual shuffle of children’s names on a screen and selects a child at random (Appendix 1). During observation week, children were selected by the class teacher during questioning by putting their hands up. In support, the writer observed the children who raised their hand were generally engaged and listened well and thus ‘achieve more highly’ (BBC, 2010, p.1). Moreover, this method minimises pupil selection anxiety as students only generally put their hand up ‘when they are confident they know the correct answer’ (DWC, 2018, p.1).  However, this approach is unlikely to give the teacher an accurate representation of the whole class’s understanding and gave limited AfL  (Clarke, 2005). The writer observed the same children had continually had their hands up and several children rarely participated and some were disengaged from the activity. The use of the random tool was piloted to help support a whole class questioning approach that would include and engage all learners. </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The ClassDojo toolkit in its entirety helps develop all four key aspects of AfL such as the sharing criteria with learners aspect through the use of the directions tool to display success criteria. Moreover, through the use of the group work and think, pair, share tools there will be many opportunities to develop the aspect of self and peer assessment skills (Appendix 2)(ClassDojo, 2018). The ClassDojo random tool strategy would fit within the other two aspects of AfL; effective questioning/ talk and quality feedback (Clarke, 2005; Gardener, 2012). The random tool would help direct high-quality questioning to all learners that ‘probe pupils’ understanding and move their learning forward’ whilst the student will as a result receive quality self, peer or teacher feedback that they can apply to improve their own learning (ESTYNb, 2017, p.78).</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 xml:space="preserve">The strategy was implemented during whole-class times tables revision and questioning during various lesson introductions and plenaries. On one hand, during the times tables revision, questions were chosen by the trainee to suit the ability level once the child was selected. By scaffolding these questions to the individual learners ability and providing adequate thinking time children were able to access the questioning, were challenged and remained engaged whilst encouraging quick recall skills (WAG, 2010b; Bates, 2016). On the other hand, during lesson </w:t>
      </w:r>
      <w:r w:rsidRPr="008E47EA">
        <w:rPr>
          <w:rFonts w:eastAsia="Times New Roman"/>
          <w:sz w:val="24"/>
          <w:szCs w:val="24"/>
        </w:rPr>
        <w:lastRenderedPageBreak/>
        <w:t>questioning, open questions were asked prior to child selection and after ensuring children understood the cognitive demand to access the question, they were given time to think individually, in pairs or small groups (Grigg, 2015). This method ensured all children thought and sometimes discussed the answer not just the selected child whilst supporting age appropriate oracy development and thinking skills within the curriculum (WAG, 2016). The children received regular personal constructive verbal feedback to their responses that promoted sustained discussion and student reflection, essential in the promotion of active learning.</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Initially, the strategy was met with some resistance from several children. The children who normally dominated questioning were not always able to answer and children who rarely answered were called upon. However, research has shown that this method of questioning over time highers participation rates of voluntary questioning and increases the comfort level for all learners (</w:t>
      </w:r>
      <w:r w:rsidRPr="008E47EA">
        <w:rPr>
          <w:rFonts w:eastAsia="Times New Roman"/>
          <w:sz w:val="24"/>
          <w:szCs w:val="24"/>
          <w:highlight w:val="white"/>
        </w:rPr>
        <w:t>Dallimore, Hertenstein and Platt, 2013)</w:t>
      </w:r>
      <w:r w:rsidRPr="008E47EA">
        <w:rPr>
          <w:rFonts w:eastAsia="Times New Roman"/>
          <w:sz w:val="24"/>
          <w:szCs w:val="24"/>
        </w:rPr>
        <w:t xml:space="preserve">. Watson’s behaviourist theory was introduced in the classroom (Myhill, Jones and Hopper, 2006). It was discussed that children would have the option to pass a question or ask a friend; however greater emphasis was placed on attempting to answer and this was rewarded through regular verbal praise and often Dojo points (Bates, 2016). Dweck (2006) and Maslow theory would support this approach as it ensured learners felt comfortable in class and regular praise helps to develop a growth mindset which is at the centre of effective AfL (Bates, 2016). </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 xml:space="preserve">In support of this strategy, the children were engaged and it was inclusive and ensured equality to questioning and feedback within the class. The high attainers were no longer dominating class discussion and the low attainers that previously were disengaged were more focused and actively participating. Furthermore, Piaget theory supports encouraging children to explain their reasoning for their answer as it develops the learning of other students through peer explanation whilst providing further AfL feedback to the trainee (Bates, 2017). Whilst Brookfield’s theory highlights that responding to feedback from students encourages the teacher to look through the learner’s lens to ensure learners are interpreting our teaching as intended (Bates, 2016). </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lastRenderedPageBreak/>
        <w:t xml:space="preserve">To contrast, on reflection, disadvantages of the strategy are only one child was answering at any time which may lead to disengagement and gives limited feedback to the teacher (Appendix 3). To counteract this, I introduced whole class thinking or discussion time before selection as it enabled all children to participate and allowed for circulation of the class by the trainee to listen to further responses and provide constructive feedback.  The further introduction of a thumbs up indicator for the non-involved students if they knew the answer during times table practise helped keep children on task and increased participation. However, it was difficult to get accurate teacher feedback if their answers were correct. Moreover, J.B. Watson (2017, p.3) notes the importance of both </w:t>
      </w:r>
      <w:r w:rsidR="003B0BAF">
        <w:rPr>
          <w:rFonts w:eastAsia="Times New Roman"/>
          <w:sz w:val="24"/>
          <w:szCs w:val="24"/>
        </w:rPr>
        <w:t>‘</w:t>
      </w:r>
      <w:r w:rsidRPr="008E47EA">
        <w:rPr>
          <w:rFonts w:eastAsia="Times New Roman"/>
          <w:sz w:val="24"/>
          <w:szCs w:val="24"/>
        </w:rPr>
        <w:t>frequency and recency’ law in relation to memory and recall. When using feedback to plan next steps, it is important as a teacher to take into consideration the process which children</w:t>
      </w:r>
      <w:bookmarkStart w:id="0" w:name="_GoBack"/>
      <w:bookmarkEnd w:id="0"/>
      <w:r w:rsidRPr="008E47EA">
        <w:rPr>
          <w:rFonts w:eastAsia="Times New Roman"/>
          <w:sz w:val="24"/>
          <w:szCs w:val="24"/>
        </w:rPr>
        <w:t xml:space="preserve"> remember. Constructivist theory suggests children require time to process, personally reconstruct and use learning to succeed with committal to the long-term memory (Bates, 2016; Nuthall, 2007). Teachers however can support the memory process through revisiting learning objectives and supporting memory through regular recall during sessions (Grigg, 2015).</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 xml:space="preserve">To evaluate, the strategy was successful as there was a substantial increase in pupil participation particularly with the low attainers. The high attainers did not dominate the questioning as before, giving more equality to the teaching and allowing whole class AfL. Children were also more engaged with the questioning as they were aware they had an equal chance of being chosen, thus encouraging equality in the classroom and they were eager to put their thumbs up to show they thought they knew the answer. The random tool allowed the teacher to pitch the level of questioning to suit the chosen children, if needed, which notably helped increase children’s confidence when answering questions. However, this strategy only selects one child to answer at a time and other children are not participating fully. Whilst this was counteracted by using thumbs up, the teacher was limited by not knowing if their answer was correct. The writer recommends the strategy could be improved upon further by trialing the use of individual whiteboards for the non-selected children to increase participation and improve upon teacher feedback. Donaldson (2015), WAG (2010b) and Wiliam (2011) agree the use of a variety of AfL strategies support effective classroom AfL. This strategy could be alternated with other questioning </w:t>
      </w:r>
      <w:r w:rsidRPr="008E47EA">
        <w:rPr>
          <w:rFonts w:eastAsia="Times New Roman"/>
          <w:sz w:val="24"/>
          <w:szCs w:val="24"/>
        </w:rPr>
        <w:lastRenderedPageBreak/>
        <w:t>strategies such as random teacher selection, child nomination or hands up to provide a variety of techniques within the classroom and to provide varying feedback.</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To be most successful, this AfL strategy could be developed with continuity throughout the school to embed AfL throughout the year groups. Gaer Primary School have reported that by creating a consistent AfL approach throughout the school, standards for learners have raised as pupils are ‘actively engaged in their learning,’ whilst developing skills throughout the school that are ‘long-lasting’ in a variety of settings (ESTYN, 2018, pp.2-3). The implementation of the strategy would be relatively straightforward as ClassDojo is free to use and already used by many of the teachers within the school. However, few are aware of the toolkit function and it is not currently in use. To enable this strategy to be implemented  successfully throughout the school, it is vital that all staff have full awareness and training in its use (Clarke, 2005; Gardner, 2012). The teachers will have to perceive a clear benefit of the strategy as it will take time to implement and the demands on teachers time doing marking and paperwork etc. are already high (Grigg, 2015). During an INSET day or staff meeting, the trainee and some class children could present the strategy detailing its impact in the classroom. Furthermore, the school’s IT coordinator could offer technical training to the staff body so all staff would be able to access the program. Through full training and awareness, it is anticipated teacher implementation will be higher and resistance will be minimised.</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 xml:space="preserve">Furthermore, a benefit of the toolkit is that it is ideal for use for all primary school children. The random tool would support the children to achieve recognition of their own name in nursery (WAG, 2015). Its use will promote turn-taking, thinking skills and AfL at the start of their formal education that can be developed throughout their education. In upper key stage two, some classes may find ClassDojo too immature and teachers may have to use their professional judgement on whether to substitute the strategy for a more mature approach, such as an internet name picker. </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 xml:space="preserve">Moreover, it would be admiss not to mention, some teachers will use other practical resources, such as lollipop sticks, to the same successful outcome. The writer recommends that teachers should be allowed to make an informed decision using </w:t>
      </w:r>
      <w:r w:rsidRPr="008E47EA">
        <w:rPr>
          <w:rFonts w:eastAsia="Times New Roman"/>
          <w:sz w:val="24"/>
          <w:szCs w:val="24"/>
        </w:rPr>
        <w:lastRenderedPageBreak/>
        <w:t>their pedagogical knowledge to select a method that will support AfL in their class most effectively.</w:t>
      </w:r>
    </w:p>
    <w:p w:rsidR="008978F8" w:rsidRPr="008E47EA" w:rsidRDefault="008978F8">
      <w:pPr>
        <w:spacing w:line="360" w:lineRule="auto"/>
        <w:rPr>
          <w:rFonts w:eastAsia="Times New Roman"/>
          <w:sz w:val="24"/>
          <w:szCs w:val="24"/>
        </w:rPr>
      </w:pPr>
    </w:p>
    <w:p w:rsidR="008978F8" w:rsidRPr="008E47EA" w:rsidRDefault="008E47EA">
      <w:pPr>
        <w:spacing w:line="360" w:lineRule="auto"/>
        <w:rPr>
          <w:rFonts w:eastAsia="Times New Roman"/>
          <w:sz w:val="24"/>
          <w:szCs w:val="24"/>
        </w:rPr>
      </w:pPr>
      <w:r w:rsidRPr="008E47EA">
        <w:rPr>
          <w:rFonts w:eastAsia="Times New Roman"/>
          <w:sz w:val="24"/>
          <w:szCs w:val="24"/>
        </w:rPr>
        <w:t>To conclude, as trainee teachers it is vital we view the AfL process as a natural and essential continuous cycle that informs our future planning to help improve learning throughout our careers (WAG, 2009). An effective AfL approach is ‘as relevant to good teaching and learning’ as it is to assessment and supports all areas of a wider primary school curriculum as the strategies can be adapted for use within all areas of learning (Donaldson, 2015, p.67). By ensuring learners ‘know and understand the principles of AfL the quality of their learning will improve’, attainmentment will be higher and children’s learning will be more informed (LSDA, 2005, p.4).  Furthermore, children will be able to apply AfL principles to their benefit throughout their lives and it will support the achievement of many characteristics of the four core purposes within the new curriculum in Wales (Donaldson, 2015).</w:t>
      </w:r>
    </w:p>
    <w:p w:rsidR="008978F8" w:rsidRPr="008E47EA" w:rsidRDefault="008978F8">
      <w:pPr>
        <w:spacing w:line="360" w:lineRule="auto"/>
        <w:rPr>
          <w:rFonts w:eastAsia="Times New Roman"/>
          <w:b/>
          <w:sz w:val="24"/>
          <w:szCs w:val="24"/>
          <w:highlight w:val="white"/>
          <w:u w:val="single"/>
        </w:rPr>
      </w:pPr>
    </w:p>
    <w:p w:rsidR="008978F8" w:rsidRPr="008E47EA" w:rsidRDefault="008978F8">
      <w:pPr>
        <w:spacing w:line="360" w:lineRule="auto"/>
        <w:rPr>
          <w:rFonts w:eastAsia="Times New Roman"/>
          <w:b/>
          <w:sz w:val="24"/>
          <w:szCs w:val="24"/>
          <w:highlight w:val="white"/>
          <w:u w:val="single"/>
        </w:rPr>
      </w:pPr>
    </w:p>
    <w:p w:rsidR="008978F8" w:rsidRPr="008E47EA" w:rsidRDefault="008E47EA">
      <w:pPr>
        <w:spacing w:line="360" w:lineRule="auto"/>
        <w:jc w:val="right"/>
        <w:rPr>
          <w:rFonts w:eastAsia="Times New Roman"/>
          <w:sz w:val="24"/>
          <w:szCs w:val="24"/>
          <w:highlight w:val="white"/>
        </w:rPr>
      </w:pPr>
      <w:r w:rsidRPr="008E47EA">
        <w:rPr>
          <w:rFonts w:eastAsia="Times New Roman"/>
          <w:sz w:val="24"/>
          <w:szCs w:val="24"/>
          <w:highlight w:val="white"/>
        </w:rPr>
        <w:t>Word Count: 2113</w:t>
      </w:r>
    </w:p>
    <w:p w:rsidR="008978F8" w:rsidRPr="008E47EA" w:rsidRDefault="008978F8">
      <w:pPr>
        <w:spacing w:line="360" w:lineRule="auto"/>
        <w:rPr>
          <w:rFonts w:eastAsia="Times New Roman"/>
          <w:b/>
          <w:sz w:val="24"/>
          <w:szCs w:val="24"/>
          <w:highlight w:val="white"/>
          <w:u w:val="single"/>
        </w:rPr>
      </w:pPr>
    </w:p>
    <w:p w:rsidR="008978F8" w:rsidRPr="008E47EA" w:rsidRDefault="008978F8">
      <w:pPr>
        <w:spacing w:line="360" w:lineRule="auto"/>
        <w:rPr>
          <w:rFonts w:eastAsia="Times New Roman"/>
          <w:b/>
          <w:sz w:val="24"/>
          <w:szCs w:val="24"/>
          <w:highlight w:val="white"/>
          <w:u w:val="single"/>
        </w:rPr>
      </w:pPr>
    </w:p>
    <w:p w:rsidR="008978F8" w:rsidRPr="008E47EA" w:rsidRDefault="008978F8">
      <w:pPr>
        <w:spacing w:line="360" w:lineRule="auto"/>
        <w:rPr>
          <w:rFonts w:eastAsia="Times New Roman"/>
          <w:b/>
          <w:sz w:val="24"/>
          <w:szCs w:val="24"/>
          <w:highlight w:val="white"/>
          <w:u w:val="single"/>
        </w:rPr>
      </w:pPr>
    </w:p>
    <w:p w:rsidR="008978F8" w:rsidRPr="008E47EA" w:rsidRDefault="008978F8">
      <w:pPr>
        <w:spacing w:line="36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978F8">
      <w:pPr>
        <w:spacing w:line="240" w:lineRule="auto"/>
        <w:rPr>
          <w:rFonts w:eastAsia="Times New Roman"/>
          <w:b/>
          <w:sz w:val="24"/>
          <w:szCs w:val="24"/>
          <w:highlight w:val="white"/>
          <w:u w:val="single"/>
        </w:rPr>
      </w:pPr>
    </w:p>
    <w:p w:rsidR="008978F8" w:rsidRPr="008E47EA" w:rsidRDefault="008E47EA">
      <w:pPr>
        <w:spacing w:line="240" w:lineRule="auto"/>
        <w:rPr>
          <w:rFonts w:eastAsia="Times New Roman"/>
          <w:b/>
          <w:sz w:val="24"/>
          <w:szCs w:val="24"/>
          <w:highlight w:val="white"/>
          <w:u w:val="single"/>
        </w:rPr>
      </w:pPr>
      <w:r w:rsidRPr="008E47EA">
        <w:rPr>
          <w:rFonts w:eastAsia="Times New Roman"/>
          <w:b/>
          <w:sz w:val="24"/>
          <w:szCs w:val="24"/>
          <w:highlight w:val="white"/>
          <w:u w:val="single"/>
        </w:rPr>
        <w:t>Bibliography</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ARG (2002) </w:t>
      </w:r>
      <w:r w:rsidRPr="008E47EA">
        <w:rPr>
          <w:rFonts w:eastAsia="Times New Roman"/>
          <w:i/>
          <w:sz w:val="24"/>
          <w:szCs w:val="24"/>
          <w:highlight w:val="white"/>
        </w:rPr>
        <w:t xml:space="preserve">Assessment for Learning: 10 Principles. </w:t>
      </w:r>
      <w:r w:rsidRPr="008E47EA">
        <w:rPr>
          <w:rFonts w:eastAsia="Times New Roman"/>
          <w:sz w:val="24"/>
          <w:szCs w:val="24"/>
          <w:highlight w:val="white"/>
        </w:rPr>
        <w:t>Available at:</w:t>
      </w:r>
      <w:hyperlink r:id="rId7">
        <w:r w:rsidRPr="008E47EA">
          <w:rPr>
            <w:rFonts w:eastAsia="Times New Roman"/>
            <w:sz w:val="24"/>
            <w:szCs w:val="24"/>
            <w:highlight w:val="white"/>
          </w:rPr>
          <w:t xml:space="preserve"> https://www.aaia.org.uk/content/uploads/2010/06/Assessment-for-Learning-10-principles.pdf</w:t>
        </w:r>
      </w:hyperlink>
      <w:r w:rsidRPr="008E47EA">
        <w:rPr>
          <w:rFonts w:eastAsia="Times New Roman"/>
          <w:sz w:val="24"/>
          <w:szCs w:val="24"/>
          <w:highlight w:val="white"/>
        </w:rPr>
        <w:t xml:space="preserve"> (Accessed: 10th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Bates, B. (2016) </w:t>
      </w:r>
      <w:r w:rsidRPr="008E47EA">
        <w:rPr>
          <w:rFonts w:eastAsia="Times New Roman"/>
          <w:i/>
          <w:sz w:val="24"/>
          <w:szCs w:val="24"/>
          <w:highlight w:val="white"/>
        </w:rPr>
        <w:t xml:space="preserve">Learning Theories Simplified and how to apply them to teaching. </w:t>
      </w:r>
      <w:r w:rsidRPr="008E47EA">
        <w:rPr>
          <w:rFonts w:eastAsia="Times New Roman"/>
          <w:sz w:val="24"/>
          <w:szCs w:val="24"/>
          <w:highlight w:val="white"/>
        </w:rPr>
        <w:t>London: Sage.</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BBC (2010) </w:t>
      </w:r>
      <w:r w:rsidRPr="008E47EA">
        <w:rPr>
          <w:rFonts w:eastAsia="Times New Roman"/>
          <w:i/>
          <w:sz w:val="24"/>
          <w:szCs w:val="24"/>
          <w:highlight w:val="white"/>
        </w:rPr>
        <w:t xml:space="preserve">Where hands up in class is banned. </w:t>
      </w:r>
      <w:r w:rsidRPr="008E47EA">
        <w:rPr>
          <w:rFonts w:eastAsia="Times New Roman"/>
          <w:sz w:val="24"/>
          <w:szCs w:val="24"/>
          <w:highlight w:val="white"/>
        </w:rPr>
        <w:t>Available at:</w:t>
      </w:r>
      <w:hyperlink r:id="rId8">
        <w:r w:rsidRPr="008E47EA">
          <w:rPr>
            <w:rFonts w:eastAsia="Times New Roman"/>
            <w:sz w:val="24"/>
            <w:szCs w:val="24"/>
            <w:highlight w:val="white"/>
          </w:rPr>
          <w:t xml:space="preserve"> </w:t>
        </w:r>
      </w:hyperlink>
      <w:hyperlink r:id="rId9">
        <w:r w:rsidRPr="008E47EA">
          <w:rPr>
            <w:rFonts w:eastAsia="Times New Roman"/>
            <w:sz w:val="24"/>
            <w:szCs w:val="24"/>
            <w:highlight w:val="white"/>
          </w:rPr>
          <w:t>https://www.bbc.co.uk/news/education-11090044</w:t>
        </w:r>
      </w:hyperlink>
      <w:r w:rsidRPr="008E47EA">
        <w:rPr>
          <w:rFonts w:eastAsia="Times New Roman"/>
          <w:sz w:val="24"/>
          <w:szCs w:val="24"/>
          <w:highlight w:val="white"/>
        </w:rPr>
        <w:t xml:space="preserve"> (Accessed: 10th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Black, P. and Wiliam, D. (1998) </w:t>
      </w:r>
      <w:r w:rsidRPr="008E47EA">
        <w:rPr>
          <w:rFonts w:eastAsia="Times New Roman"/>
          <w:i/>
          <w:sz w:val="24"/>
          <w:szCs w:val="24"/>
          <w:highlight w:val="white"/>
        </w:rPr>
        <w:t xml:space="preserve">Inside the Black Box: Raising Standards through classroom assessment. </w:t>
      </w:r>
      <w:r w:rsidRPr="008E47EA">
        <w:rPr>
          <w:rFonts w:eastAsia="Times New Roman"/>
          <w:sz w:val="24"/>
          <w:szCs w:val="24"/>
          <w:highlight w:val="white"/>
        </w:rPr>
        <w:t>Brentford: GL Assessment.</w:t>
      </w:r>
    </w:p>
    <w:p w:rsidR="008978F8" w:rsidRPr="008E47EA" w:rsidRDefault="008978F8">
      <w:pPr>
        <w:spacing w:line="240" w:lineRule="auto"/>
        <w:rPr>
          <w:rFonts w:eastAsia="Times New Roman"/>
          <w:sz w:val="24"/>
          <w:szCs w:val="24"/>
          <w:highlight w:val="white"/>
        </w:rPr>
      </w:pP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Clarke, S. (2005) </w:t>
      </w:r>
      <w:r w:rsidRPr="008E47EA">
        <w:rPr>
          <w:rFonts w:eastAsia="Times New Roman"/>
          <w:i/>
          <w:sz w:val="24"/>
          <w:szCs w:val="24"/>
          <w:highlight w:val="white"/>
        </w:rPr>
        <w:t xml:space="preserve">Formative Assessment in Action: weaving the elements together. </w:t>
      </w:r>
      <w:r w:rsidRPr="008E47EA">
        <w:rPr>
          <w:rFonts w:eastAsia="Times New Roman"/>
          <w:sz w:val="24"/>
          <w:szCs w:val="24"/>
          <w:highlight w:val="white"/>
        </w:rPr>
        <w:t>Oxon: Hodder Murray.</w:t>
      </w:r>
    </w:p>
    <w:p w:rsidR="008978F8" w:rsidRPr="008E47EA" w:rsidRDefault="008978F8">
      <w:pPr>
        <w:spacing w:line="240" w:lineRule="auto"/>
        <w:rPr>
          <w:rFonts w:eastAsia="Times New Roman"/>
          <w:sz w:val="24"/>
          <w:szCs w:val="24"/>
          <w:highlight w:val="white"/>
        </w:rPr>
      </w:pP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Black, P. et al. (2007) </w:t>
      </w:r>
      <w:r w:rsidRPr="008E47EA">
        <w:rPr>
          <w:rFonts w:eastAsia="Times New Roman"/>
          <w:i/>
          <w:sz w:val="24"/>
          <w:szCs w:val="24"/>
          <w:highlight w:val="white"/>
        </w:rPr>
        <w:t xml:space="preserve">Assessment for Learning: Putting it into Practice. </w:t>
      </w:r>
      <w:r w:rsidRPr="008E47EA">
        <w:rPr>
          <w:rFonts w:eastAsia="Times New Roman"/>
          <w:sz w:val="24"/>
          <w:szCs w:val="24"/>
          <w:highlight w:val="white"/>
        </w:rPr>
        <w:t>Berkshire: Open University Press.</w:t>
      </w:r>
    </w:p>
    <w:p w:rsidR="008978F8" w:rsidRPr="008E47EA" w:rsidRDefault="008978F8">
      <w:pPr>
        <w:spacing w:line="240" w:lineRule="auto"/>
        <w:rPr>
          <w:rFonts w:eastAsia="Times New Roman"/>
          <w:sz w:val="24"/>
          <w:szCs w:val="24"/>
          <w:highlight w:val="white"/>
        </w:rPr>
      </w:pP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ClassDojo (2018) </w:t>
      </w:r>
      <w:r w:rsidRPr="008E47EA">
        <w:rPr>
          <w:rFonts w:eastAsia="Times New Roman"/>
          <w:i/>
          <w:sz w:val="24"/>
          <w:szCs w:val="24"/>
          <w:highlight w:val="white"/>
        </w:rPr>
        <w:t xml:space="preserve">Toolkit. </w:t>
      </w:r>
      <w:r w:rsidRPr="008E47EA">
        <w:rPr>
          <w:rFonts w:eastAsia="Times New Roman"/>
          <w:sz w:val="24"/>
          <w:szCs w:val="24"/>
          <w:highlight w:val="white"/>
        </w:rPr>
        <w:t>Available at:</w:t>
      </w:r>
      <w:hyperlink r:id="rId10">
        <w:r w:rsidRPr="008E47EA">
          <w:rPr>
            <w:rFonts w:eastAsia="Times New Roman"/>
            <w:sz w:val="24"/>
            <w:szCs w:val="24"/>
            <w:highlight w:val="white"/>
          </w:rPr>
          <w:t xml:space="preserve"> https://www.classdojo.com/en-gb/toolkit/?redirect=true</w:t>
        </w:r>
      </w:hyperlink>
      <w:r w:rsidRPr="008E47EA">
        <w:rPr>
          <w:rFonts w:eastAsia="Times New Roman"/>
          <w:sz w:val="24"/>
          <w:szCs w:val="24"/>
          <w:highlight w:val="white"/>
        </w:rPr>
        <w:t xml:space="preserve"> (Accessed: 10th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Dallimore, E.J., Hertenstein, J.H. and Platt, M.B. (2013) </w:t>
      </w:r>
      <w:r w:rsidRPr="008E47EA">
        <w:rPr>
          <w:rFonts w:eastAsia="Times New Roman"/>
          <w:i/>
          <w:sz w:val="24"/>
          <w:szCs w:val="24"/>
          <w:highlight w:val="white"/>
        </w:rPr>
        <w:t>‘Impact of cold-calling on Student Voluntary Participation’</w:t>
      </w:r>
      <w:r w:rsidRPr="008E47EA">
        <w:rPr>
          <w:rFonts w:eastAsia="Times New Roman"/>
          <w:sz w:val="24"/>
          <w:szCs w:val="24"/>
          <w:highlight w:val="white"/>
        </w:rPr>
        <w:t>, Journal of Management Education, 37 (3), pp. 305-341.  DOI: 10.1177/1052562912446067. (Accessed: 12th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Donaldson, G. (2015)</w:t>
      </w:r>
      <w:r w:rsidRPr="008E47EA">
        <w:rPr>
          <w:rFonts w:eastAsia="Times New Roman"/>
          <w:i/>
          <w:sz w:val="24"/>
          <w:szCs w:val="24"/>
          <w:highlight w:val="white"/>
        </w:rPr>
        <w:t xml:space="preserve"> Successful futures. </w:t>
      </w:r>
      <w:r w:rsidRPr="008E47EA">
        <w:rPr>
          <w:rFonts w:eastAsia="Times New Roman"/>
          <w:sz w:val="24"/>
          <w:szCs w:val="24"/>
          <w:highlight w:val="white"/>
        </w:rPr>
        <w:t>Available at: https://dera.ioe.ac.uk/22165/2/150225-successful-futures-en_Redacted.pdf (Accessed: 5th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DWC (2018) </w:t>
      </w:r>
      <w:r w:rsidRPr="008E47EA">
        <w:rPr>
          <w:rFonts w:eastAsia="Times New Roman"/>
          <w:i/>
          <w:sz w:val="24"/>
          <w:szCs w:val="24"/>
          <w:highlight w:val="white"/>
        </w:rPr>
        <w:t>Practical ideas for Classroom formative assessment. Available at:</w:t>
      </w:r>
      <w:hyperlink r:id="rId11">
        <w:r w:rsidRPr="008E47EA">
          <w:rPr>
            <w:rFonts w:eastAsia="Times New Roman"/>
            <w:sz w:val="24"/>
            <w:szCs w:val="24"/>
            <w:highlight w:val="white"/>
          </w:rPr>
          <w:t xml:space="preserve"> </w:t>
        </w:r>
      </w:hyperlink>
      <w:hyperlink r:id="rId12">
        <w:r w:rsidRPr="008E47EA">
          <w:rPr>
            <w:rFonts w:eastAsia="Times New Roman"/>
            <w:sz w:val="24"/>
            <w:szCs w:val="24"/>
            <w:highlight w:val="white"/>
          </w:rPr>
          <w:t>https://www.dylanwiliamcenter.com/practical-ideas-for-classroom-formative-assessment/</w:t>
        </w:r>
      </w:hyperlink>
      <w:r w:rsidRPr="008E47EA">
        <w:rPr>
          <w:rFonts w:eastAsia="Times New Roman"/>
          <w:sz w:val="24"/>
          <w:szCs w:val="24"/>
          <w:highlight w:val="white"/>
        </w:rPr>
        <w:t xml:space="preserve"> (Accessed: 10th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Dweck, C. S. (2006) </w:t>
      </w:r>
      <w:r w:rsidRPr="008E47EA">
        <w:rPr>
          <w:rFonts w:eastAsia="Times New Roman"/>
          <w:i/>
          <w:sz w:val="24"/>
          <w:szCs w:val="24"/>
          <w:highlight w:val="white"/>
        </w:rPr>
        <w:t xml:space="preserve">Mindset: The New Psychology of Success. </w:t>
      </w:r>
      <w:r w:rsidRPr="008E47EA">
        <w:rPr>
          <w:rFonts w:eastAsia="Times New Roman"/>
          <w:sz w:val="24"/>
          <w:szCs w:val="24"/>
          <w:highlight w:val="white"/>
        </w:rPr>
        <w:t>New York: Ballantine Books.</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Dweck, C.S. (2010) The effect of Praise on Mindsets [video]. Available at:</w:t>
      </w:r>
      <w:hyperlink r:id="rId13">
        <w:r w:rsidRPr="008E47EA">
          <w:rPr>
            <w:rFonts w:eastAsia="Times New Roman"/>
            <w:sz w:val="24"/>
            <w:szCs w:val="24"/>
            <w:highlight w:val="white"/>
          </w:rPr>
          <w:t xml:space="preserve"> https://www.youtube.com/watch?v=TTXrV0_3UjY</w:t>
        </w:r>
      </w:hyperlink>
      <w:r w:rsidRPr="008E47EA">
        <w:rPr>
          <w:rFonts w:eastAsia="Times New Roman"/>
          <w:sz w:val="24"/>
          <w:szCs w:val="24"/>
          <w:highlight w:val="white"/>
        </w:rPr>
        <w:t xml:space="preserve"> (Accessed: 7th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Espinoza, J. (2015) ‘Hands-up: Bring back the practice into the classroom, says government behavioural tsar’, </w:t>
      </w:r>
      <w:r w:rsidRPr="008E47EA">
        <w:rPr>
          <w:rFonts w:eastAsia="Times New Roman"/>
          <w:i/>
          <w:sz w:val="24"/>
          <w:szCs w:val="24"/>
          <w:highlight w:val="white"/>
        </w:rPr>
        <w:t>The Telegraph’</w:t>
      </w:r>
      <w:r w:rsidRPr="008E47EA">
        <w:rPr>
          <w:rFonts w:eastAsia="Times New Roman"/>
          <w:sz w:val="24"/>
          <w:szCs w:val="24"/>
          <w:highlight w:val="white"/>
        </w:rPr>
        <w:t>, 8th September. Available at: (</w:t>
      </w:r>
      <w:hyperlink r:id="rId14">
        <w:r w:rsidRPr="008E47EA">
          <w:rPr>
            <w:rFonts w:eastAsia="Times New Roman"/>
            <w:sz w:val="24"/>
            <w:szCs w:val="24"/>
            <w:highlight w:val="white"/>
          </w:rPr>
          <w:t>https://www.telegraph.co.uk/education/educationnews/11850350/Hands-up-Bring-back-the-practice-into-the-classroom-says-government-behavioural-tsar.html</w:t>
        </w:r>
      </w:hyperlink>
      <w:r w:rsidRPr="008E47EA">
        <w:rPr>
          <w:rFonts w:eastAsia="Times New Roman"/>
          <w:sz w:val="24"/>
          <w:szCs w:val="24"/>
          <w:highlight w:val="white"/>
        </w:rPr>
        <w:t xml:space="preserve"> (Accessed: 7th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lastRenderedPageBreak/>
        <w:t xml:space="preserve">ESTYN (2017a) </w:t>
      </w:r>
      <w:r w:rsidRPr="008E47EA">
        <w:rPr>
          <w:rFonts w:eastAsia="Times New Roman"/>
          <w:i/>
          <w:sz w:val="24"/>
          <w:szCs w:val="24"/>
          <w:highlight w:val="white"/>
        </w:rPr>
        <w:t xml:space="preserve">Using Assessment for learning to close gaps in pupils’ learning. </w:t>
      </w:r>
      <w:r w:rsidRPr="008E47EA">
        <w:rPr>
          <w:rFonts w:eastAsia="Times New Roman"/>
          <w:sz w:val="24"/>
          <w:szCs w:val="24"/>
          <w:highlight w:val="white"/>
        </w:rPr>
        <w:t>Available at:</w:t>
      </w:r>
      <w:hyperlink r:id="rId15">
        <w:r w:rsidRPr="008E47EA">
          <w:rPr>
            <w:rFonts w:eastAsia="Times New Roman"/>
            <w:sz w:val="24"/>
            <w:szCs w:val="24"/>
            <w:highlight w:val="white"/>
          </w:rPr>
          <w:t xml:space="preserve"> https://www.estyn.gov.wales/effective-practice/using-assessment-learning-close-gaps-pupils%E2%80%99-learning</w:t>
        </w:r>
      </w:hyperlink>
      <w:r w:rsidRPr="008E47EA">
        <w:rPr>
          <w:rFonts w:eastAsia="Times New Roman"/>
          <w:sz w:val="24"/>
          <w:szCs w:val="24"/>
          <w:highlight w:val="white"/>
        </w:rPr>
        <w:t xml:space="preserve"> (Accessed: 5th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ESTYN. (2017b) T</w:t>
      </w:r>
      <w:r w:rsidRPr="008E47EA">
        <w:rPr>
          <w:rFonts w:eastAsia="Times New Roman"/>
          <w:i/>
          <w:sz w:val="24"/>
          <w:szCs w:val="24"/>
          <w:highlight w:val="white"/>
        </w:rPr>
        <w:t xml:space="preserve">he Annual Report of Her Majesty's Chief Inspector of Education and Training in Wales 2016-2017. </w:t>
      </w:r>
      <w:r w:rsidRPr="008E47EA">
        <w:rPr>
          <w:rFonts w:eastAsia="Times New Roman"/>
          <w:sz w:val="24"/>
          <w:szCs w:val="24"/>
          <w:highlight w:val="white"/>
        </w:rPr>
        <w:t>Available at:</w:t>
      </w:r>
      <w:hyperlink r:id="rId16">
        <w:r w:rsidRPr="008E47EA">
          <w:rPr>
            <w:rFonts w:eastAsia="Times New Roman"/>
            <w:sz w:val="24"/>
            <w:szCs w:val="24"/>
            <w:highlight w:val="white"/>
          </w:rPr>
          <w:t xml:space="preserve"> https://www.estyn.gov.wales/sites/default/files/documents/Estyn_Annual%20Report_2018_English_Accessible.pdf</w:t>
        </w:r>
      </w:hyperlink>
      <w:r w:rsidRPr="008E47EA">
        <w:rPr>
          <w:rFonts w:eastAsia="Times New Roman"/>
          <w:sz w:val="24"/>
          <w:szCs w:val="24"/>
          <w:highlight w:val="white"/>
        </w:rPr>
        <w:t xml:space="preserve"> (Accessed: 10</w:t>
      </w:r>
      <w:r w:rsidRPr="008E47EA">
        <w:rPr>
          <w:rFonts w:eastAsia="Times New Roman"/>
          <w:sz w:val="24"/>
          <w:szCs w:val="24"/>
          <w:highlight w:val="white"/>
          <w:vertAlign w:val="superscript"/>
        </w:rPr>
        <w:t>th</w:t>
      </w:r>
      <w:r w:rsidRPr="008E47EA">
        <w:rPr>
          <w:rFonts w:eastAsia="Times New Roman"/>
          <w:sz w:val="24"/>
          <w:szCs w:val="24"/>
          <w:highlight w:val="white"/>
        </w:rPr>
        <w:t xml:space="preserve"> December 2018).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ESTYN (2018) </w:t>
      </w:r>
      <w:r w:rsidRPr="008E47EA">
        <w:rPr>
          <w:rFonts w:eastAsia="Times New Roman"/>
          <w:i/>
          <w:sz w:val="24"/>
          <w:szCs w:val="24"/>
          <w:highlight w:val="white"/>
        </w:rPr>
        <w:t xml:space="preserve">Assessment for Learning and thinking skills. </w:t>
      </w:r>
      <w:r w:rsidRPr="008E47EA">
        <w:rPr>
          <w:rFonts w:eastAsia="Times New Roman"/>
          <w:sz w:val="24"/>
          <w:szCs w:val="24"/>
          <w:highlight w:val="white"/>
        </w:rPr>
        <w:t>Available at:</w:t>
      </w:r>
      <w:hyperlink r:id="rId17">
        <w:r w:rsidRPr="008E47EA">
          <w:rPr>
            <w:rFonts w:eastAsia="Times New Roman"/>
            <w:sz w:val="24"/>
            <w:szCs w:val="24"/>
            <w:highlight w:val="white"/>
          </w:rPr>
          <w:t xml:space="preserve"> https://www.estyn.gov.wales/effective-practice/assessment-learning-and-thinking-skills</w:t>
        </w:r>
      </w:hyperlink>
      <w:r w:rsidRPr="008E47EA">
        <w:rPr>
          <w:rFonts w:eastAsia="Times New Roman"/>
          <w:sz w:val="24"/>
          <w:szCs w:val="24"/>
          <w:highlight w:val="white"/>
        </w:rPr>
        <w:t xml:space="preserve"> (Accessed: 5th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Gardner, J. (2012) </w:t>
      </w:r>
      <w:r w:rsidRPr="008E47EA">
        <w:rPr>
          <w:rFonts w:eastAsia="Times New Roman"/>
          <w:i/>
          <w:sz w:val="24"/>
          <w:szCs w:val="24"/>
          <w:highlight w:val="white"/>
        </w:rPr>
        <w:t>Assessment and Learning</w:t>
      </w:r>
      <w:r w:rsidRPr="008E47EA">
        <w:rPr>
          <w:rFonts w:eastAsia="Times New Roman"/>
          <w:sz w:val="24"/>
          <w:szCs w:val="24"/>
          <w:highlight w:val="white"/>
        </w:rPr>
        <w:t>. 2nd ed. London: Sage Publications.</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Grigg, R. (2015) </w:t>
      </w:r>
      <w:r w:rsidRPr="008E47EA">
        <w:rPr>
          <w:rFonts w:eastAsia="Times New Roman"/>
          <w:i/>
          <w:sz w:val="24"/>
          <w:szCs w:val="24"/>
          <w:highlight w:val="white"/>
        </w:rPr>
        <w:t xml:space="preserve">Becoming an outstanding primary school teacher. </w:t>
      </w:r>
      <w:r w:rsidRPr="008E47EA">
        <w:rPr>
          <w:rFonts w:eastAsia="Times New Roman"/>
          <w:sz w:val="24"/>
          <w:szCs w:val="24"/>
          <w:highlight w:val="white"/>
        </w:rPr>
        <w:t>2nd Ed. Oxon: Routledge.</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Myhill, D., Jones, S. and Hopper, R. (2006) </w:t>
      </w:r>
      <w:r w:rsidRPr="008E47EA">
        <w:rPr>
          <w:rFonts w:eastAsia="Times New Roman"/>
          <w:i/>
          <w:sz w:val="24"/>
          <w:szCs w:val="24"/>
          <w:highlight w:val="white"/>
        </w:rPr>
        <w:t xml:space="preserve">Talking, Listening, Learning:  Effective talk in the Primary Classroom. </w:t>
      </w:r>
      <w:r w:rsidRPr="008E47EA">
        <w:rPr>
          <w:rFonts w:eastAsia="Times New Roman"/>
          <w:sz w:val="24"/>
          <w:szCs w:val="24"/>
          <w:highlight w:val="white"/>
        </w:rPr>
        <w:t>Berkshire: Open University Press.</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Nuthall, G. (2007) </w:t>
      </w:r>
      <w:r w:rsidRPr="008E47EA">
        <w:rPr>
          <w:rFonts w:eastAsia="Times New Roman"/>
          <w:i/>
          <w:sz w:val="24"/>
          <w:szCs w:val="24"/>
          <w:highlight w:val="white"/>
        </w:rPr>
        <w:t xml:space="preserve">The Hidden Lives of Learners’. </w:t>
      </w:r>
      <w:r w:rsidRPr="008E47EA">
        <w:rPr>
          <w:rFonts w:eastAsia="Times New Roman"/>
          <w:sz w:val="24"/>
          <w:szCs w:val="24"/>
          <w:highlight w:val="white"/>
        </w:rPr>
        <w:t>Wellington: NZCER Press.</w:t>
      </w:r>
    </w:p>
    <w:p w:rsidR="008978F8" w:rsidRPr="008E47EA" w:rsidRDefault="008978F8">
      <w:pPr>
        <w:spacing w:line="240" w:lineRule="auto"/>
        <w:rPr>
          <w:rFonts w:eastAsia="Times New Roman"/>
          <w:i/>
          <w:sz w:val="24"/>
          <w:szCs w:val="24"/>
          <w:highlight w:val="white"/>
        </w:rPr>
      </w:pP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Sadler, D. R. (2010) ‘</w:t>
      </w:r>
      <w:r w:rsidRPr="008E47EA">
        <w:rPr>
          <w:rFonts w:eastAsia="Times New Roman"/>
          <w:i/>
          <w:sz w:val="24"/>
          <w:szCs w:val="24"/>
          <w:highlight w:val="white"/>
        </w:rPr>
        <w:t xml:space="preserve">Beyond Feedback: developing student capability in Complex appraisal’, </w:t>
      </w:r>
      <w:r w:rsidRPr="008E47EA">
        <w:rPr>
          <w:rFonts w:eastAsia="Times New Roman"/>
          <w:sz w:val="24"/>
          <w:szCs w:val="24"/>
          <w:highlight w:val="white"/>
        </w:rPr>
        <w:t>Assessment and Evaluation in Higher Education, 35 (5), pp. 535-550. DOI: 10.1080/02602930903541015. (Accessed: 10th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Spade, N. (2017) How to use ClassDojo toolkit [video]. Available at</w:t>
      </w:r>
      <w:hyperlink r:id="rId18">
        <w:r w:rsidRPr="008E47EA">
          <w:rPr>
            <w:rFonts w:eastAsia="Times New Roman"/>
            <w:sz w:val="24"/>
            <w:szCs w:val="24"/>
            <w:highlight w:val="white"/>
          </w:rPr>
          <w:t xml:space="preserve"> https://www.youtube.com/watch?v=Y5cX9hdUXpk</w:t>
        </w:r>
      </w:hyperlink>
      <w:r w:rsidRPr="008E47EA">
        <w:rPr>
          <w:rFonts w:eastAsia="Times New Roman"/>
          <w:sz w:val="24"/>
          <w:szCs w:val="24"/>
          <w:highlight w:val="white"/>
        </w:rPr>
        <w:t xml:space="preserve"> (Accessed: 10th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STEM (2018) </w:t>
      </w:r>
      <w:r w:rsidRPr="008E47EA">
        <w:rPr>
          <w:rFonts w:eastAsia="Times New Roman"/>
          <w:i/>
          <w:sz w:val="24"/>
          <w:szCs w:val="24"/>
          <w:highlight w:val="white"/>
        </w:rPr>
        <w:t xml:space="preserve">John Hattie: Learning intentions and success criteria. </w:t>
      </w:r>
      <w:r w:rsidRPr="008E47EA">
        <w:rPr>
          <w:rFonts w:eastAsia="Times New Roman"/>
          <w:sz w:val="24"/>
          <w:szCs w:val="24"/>
          <w:highlight w:val="white"/>
        </w:rPr>
        <w:t xml:space="preserve">Available at: </w:t>
      </w:r>
      <w:hyperlink r:id="rId19">
        <w:r w:rsidRPr="008E47EA">
          <w:rPr>
            <w:rFonts w:eastAsia="Times New Roman"/>
            <w:sz w:val="24"/>
            <w:szCs w:val="24"/>
            <w:highlight w:val="white"/>
          </w:rPr>
          <w:t>https://www.stem.org.uk/resources/elibrary/resource/273227/john-hattie-learning-intentions-and-success-criteria</w:t>
        </w:r>
      </w:hyperlink>
      <w:r w:rsidRPr="008E47EA">
        <w:rPr>
          <w:rFonts w:eastAsia="Times New Roman"/>
          <w:sz w:val="24"/>
          <w:szCs w:val="24"/>
          <w:highlight w:val="white"/>
        </w:rPr>
        <w:t xml:space="preserve"> (Accessed: 8th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TES (2008) </w:t>
      </w:r>
      <w:r w:rsidRPr="008E47EA">
        <w:rPr>
          <w:rFonts w:eastAsia="Times New Roman"/>
          <w:i/>
          <w:sz w:val="24"/>
          <w:szCs w:val="24"/>
          <w:highlight w:val="white"/>
        </w:rPr>
        <w:t>Assessment for learning has fallen prey to gimmicks, says critic</w:t>
      </w:r>
      <w:r w:rsidRPr="008E47EA">
        <w:rPr>
          <w:rFonts w:eastAsia="Times New Roman"/>
          <w:sz w:val="24"/>
          <w:szCs w:val="24"/>
          <w:highlight w:val="white"/>
        </w:rPr>
        <w:t>. Available at:</w:t>
      </w:r>
      <w:hyperlink r:id="rId20">
        <w:r w:rsidRPr="008E47EA">
          <w:rPr>
            <w:rFonts w:eastAsia="Times New Roman"/>
            <w:sz w:val="24"/>
            <w:szCs w:val="24"/>
            <w:highlight w:val="white"/>
          </w:rPr>
          <w:t xml:space="preserve"> https://www.tes.com/news/assessment-learning-has-fallen-prey-gimmicks-says-critic</w:t>
        </w:r>
      </w:hyperlink>
      <w:r w:rsidRPr="008E47EA">
        <w:rPr>
          <w:rFonts w:eastAsia="Times New Roman"/>
          <w:sz w:val="24"/>
          <w:szCs w:val="24"/>
          <w:highlight w:val="white"/>
        </w:rPr>
        <w:t xml:space="preserve"> (Accessed: 7th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TES (2014) </w:t>
      </w:r>
      <w:r w:rsidRPr="008E47EA">
        <w:rPr>
          <w:rFonts w:eastAsia="Times New Roman"/>
          <w:i/>
          <w:sz w:val="24"/>
          <w:szCs w:val="24"/>
          <w:highlight w:val="white"/>
        </w:rPr>
        <w:t xml:space="preserve">Forget about assessing learning after lessons. </w:t>
      </w:r>
      <w:r w:rsidRPr="008E47EA">
        <w:rPr>
          <w:rFonts w:eastAsia="Times New Roman"/>
          <w:sz w:val="24"/>
          <w:szCs w:val="24"/>
          <w:highlight w:val="white"/>
        </w:rPr>
        <w:t>Available at:</w:t>
      </w:r>
      <w:hyperlink r:id="rId21">
        <w:r w:rsidRPr="008E47EA">
          <w:rPr>
            <w:rFonts w:eastAsia="Times New Roman"/>
            <w:sz w:val="24"/>
            <w:szCs w:val="24"/>
            <w:highlight w:val="white"/>
          </w:rPr>
          <w:t xml:space="preserve"> https://www.tes.com/news/forget-about-assessing-learning-after-lessons</w:t>
        </w:r>
      </w:hyperlink>
      <w:r w:rsidRPr="008E47EA">
        <w:rPr>
          <w:rFonts w:eastAsia="Times New Roman"/>
          <w:sz w:val="24"/>
          <w:szCs w:val="24"/>
          <w:highlight w:val="white"/>
        </w:rPr>
        <w:t xml:space="preserve"> (Accessed: 7th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WAG (2009) ‘The Qualified Teacher Status Standards Wales 2009 (2009 No.25)’ Available at</w:t>
      </w:r>
      <w:hyperlink r:id="rId22">
        <w:r w:rsidRPr="008E47EA">
          <w:rPr>
            <w:rFonts w:eastAsia="Times New Roman"/>
            <w:sz w:val="24"/>
            <w:szCs w:val="24"/>
            <w:highlight w:val="white"/>
          </w:rPr>
          <w:t xml:space="preserve"> http://gov.wales/legislation/subordinate/nonsi/educationwales/2009/3220099/?lang=en</w:t>
        </w:r>
      </w:hyperlink>
      <w:r w:rsidRPr="008E47EA">
        <w:rPr>
          <w:rFonts w:eastAsia="Times New Roman"/>
          <w:sz w:val="24"/>
          <w:szCs w:val="24"/>
          <w:highlight w:val="white"/>
        </w:rPr>
        <w:t xml:space="preserve"> (Accessed on 26/04/2018).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lastRenderedPageBreak/>
        <w:t xml:space="preserve">WAG, (2010a) </w:t>
      </w:r>
      <w:r w:rsidRPr="008E47EA">
        <w:rPr>
          <w:rFonts w:eastAsia="Times New Roman"/>
          <w:i/>
          <w:sz w:val="24"/>
          <w:szCs w:val="24"/>
          <w:highlight w:val="white"/>
        </w:rPr>
        <w:t xml:space="preserve">Making the most of Assessment 7-14. </w:t>
      </w:r>
      <w:r w:rsidRPr="008E47EA">
        <w:rPr>
          <w:rFonts w:eastAsia="Times New Roman"/>
          <w:sz w:val="24"/>
          <w:szCs w:val="24"/>
          <w:highlight w:val="white"/>
        </w:rPr>
        <w:t>Available at:</w:t>
      </w:r>
      <w:hyperlink r:id="rId23">
        <w:r w:rsidRPr="008E47EA">
          <w:rPr>
            <w:rFonts w:eastAsia="Times New Roman"/>
            <w:sz w:val="24"/>
            <w:szCs w:val="24"/>
            <w:highlight w:val="white"/>
          </w:rPr>
          <w:t xml:space="preserve"> http://learning.gov.wales/docs/learningwales/publications/130425-making-the-most-en.pdf</w:t>
        </w:r>
      </w:hyperlink>
      <w:r w:rsidRPr="008E47EA">
        <w:rPr>
          <w:rFonts w:eastAsia="Times New Roman"/>
          <w:sz w:val="24"/>
          <w:szCs w:val="24"/>
          <w:highlight w:val="white"/>
        </w:rPr>
        <w:t xml:space="preserve"> (Accessed: 9th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WAG (2010b) </w:t>
      </w:r>
      <w:r w:rsidRPr="008E47EA">
        <w:rPr>
          <w:rFonts w:eastAsia="Times New Roman"/>
          <w:i/>
          <w:sz w:val="24"/>
          <w:szCs w:val="24"/>
          <w:highlight w:val="white"/>
        </w:rPr>
        <w:t xml:space="preserve">How to develop thinking and assessment for learning in the classroom. </w:t>
      </w:r>
      <w:r w:rsidRPr="008E47EA">
        <w:rPr>
          <w:rFonts w:eastAsia="Times New Roman"/>
          <w:sz w:val="24"/>
          <w:szCs w:val="24"/>
          <w:highlight w:val="white"/>
        </w:rPr>
        <w:t>Available at:</w:t>
      </w:r>
      <w:hyperlink r:id="rId24">
        <w:r w:rsidRPr="008E47EA">
          <w:rPr>
            <w:rFonts w:eastAsia="Times New Roman"/>
            <w:sz w:val="24"/>
            <w:szCs w:val="24"/>
            <w:highlight w:val="white"/>
          </w:rPr>
          <w:t xml:space="preserve"> http://learning.gov.wales/docs/learningwales/publications/130429how-to-develop-thinking-en.pdf</w:t>
        </w:r>
      </w:hyperlink>
      <w:r w:rsidRPr="008E47EA">
        <w:rPr>
          <w:rFonts w:eastAsia="Times New Roman"/>
          <w:sz w:val="24"/>
          <w:szCs w:val="24"/>
          <w:highlight w:val="white"/>
        </w:rPr>
        <w:t xml:space="preserve"> (Accessed: 10th December 2018).</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WAG (2015) </w:t>
      </w:r>
      <w:r w:rsidRPr="008E47EA">
        <w:rPr>
          <w:rFonts w:eastAsia="Times New Roman"/>
          <w:i/>
          <w:sz w:val="24"/>
          <w:szCs w:val="24"/>
          <w:highlight w:val="white"/>
        </w:rPr>
        <w:t xml:space="preserve">Foundation Phase Framework. </w:t>
      </w:r>
      <w:r w:rsidRPr="008E47EA">
        <w:rPr>
          <w:rFonts w:eastAsia="Times New Roman"/>
          <w:sz w:val="24"/>
          <w:szCs w:val="24"/>
          <w:highlight w:val="white"/>
        </w:rPr>
        <w:t>Available at:</w:t>
      </w:r>
      <w:hyperlink r:id="rId25">
        <w:r w:rsidRPr="008E47EA">
          <w:rPr>
            <w:rFonts w:eastAsia="Times New Roman"/>
            <w:sz w:val="24"/>
            <w:szCs w:val="24"/>
            <w:highlight w:val="white"/>
          </w:rPr>
          <w:t xml:space="preserve"> https://beta.gov.wales/sites/default/files/publications/2018-02/foundation-phase-framework-revised-2015.pdf</w:t>
        </w:r>
      </w:hyperlink>
      <w:r w:rsidRPr="008E47EA">
        <w:rPr>
          <w:rFonts w:eastAsia="Times New Roman"/>
          <w:sz w:val="24"/>
          <w:szCs w:val="24"/>
          <w:highlight w:val="white"/>
        </w:rPr>
        <w:t xml:space="preserve"> (Accessed: 5th December 2018).</w:t>
      </w:r>
    </w:p>
    <w:p w:rsidR="008978F8" w:rsidRPr="008E47EA" w:rsidRDefault="008978F8">
      <w:pPr>
        <w:spacing w:line="240" w:lineRule="auto"/>
        <w:rPr>
          <w:rFonts w:eastAsia="Times New Roman"/>
          <w:sz w:val="24"/>
          <w:szCs w:val="24"/>
          <w:highlight w:val="white"/>
        </w:rPr>
      </w:pP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WAG (2016) ‘</w:t>
      </w:r>
      <w:r w:rsidRPr="008E47EA">
        <w:rPr>
          <w:rFonts w:eastAsia="Times New Roman"/>
          <w:i/>
          <w:sz w:val="24"/>
          <w:szCs w:val="24"/>
          <w:highlight w:val="white"/>
        </w:rPr>
        <w:t xml:space="preserve">Programme of Study for English: Key Stage 2-4’. </w:t>
      </w:r>
      <w:r w:rsidRPr="008E47EA">
        <w:rPr>
          <w:rFonts w:eastAsia="Times New Roman"/>
          <w:sz w:val="24"/>
          <w:szCs w:val="24"/>
          <w:highlight w:val="white"/>
        </w:rPr>
        <w:t xml:space="preserve">Available at: </w:t>
      </w:r>
      <w:hyperlink r:id="rId26">
        <w:r w:rsidRPr="008E47EA">
          <w:rPr>
            <w:rFonts w:eastAsia="Times New Roman"/>
            <w:sz w:val="24"/>
            <w:szCs w:val="24"/>
            <w:highlight w:val="white"/>
          </w:rPr>
          <w:t>http://learning.gov.wales/docs/learningwales/publications/150717-nc-english-en-v3.pdf</w:t>
        </w:r>
      </w:hyperlink>
      <w:r w:rsidRPr="008E47EA">
        <w:rPr>
          <w:rFonts w:eastAsia="Times New Roman"/>
          <w:sz w:val="24"/>
          <w:szCs w:val="24"/>
          <w:highlight w:val="white"/>
        </w:rPr>
        <w:t xml:space="preserve"> (Accessed: 9th December 2018).</w:t>
      </w:r>
    </w:p>
    <w:p w:rsidR="008978F8" w:rsidRPr="008E47EA" w:rsidRDefault="008978F8">
      <w:pPr>
        <w:spacing w:line="240" w:lineRule="auto"/>
        <w:rPr>
          <w:rFonts w:eastAsia="Times New Roman"/>
          <w:sz w:val="24"/>
          <w:szCs w:val="24"/>
          <w:highlight w:val="white"/>
        </w:rPr>
      </w:pP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Watson, J.B. (2017) </w:t>
      </w:r>
      <w:r w:rsidRPr="008E47EA">
        <w:rPr>
          <w:rFonts w:eastAsia="Times New Roman"/>
          <w:i/>
          <w:sz w:val="24"/>
          <w:szCs w:val="24"/>
          <w:highlight w:val="white"/>
        </w:rPr>
        <w:t xml:space="preserve">Behaviourism. </w:t>
      </w:r>
      <w:r w:rsidRPr="008E47EA">
        <w:rPr>
          <w:rFonts w:eastAsia="Times New Roman"/>
          <w:sz w:val="24"/>
          <w:szCs w:val="24"/>
          <w:highlight w:val="white"/>
        </w:rPr>
        <w:t>Routledge: Oxon</w:t>
      </w:r>
    </w:p>
    <w:p w:rsidR="008978F8" w:rsidRPr="008E47EA" w:rsidRDefault="008978F8">
      <w:pPr>
        <w:spacing w:line="240" w:lineRule="auto"/>
        <w:rPr>
          <w:rFonts w:eastAsia="Times New Roman"/>
          <w:sz w:val="24"/>
          <w:szCs w:val="24"/>
          <w:highlight w:val="white"/>
        </w:rPr>
      </w:pP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Wiliam, D. (2011)</w:t>
      </w:r>
      <w:r w:rsidRPr="008E47EA">
        <w:rPr>
          <w:rFonts w:eastAsia="Times New Roman"/>
          <w:i/>
          <w:sz w:val="24"/>
          <w:szCs w:val="24"/>
          <w:highlight w:val="white"/>
        </w:rPr>
        <w:t xml:space="preserve"> Embedded Formative Assessment. </w:t>
      </w:r>
      <w:r w:rsidRPr="008E47EA">
        <w:rPr>
          <w:rFonts w:eastAsia="Times New Roman"/>
          <w:sz w:val="24"/>
          <w:szCs w:val="24"/>
          <w:highlight w:val="white"/>
        </w:rPr>
        <w:t>Bloomington: Solution Tree Press</w:t>
      </w:r>
    </w:p>
    <w:p w:rsidR="008978F8" w:rsidRPr="008E47EA" w:rsidRDefault="008E47EA">
      <w:pPr>
        <w:spacing w:line="240" w:lineRule="auto"/>
        <w:rPr>
          <w:rFonts w:eastAsia="Times New Roman"/>
          <w:sz w:val="24"/>
          <w:szCs w:val="24"/>
          <w:highlight w:val="white"/>
        </w:rPr>
      </w:pPr>
      <w:r w:rsidRPr="008E47EA">
        <w:rPr>
          <w:rFonts w:eastAsia="Times New Roman"/>
          <w:sz w:val="24"/>
          <w:szCs w:val="24"/>
          <w:highlight w:val="white"/>
        </w:rPr>
        <w:t xml:space="preserve"> </w:t>
      </w: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978F8">
      <w:pPr>
        <w:spacing w:line="240" w:lineRule="auto"/>
        <w:rPr>
          <w:rFonts w:eastAsia="Times New Roman"/>
          <w:b/>
          <w:sz w:val="24"/>
          <w:szCs w:val="24"/>
          <w:u w:val="single"/>
        </w:rPr>
      </w:pPr>
    </w:p>
    <w:p w:rsidR="008978F8" w:rsidRPr="008E47EA" w:rsidRDefault="008E47EA">
      <w:pPr>
        <w:spacing w:line="240" w:lineRule="auto"/>
        <w:jc w:val="center"/>
        <w:rPr>
          <w:rFonts w:eastAsia="Times New Roman"/>
          <w:b/>
          <w:sz w:val="24"/>
          <w:szCs w:val="24"/>
          <w:u w:val="single"/>
        </w:rPr>
      </w:pPr>
      <w:r w:rsidRPr="008E47EA">
        <w:rPr>
          <w:rFonts w:eastAsia="Times New Roman"/>
          <w:b/>
          <w:sz w:val="24"/>
          <w:szCs w:val="24"/>
          <w:u w:val="single"/>
        </w:rPr>
        <w:t>Appendices</w:t>
      </w:r>
    </w:p>
    <w:p w:rsidR="008978F8" w:rsidRPr="008E47EA" w:rsidRDefault="008978F8">
      <w:pPr>
        <w:spacing w:line="240" w:lineRule="auto"/>
        <w:rPr>
          <w:rFonts w:eastAsia="Times New Roman"/>
          <w:b/>
          <w:sz w:val="24"/>
          <w:szCs w:val="24"/>
        </w:rPr>
      </w:pPr>
    </w:p>
    <w:p w:rsidR="008978F8" w:rsidRPr="008E47EA" w:rsidRDefault="008E47EA">
      <w:pPr>
        <w:spacing w:line="240" w:lineRule="auto"/>
        <w:rPr>
          <w:rFonts w:eastAsia="Times New Roman"/>
          <w:sz w:val="24"/>
          <w:szCs w:val="24"/>
        </w:rPr>
      </w:pPr>
      <w:r w:rsidRPr="008E47EA">
        <w:rPr>
          <w:rFonts w:eastAsia="Times New Roman"/>
          <w:sz w:val="24"/>
          <w:szCs w:val="24"/>
        </w:rPr>
        <w:t>Appendix 1</w:t>
      </w:r>
    </w:p>
    <w:p w:rsidR="008978F8" w:rsidRPr="008E47EA" w:rsidRDefault="008978F8">
      <w:pPr>
        <w:spacing w:line="240" w:lineRule="auto"/>
        <w:rPr>
          <w:rFonts w:eastAsia="Times New Roman"/>
          <w:sz w:val="24"/>
          <w:szCs w:val="24"/>
        </w:rPr>
      </w:pPr>
    </w:p>
    <w:p w:rsidR="008978F8" w:rsidRPr="008E47EA" w:rsidRDefault="008E47EA">
      <w:pPr>
        <w:spacing w:line="240" w:lineRule="auto"/>
        <w:rPr>
          <w:rFonts w:eastAsia="Times New Roman"/>
          <w:sz w:val="24"/>
          <w:szCs w:val="24"/>
        </w:rPr>
      </w:pPr>
      <w:r w:rsidRPr="008E47EA">
        <w:rPr>
          <w:rFonts w:eastAsia="Times New Roman"/>
          <w:noProof/>
          <w:sz w:val="24"/>
          <w:szCs w:val="24"/>
        </w:rPr>
        <w:drawing>
          <wp:inline distT="114300" distB="114300" distL="114300" distR="114300">
            <wp:extent cx="5734050" cy="3225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7"/>
                    <a:srcRect/>
                    <a:stretch>
                      <a:fillRect/>
                    </a:stretch>
                  </pic:blipFill>
                  <pic:spPr>
                    <a:xfrm>
                      <a:off x="0" y="0"/>
                      <a:ext cx="5734050" cy="3225800"/>
                    </a:xfrm>
                    <a:prstGeom prst="rect">
                      <a:avLst/>
                    </a:prstGeom>
                    <a:ln/>
                  </pic:spPr>
                </pic:pic>
              </a:graphicData>
            </a:graphic>
          </wp:inline>
        </w:drawing>
      </w:r>
    </w:p>
    <w:p w:rsidR="008978F8" w:rsidRPr="008E47EA" w:rsidRDefault="008978F8">
      <w:pPr>
        <w:spacing w:line="240" w:lineRule="auto"/>
        <w:rPr>
          <w:rFonts w:eastAsia="Times New Roman"/>
          <w:sz w:val="24"/>
          <w:szCs w:val="24"/>
        </w:rPr>
      </w:pPr>
    </w:p>
    <w:p w:rsidR="008978F8" w:rsidRPr="008E47EA" w:rsidRDefault="008E47EA">
      <w:pPr>
        <w:spacing w:line="240" w:lineRule="auto"/>
        <w:rPr>
          <w:rFonts w:eastAsia="Times New Roman"/>
          <w:sz w:val="24"/>
          <w:szCs w:val="24"/>
        </w:rPr>
      </w:pPr>
      <w:r w:rsidRPr="008E47EA">
        <w:rPr>
          <w:rFonts w:eastAsia="Times New Roman"/>
          <w:sz w:val="24"/>
          <w:szCs w:val="24"/>
        </w:rPr>
        <w:t>Personal photo/screenshot showing the random tool selection process of a fictional class on the ClassDojo website. Available at:</w:t>
      </w:r>
    </w:p>
    <w:p w:rsidR="008978F8" w:rsidRPr="008E47EA" w:rsidRDefault="003B0BAF">
      <w:pPr>
        <w:spacing w:line="240" w:lineRule="auto"/>
        <w:rPr>
          <w:rFonts w:eastAsia="Times New Roman"/>
          <w:sz w:val="24"/>
          <w:szCs w:val="24"/>
        </w:rPr>
      </w:pPr>
      <w:hyperlink r:id="rId28" w:anchor="/classes/5c0f8b73fd589600140f710e/points">
        <w:r w:rsidR="008E47EA" w:rsidRPr="008E47EA">
          <w:rPr>
            <w:rFonts w:eastAsia="Times New Roman"/>
            <w:sz w:val="24"/>
            <w:szCs w:val="24"/>
            <w:u w:val="single"/>
          </w:rPr>
          <w:t>https://teach.classdojo.com/#/classes/5c0f8b73fd589600140f710e/points</w:t>
        </w:r>
      </w:hyperlink>
      <w:r w:rsidR="008E47EA" w:rsidRPr="008E47EA">
        <w:rPr>
          <w:rFonts w:eastAsia="Times New Roman"/>
          <w:sz w:val="24"/>
          <w:szCs w:val="24"/>
        </w:rPr>
        <w:t xml:space="preserve"> (Accessed: 9th December 2018).</w:t>
      </w: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Default="008E47EA">
      <w:pPr>
        <w:spacing w:line="240" w:lineRule="auto"/>
        <w:rPr>
          <w:rFonts w:eastAsia="Times New Roman"/>
          <w:sz w:val="24"/>
          <w:szCs w:val="24"/>
        </w:rPr>
      </w:pPr>
      <w:r w:rsidRPr="008E47EA">
        <w:rPr>
          <w:rFonts w:eastAsia="Times New Roman"/>
          <w:sz w:val="24"/>
          <w:szCs w:val="24"/>
        </w:rPr>
        <w:lastRenderedPageBreak/>
        <w:t>Appendix 2</w:t>
      </w:r>
    </w:p>
    <w:p w:rsidR="008E47EA" w:rsidRPr="008E47EA" w:rsidRDefault="008E47EA">
      <w:pPr>
        <w:spacing w:line="240" w:lineRule="auto"/>
        <w:rPr>
          <w:rFonts w:eastAsia="Times New Roman"/>
          <w:sz w:val="24"/>
          <w:szCs w:val="24"/>
        </w:rPr>
      </w:pPr>
    </w:p>
    <w:p w:rsidR="008978F8" w:rsidRPr="008E47EA" w:rsidRDefault="008E47EA">
      <w:pPr>
        <w:spacing w:line="240" w:lineRule="auto"/>
        <w:rPr>
          <w:rFonts w:eastAsia="Times New Roman"/>
          <w:sz w:val="24"/>
          <w:szCs w:val="24"/>
        </w:rPr>
      </w:pPr>
      <w:r w:rsidRPr="008E47EA">
        <w:rPr>
          <w:rFonts w:eastAsia="Times New Roman"/>
          <w:noProof/>
          <w:sz w:val="24"/>
          <w:szCs w:val="24"/>
        </w:rPr>
        <w:drawing>
          <wp:inline distT="114300" distB="114300" distL="114300" distR="114300">
            <wp:extent cx="5734050" cy="5168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5734050" cy="5168900"/>
                    </a:xfrm>
                    <a:prstGeom prst="rect">
                      <a:avLst/>
                    </a:prstGeom>
                    <a:ln/>
                  </pic:spPr>
                </pic:pic>
              </a:graphicData>
            </a:graphic>
          </wp:inline>
        </w:drawing>
      </w:r>
    </w:p>
    <w:p w:rsidR="008978F8" w:rsidRPr="008E47EA" w:rsidRDefault="008978F8">
      <w:pPr>
        <w:spacing w:line="240" w:lineRule="auto"/>
        <w:rPr>
          <w:rFonts w:eastAsia="Times New Roman"/>
          <w:sz w:val="24"/>
          <w:szCs w:val="24"/>
        </w:rPr>
      </w:pPr>
    </w:p>
    <w:p w:rsidR="008978F8" w:rsidRPr="008E47EA" w:rsidRDefault="008E47EA">
      <w:pPr>
        <w:spacing w:line="240" w:lineRule="auto"/>
        <w:rPr>
          <w:rFonts w:eastAsia="Times New Roman"/>
          <w:sz w:val="24"/>
          <w:szCs w:val="24"/>
        </w:rPr>
      </w:pPr>
      <w:r w:rsidRPr="008E47EA">
        <w:rPr>
          <w:rFonts w:eastAsia="Times New Roman"/>
          <w:sz w:val="24"/>
          <w:szCs w:val="24"/>
        </w:rPr>
        <w:t xml:space="preserve">Personal photo/screen shot showing the various toolkit options on a fictional class page on ClassDojo website. Available at: </w:t>
      </w:r>
    </w:p>
    <w:p w:rsidR="008978F8" w:rsidRPr="008E47EA" w:rsidRDefault="008E47EA">
      <w:pPr>
        <w:spacing w:line="240" w:lineRule="auto"/>
        <w:rPr>
          <w:rFonts w:eastAsia="Times New Roman"/>
          <w:sz w:val="24"/>
          <w:szCs w:val="24"/>
        </w:rPr>
      </w:pPr>
      <w:r w:rsidRPr="008E47EA">
        <w:rPr>
          <w:rFonts w:eastAsia="Times New Roman"/>
          <w:sz w:val="24"/>
          <w:szCs w:val="24"/>
        </w:rPr>
        <w:t>https://teach.classdojo.com/#/classes/5c0f8b73fd589600140f710e/points (Accessed: 9th December 2018)</w:t>
      </w: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978F8">
      <w:pPr>
        <w:spacing w:line="240" w:lineRule="auto"/>
        <w:rPr>
          <w:rFonts w:eastAsia="Times New Roman"/>
          <w:sz w:val="24"/>
          <w:szCs w:val="24"/>
        </w:rPr>
      </w:pPr>
    </w:p>
    <w:p w:rsidR="008978F8" w:rsidRPr="008E47EA" w:rsidRDefault="008E47EA">
      <w:pPr>
        <w:spacing w:line="240" w:lineRule="auto"/>
        <w:rPr>
          <w:rFonts w:eastAsia="Times New Roman"/>
          <w:sz w:val="24"/>
          <w:szCs w:val="24"/>
        </w:rPr>
      </w:pPr>
      <w:r w:rsidRPr="008E47EA">
        <w:rPr>
          <w:rFonts w:eastAsia="Times New Roman"/>
          <w:sz w:val="24"/>
          <w:szCs w:val="24"/>
        </w:rPr>
        <w:t>Appendix 3</w:t>
      </w:r>
    </w:p>
    <w:p w:rsidR="008978F8" w:rsidRPr="008E47EA" w:rsidRDefault="008978F8">
      <w:pPr>
        <w:spacing w:line="240" w:lineRule="auto"/>
        <w:rPr>
          <w:rFonts w:eastAsia="Times New Roman"/>
          <w:sz w:val="24"/>
          <w:szCs w:val="24"/>
        </w:rPr>
      </w:pPr>
    </w:p>
    <w:p w:rsidR="008978F8" w:rsidRPr="008E47EA" w:rsidRDefault="008E47EA">
      <w:pPr>
        <w:spacing w:line="240" w:lineRule="auto"/>
        <w:rPr>
          <w:rFonts w:eastAsia="Times New Roman"/>
          <w:sz w:val="24"/>
          <w:szCs w:val="24"/>
        </w:rPr>
      </w:pPr>
      <w:r w:rsidRPr="008E47EA">
        <w:rPr>
          <w:rFonts w:eastAsia="Times New Roman"/>
          <w:noProof/>
          <w:sz w:val="24"/>
          <w:szCs w:val="24"/>
        </w:rPr>
        <w:drawing>
          <wp:inline distT="114300" distB="114300" distL="114300" distR="114300">
            <wp:extent cx="5734050" cy="8077200"/>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30"/>
                    <a:srcRect/>
                    <a:stretch>
                      <a:fillRect/>
                    </a:stretch>
                  </pic:blipFill>
                  <pic:spPr>
                    <a:xfrm>
                      <a:off x="0" y="0"/>
                      <a:ext cx="5734050" cy="8077200"/>
                    </a:xfrm>
                    <a:prstGeom prst="rect">
                      <a:avLst/>
                    </a:prstGeom>
                    <a:ln/>
                  </pic:spPr>
                </pic:pic>
              </a:graphicData>
            </a:graphic>
          </wp:inline>
        </w:drawing>
      </w:r>
    </w:p>
    <w:sectPr w:rsidR="008978F8" w:rsidRPr="008E47EA">
      <w:headerReference w:type="default" r:id="rId31"/>
      <w:footerReference w:type="default" r:id="rId3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5B77" w:rsidRDefault="008E47EA">
      <w:pPr>
        <w:spacing w:line="240" w:lineRule="auto"/>
      </w:pPr>
      <w:r>
        <w:separator/>
      </w:r>
    </w:p>
  </w:endnote>
  <w:endnote w:type="continuationSeparator" w:id="0">
    <w:p w:rsidR="00A95B77" w:rsidRDefault="008E47E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78F8" w:rsidRDefault="008E47EA">
    <w:pPr>
      <w:jc w:val="right"/>
    </w:pPr>
    <w:r>
      <w:t xml:space="preserve">Page </w:t>
    </w: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5B77" w:rsidRDefault="008E47EA">
      <w:pPr>
        <w:spacing w:line="240" w:lineRule="auto"/>
      </w:pPr>
      <w:r>
        <w:separator/>
      </w:r>
    </w:p>
  </w:footnote>
  <w:footnote w:type="continuationSeparator" w:id="0">
    <w:p w:rsidR="00A95B77" w:rsidRDefault="008E47E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978F8" w:rsidRDefault="008E47EA">
    <w:pPr>
      <w:jc w:val="right"/>
    </w:pPr>
    <w:r>
      <w:t>Student number 1702088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8978F8"/>
    <w:rsid w:val="003B0BAF"/>
    <w:rsid w:val="008978F8"/>
    <w:rsid w:val="008E47EA"/>
    <w:rsid w:val="00A95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33EE78"/>
  <w15:docId w15:val="{9037D636-3EEA-487C-B0E3-D4E6BBF97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bbc.co.uk/news/education-11090044" TargetMode="External"/><Relationship Id="rId13" Type="http://schemas.openxmlformats.org/officeDocument/2006/relationships/hyperlink" Target="https://www.youtube.com/watch?v=TTXrV0_3UjY" TargetMode="External"/><Relationship Id="rId18" Type="http://schemas.openxmlformats.org/officeDocument/2006/relationships/hyperlink" Target="https://www.youtube.com/watch?v=Y5cX9hdUXpk" TargetMode="External"/><Relationship Id="rId26" Type="http://schemas.openxmlformats.org/officeDocument/2006/relationships/hyperlink" Target="http://learning.gov.wales/docs/learningwales/publications/150717-nc-english-en-v3.pdf" TargetMode="External"/><Relationship Id="rId3" Type="http://schemas.openxmlformats.org/officeDocument/2006/relationships/webSettings" Target="webSettings.xml"/><Relationship Id="rId21" Type="http://schemas.openxmlformats.org/officeDocument/2006/relationships/hyperlink" Target="https://www.tes.com/news/forget-about-assessing-learning-after-lessons" TargetMode="External"/><Relationship Id="rId34" Type="http://schemas.openxmlformats.org/officeDocument/2006/relationships/theme" Target="theme/theme1.xml"/><Relationship Id="rId7" Type="http://schemas.openxmlformats.org/officeDocument/2006/relationships/hyperlink" Target="https://www.aaia.org.uk/content/uploads/2010/06/Assessment-for-Learning-10-principles.pdf" TargetMode="External"/><Relationship Id="rId12" Type="http://schemas.openxmlformats.org/officeDocument/2006/relationships/hyperlink" Target="https://www.dylanwiliamcenter.com/practical-ideas-for-classroom-formative-assessment/" TargetMode="External"/><Relationship Id="rId17" Type="http://schemas.openxmlformats.org/officeDocument/2006/relationships/hyperlink" Target="https://www.estyn.gov.wales/effective-practice/assessment-learning-and-thinking-skills" TargetMode="External"/><Relationship Id="rId25" Type="http://schemas.openxmlformats.org/officeDocument/2006/relationships/hyperlink" Target="https://beta.gov.wales/sites/default/files/publications/2018-02/foundation-phase-framework-revised-2015.pdf"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styn.gov.wales/sites/default/files/documents/Estyn_Annual%20Report_2018_English_Accessible.pdf" TargetMode="External"/><Relationship Id="rId20" Type="http://schemas.openxmlformats.org/officeDocument/2006/relationships/hyperlink" Target="https://www.tes.com/news/assessment-learning-has-fallen-prey-gimmicks-says-critic" TargetMode="External"/><Relationship Id="rId29" Type="http://schemas.openxmlformats.org/officeDocument/2006/relationships/image" Target="media/image3.png"/><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dylanwiliamcenter.com/practical-ideas-for-classroom-formative-assessment/" TargetMode="External"/><Relationship Id="rId24" Type="http://schemas.openxmlformats.org/officeDocument/2006/relationships/hyperlink" Target="http://learning.gov.wales/docs/learningwales/publications/130429how-to-develop-thinking-en.pdf"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styn.gov.wales/effective-practice/using-assessment-learning-close-gaps-pupils%E2%80%99-learning" TargetMode="External"/><Relationship Id="rId23" Type="http://schemas.openxmlformats.org/officeDocument/2006/relationships/hyperlink" Target="http://learning.gov.wales/docs/learningwales/publications/130425-making-the-most-en.pdf" TargetMode="External"/><Relationship Id="rId28" Type="http://schemas.openxmlformats.org/officeDocument/2006/relationships/hyperlink" Target="https://teach.classdojo.com/" TargetMode="External"/><Relationship Id="rId10" Type="http://schemas.openxmlformats.org/officeDocument/2006/relationships/hyperlink" Target="https://www.classdojo.com/en-gb/toolkit/?redirect=true" TargetMode="External"/><Relationship Id="rId19" Type="http://schemas.openxmlformats.org/officeDocument/2006/relationships/hyperlink" Target="https://www.stem.org.uk/resources/elibrary/resource/273227/john-hattie-learning-intentions-and-success-criteria"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bc.co.uk/news/education-11090044" TargetMode="External"/><Relationship Id="rId14" Type="http://schemas.openxmlformats.org/officeDocument/2006/relationships/hyperlink" Target="https://www.telegraph.co.uk/education/educationnews/11850350/Hands-up-Bring-back-the-practice-into-the-classroom-says-government-behavioural-tsar.html" TargetMode="External"/><Relationship Id="rId22" Type="http://schemas.openxmlformats.org/officeDocument/2006/relationships/hyperlink" Target="http://gov.wales/legislation/subordinate/nonsi/educationwales/2009/3220099/?lang=en" TargetMode="External"/><Relationship Id="rId27" Type="http://schemas.openxmlformats.org/officeDocument/2006/relationships/image" Target="media/image2.png"/><Relationship Id="rId30"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14</Pages>
  <Words>3270</Words>
  <Characters>18639</Characters>
  <Application>Microsoft Office Word</Application>
  <DocSecurity>0</DocSecurity>
  <Lines>155</Lines>
  <Paragraphs>43</Paragraphs>
  <ScaleCrop>false</ScaleCrop>
  <Company/>
  <LinksUpToDate>false</LinksUpToDate>
  <CharactersWithSpaces>21866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Nadelle Davis (1702088)</cp:lastModifiedBy>
  <cp:revision>3</cp:revision>
  <dcterms:created xsi:type="dcterms:W3CDTF">2018-12-14T19:56:00Z</dcterms:created>
  <dcterms:modified xsi:type="dcterms:W3CDTF">2018-12-14T20:04:00Z</dcterms:modified>
</cp:coreProperties>
</file>