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3B204" w14:textId="77777777" w:rsidR="00B85170" w:rsidRDefault="00B85170" w:rsidP="00B85170">
      <w:pPr>
        <w:spacing w:line="360" w:lineRule="auto"/>
        <w:ind w:firstLine="720"/>
        <w:jc w:val="both"/>
        <w:rPr>
          <w:rFonts w:ascii="Arial" w:hAnsi="Arial" w:cs="Arial"/>
          <w:sz w:val="24"/>
          <w:szCs w:val="24"/>
        </w:rPr>
      </w:pPr>
    </w:p>
    <w:p w14:paraId="31110431" w14:textId="77777777" w:rsidR="00B85170" w:rsidRPr="00B85170" w:rsidRDefault="00B85170" w:rsidP="00B85170">
      <w:pPr>
        <w:spacing w:line="360" w:lineRule="auto"/>
        <w:ind w:firstLine="720"/>
        <w:jc w:val="center"/>
        <w:rPr>
          <w:rFonts w:ascii="Arial" w:hAnsi="Arial" w:cs="Arial"/>
          <w:b/>
          <w:bCs/>
          <w:sz w:val="32"/>
          <w:szCs w:val="32"/>
        </w:rPr>
      </w:pPr>
      <w:r w:rsidRPr="00B85170">
        <w:rPr>
          <w:rFonts w:ascii="Arial" w:hAnsi="Arial" w:cs="Arial"/>
          <w:b/>
          <w:bCs/>
          <w:sz w:val="32"/>
          <w:szCs w:val="32"/>
        </w:rPr>
        <w:t>A VISION OF CHANGE: SUSTAINABILITY IN THE HOTEL INDUSTRY</w:t>
      </w:r>
    </w:p>
    <w:p w14:paraId="32C902C9" w14:textId="77777777" w:rsidR="00BF781E" w:rsidRDefault="00BF781E" w:rsidP="00B85170">
      <w:pPr>
        <w:jc w:val="center"/>
        <w:rPr>
          <w:rFonts w:ascii="Arial" w:hAnsi="Arial" w:cs="Arial"/>
          <w:sz w:val="44"/>
          <w:szCs w:val="44"/>
        </w:rPr>
      </w:pPr>
    </w:p>
    <w:p w14:paraId="3C006B05" w14:textId="77777777" w:rsidR="00B85170" w:rsidRDefault="00B85170" w:rsidP="00B85170">
      <w:pPr>
        <w:jc w:val="center"/>
        <w:rPr>
          <w:rFonts w:ascii="Arial" w:hAnsi="Arial" w:cs="Arial"/>
          <w:sz w:val="44"/>
          <w:szCs w:val="44"/>
        </w:rPr>
      </w:pPr>
    </w:p>
    <w:p w14:paraId="409C41AA" w14:textId="77777777" w:rsidR="00B85170" w:rsidRDefault="00B85170" w:rsidP="00B85170">
      <w:pPr>
        <w:rPr>
          <w:rFonts w:ascii="Arial" w:hAnsi="Arial" w:cs="Arial"/>
          <w:b/>
          <w:bCs/>
          <w:sz w:val="28"/>
          <w:szCs w:val="28"/>
        </w:rPr>
      </w:pPr>
    </w:p>
    <w:p w14:paraId="3E13AEFF" w14:textId="77777777" w:rsidR="00B85170" w:rsidRDefault="00B85170" w:rsidP="00B85170">
      <w:pPr>
        <w:rPr>
          <w:rFonts w:ascii="Arial" w:hAnsi="Arial" w:cs="Arial"/>
          <w:b/>
          <w:bCs/>
          <w:sz w:val="28"/>
          <w:szCs w:val="28"/>
        </w:rPr>
      </w:pPr>
    </w:p>
    <w:p w14:paraId="26A816FF" w14:textId="77777777" w:rsidR="00B85170" w:rsidRDefault="00B85170" w:rsidP="00B85170">
      <w:pPr>
        <w:rPr>
          <w:rFonts w:ascii="Arial" w:hAnsi="Arial" w:cs="Arial"/>
          <w:b/>
          <w:bCs/>
          <w:sz w:val="28"/>
          <w:szCs w:val="28"/>
        </w:rPr>
      </w:pPr>
    </w:p>
    <w:p w14:paraId="307960BC" w14:textId="142D3DC9" w:rsidR="00B85170" w:rsidRDefault="00B85170" w:rsidP="00B85170">
      <w:pPr>
        <w:rPr>
          <w:rFonts w:ascii="Arial" w:hAnsi="Arial" w:cs="Arial"/>
          <w:b/>
          <w:bCs/>
          <w:sz w:val="28"/>
          <w:szCs w:val="28"/>
        </w:rPr>
      </w:pPr>
      <w:r>
        <w:rPr>
          <w:rFonts w:ascii="Arial" w:hAnsi="Arial" w:cs="Arial"/>
          <w:b/>
          <w:bCs/>
          <w:sz w:val="28"/>
          <w:szCs w:val="28"/>
        </w:rPr>
        <w:t>Student name : Cristina Cornea</w:t>
      </w:r>
    </w:p>
    <w:p w14:paraId="1F4E9F78" w14:textId="3D174728" w:rsidR="00B85170" w:rsidRDefault="00B85170" w:rsidP="00B85170">
      <w:pPr>
        <w:rPr>
          <w:rFonts w:ascii="Arial" w:hAnsi="Arial" w:cs="Arial"/>
          <w:b/>
          <w:bCs/>
          <w:sz w:val="28"/>
          <w:szCs w:val="28"/>
        </w:rPr>
      </w:pPr>
      <w:r>
        <w:rPr>
          <w:rFonts w:ascii="Arial" w:hAnsi="Arial" w:cs="Arial"/>
          <w:b/>
          <w:bCs/>
          <w:sz w:val="28"/>
          <w:szCs w:val="28"/>
        </w:rPr>
        <w:t>Student ID : 2117591</w:t>
      </w:r>
    </w:p>
    <w:p w14:paraId="5B25B729" w14:textId="783CA82B" w:rsidR="00B85170" w:rsidRDefault="00B85170" w:rsidP="00B85170">
      <w:pPr>
        <w:rPr>
          <w:rFonts w:ascii="Arial" w:hAnsi="Arial" w:cs="Arial"/>
          <w:b/>
          <w:bCs/>
          <w:sz w:val="28"/>
          <w:szCs w:val="28"/>
        </w:rPr>
      </w:pPr>
      <w:r>
        <w:rPr>
          <w:rFonts w:ascii="Arial" w:hAnsi="Arial" w:cs="Arial"/>
          <w:b/>
          <w:bCs/>
          <w:sz w:val="28"/>
          <w:szCs w:val="28"/>
        </w:rPr>
        <w:t>Lecturer : Kathryn Roberts</w:t>
      </w:r>
    </w:p>
    <w:p w14:paraId="5C59BD6F" w14:textId="50ABDB3C" w:rsidR="00B85170" w:rsidRDefault="00B85170" w:rsidP="00B85170">
      <w:pPr>
        <w:rPr>
          <w:rFonts w:ascii="Arial" w:hAnsi="Arial" w:cs="Arial"/>
          <w:b/>
          <w:bCs/>
          <w:sz w:val="28"/>
          <w:szCs w:val="28"/>
        </w:rPr>
      </w:pPr>
      <w:r>
        <w:rPr>
          <w:rFonts w:ascii="Arial" w:hAnsi="Arial" w:cs="Arial"/>
          <w:b/>
          <w:bCs/>
          <w:sz w:val="28"/>
          <w:szCs w:val="28"/>
        </w:rPr>
        <w:t>Module : Sustainable Hospitality &amp; Tourism Management</w:t>
      </w:r>
    </w:p>
    <w:p w14:paraId="6A189476" w14:textId="77777777" w:rsidR="00B85170" w:rsidRDefault="00B85170" w:rsidP="00B85170">
      <w:pPr>
        <w:rPr>
          <w:rFonts w:ascii="Arial" w:hAnsi="Arial" w:cs="Arial"/>
          <w:b/>
          <w:bCs/>
          <w:sz w:val="28"/>
          <w:szCs w:val="28"/>
        </w:rPr>
      </w:pPr>
    </w:p>
    <w:p w14:paraId="5D9D7ACD" w14:textId="77777777" w:rsidR="00B85170" w:rsidRDefault="00B85170" w:rsidP="00B85170">
      <w:pPr>
        <w:rPr>
          <w:rFonts w:ascii="Arial" w:hAnsi="Arial" w:cs="Arial"/>
          <w:b/>
          <w:bCs/>
          <w:sz w:val="28"/>
          <w:szCs w:val="28"/>
        </w:rPr>
      </w:pPr>
    </w:p>
    <w:p w14:paraId="3E4C4056" w14:textId="77777777" w:rsidR="00B85170" w:rsidRDefault="00B85170" w:rsidP="00B85170">
      <w:pPr>
        <w:rPr>
          <w:rFonts w:ascii="Arial" w:hAnsi="Arial" w:cs="Arial"/>
          <w:b/>
          <w:bCs/>
          <w:sz w:val="28"/>
          <w:szCs w:val="28"/>
        </w:rPr>
      </w:pPr>
    </w:p>
    <w:p w14:paraId="37378719" w14:textId="77777777" w:rsidR="00B85170" w:rsidRDefault="00B85170" w:rsidP="00B85170">
      <w:pPr>
        <w:rPr>
          <w:rFonts w:ascii="Arial" w:hAnsi="Arial" w:cs="Arial"/>
          <w:b/>
          <w:bCs/>
          <w:sz w:val="28"/>
          <w:szCs w:val="28"/>
        </w:rPr>
      </w:pPr>
    </w:p>
    <w:p w14:paraId="7A47982D" w14:textId="77777777" w:rsidR="00B85170" w:rsidRDefault="00B85170" w:rsidP="00B85170">
      <w:pPr>
        <w:rPr>
          <w:rFonts w:ascii="Arial" w:hAnsi="Arial" w:cs="Arial"/>
          <w:b/>
          <w:bCs/>
          <w:sz w:val="28"/>
          <w:szCs w:val="28"/>
        </w:rPr>
      </w:pPr>
    </w:p>
    <w:p w14:paraId="25ED4597" w14:textId="77777777" w:rsidR="00B85170" w:rsidRDefault="00B85170" w:rsidP="00B85170">
      <w:pPr>
        <w:rPr>
          <w:rFonts w:ascii="Arial" w:hAnsi="Arial" w:cs="Arial"/>
          <w:b/>
          <w:bCs/>
          <w:sz w:val="28"/>
          <w:szCs w:val="28"/>
        </w:rPr>
      </w:pPr>
    </w:p>
    <w:p w14:paraId="27C23017" w14:textId="77777777" w:rsidR="00B85170" w:rsidRDefault="00B85170" w:rsidP="00B85170">
      <w:pPr>
        <w:rPr>
          <w:rFonts w:ascii="Arial" w:hAnsi="Arial" w:cs="Arial"/>
          <w:b/>
          <w:bCs/>
          <w:sz w:val="28"/>
          <w:szCs w:val="28"/>
        </w:rPr>
      </w:pPr>
    </w:p>
    <w:p w14:paraId="3DAE98AD" w14:textId="77777777" w:rsidR="00B85170" w:rsidRDefault="00B85170" w:rsidP="00B85170">
      <w:pPr>
        <w:rPr>
          <w:rFonts w:ascii="Arial" w:hAnsi="Arial" w:cs="Arial"/>
          <w:b/>
          <w:bCs/>
          <w:sz w:val="28"/>
          <w:szCs w:val="28"/>
        </w:rPr>
      </w:pPr>
    </w:p>
    <w:p w14:paraId="759B1B5B" w14:textId="77777777" w:rsidR="00B85170" w:rsidRDefault="00B85170" w:rsidP="00B85170">
      <w:pPr>
        <w:rPr>
          <w:rFonts w:ascii="Arial" w:hAnsi="Arial" w:cs="Arial"/>
          <w:b/>
          <w:bCs/>
          <w:sz w:val="28"/>
          <w:szCs w:val="28"/>
        </w:rPr>
      </w:pPr>
    </w:p>
    <w:p w14:paraId="67487F1A" w14:textId="77777777" w:rsidR="00B85170" w:rsidRDefault="00B85170" w:rsidP="00B85170">
      <w:pPr>
        <w:rPr>
          <w:rFonts w:ascii="Arial" w:hAnsi="Arial" w:cs="Arial"/>
          <w:b/>
          <w:bCs/>
          <w:sz w:val="28"/>
          <w:szCs w:val="28"/>
        </w:rPr>
      </w:pPr>
    </w:p>
    <w:p w14:paraId="4D5523C0" w14:textId="77777777" w:rsidR="00B85170" w:rsidRDefault="00B85170" w:rsidP="00B85170">
      <w:pPr>
        <w:rPr>
          <w:rFonts w:ascii="Arial" w:hAnsi="Arial" w:cs="Arial"/>
          <w:b/>
          <w:bCs/>
          <w:sz w:val="28"/>
          <w:szCs w:val="28"/>
        </w:rPr>
      </w:pPr>
    </w:p>
    <w:p w14:paraId="54BCE559" w14:textId="77777777" w:rsidR="00B85170" w:rsidRDefault="00B85170" w:rsidP="00B85170">
      <w:pPr>
        <w:rPr>
          <w:rFonts w:ascii="Arial" w:hAnsi="Arial" w:cs="Arial"/>
          <w:b/>
          <w:bCs/>
          <w:sz w:val="28"/>
          <w:szCs w:val="28"/>
        </w:rPr>
      </w:pPr>
    </w:p>
    <w:p w14:paraId="30B873E8" w14:textId="77777777" w:rsidR="00B85170" w:rsidRDefault="00B85170" w:rsidP="00B85170">
      <w:pPr>
        <w:rPr>
          <w:rFonts w:ascii="Arial" w:hAnsi="Arial" w:cs="Arial"/>
          <w:b/>
          <w:bCs/>
          <w:sz w:val="28"/>
          <w:szCs w:val="28"/>
        </w:rPr>
      </w:pPr>
    </w:p>
    <w:p w14:paraId="442CCEBB" w14:textId="77777777" w:rsidR="00B85170" w:rsidRDefault="00B85170" w:rsidP="00B85170">
      <w:pPr>
        <w:rPr>
          <w:rFonts w:ascii="Arial" w:hAnsi="Arial" w:cs="Arial"/>
          <w:b/>
          <w:bCs/>
          <w:sz w:val="28"/>
          <w:szCs w:val="28"/>
        </w:rPr>
      </w:pPr>
    </w:p>
    <w:p w14:paraId="57127E30"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lastRenderedPageBreak/>
        <w:t>The hospitality sector is well known for providing comfort and relaxation. However, it additionally holds an image of leaving a significant environmental impact. Concerns have been raised in an era when sustainability has emerged as a critical worldwide issue due to the enormous use of consumable products, energy, and water, as Costa and Costa (2022) elaborate. Adaptation of CSR strategies in the business world is gaining massive support as hoteliers seek mechanisms to address these issues, amplify customer loyalty, balance other stakeholders, and improve their brand image and social reputation. Customers today are attracted to environmentally conscious hotels as sustainable tourism sprouts much more positive impacts. CSR is a mechanism for evaluating hotel practices to enable customers to choose the right service providers (</w:t>
      </w:r>
      <w:r>
        <w:rPr>
          <w:rFonts w:ascii="Arial" w:hAnsi="Arial" w:cs="Arial"/>
          <w:sz w:val="24"/>
          <w:szCs w:val="24"/>
          <w:shd w:val="clear" w:color="auto" w:fill="FFFFFF"/>
        </w:rPr>
        <w:t>Tai, 2022).</w:t>
      </w:r>
      <w:r>
        <w:rPr>
          <w:rFonts w:ascii="Arial" w:hAnsi="Arial" w:cs="Arial"/>
          <w:sz w:val="24"/>
          <w:szCs w:val="24"/>
        </w:rPr>
        <w:t xml:space="preserve"> Linking CSR and circular economy has enhanced the steady growth of Hilton Hotel towards maintaining the industry's sustainability by implementing its CSR policies to conform to UK green practices. CSR, integral to sustainability, has seen many hoteliers promote the sustainability pillars to comply with governmental regulations. (</w:t>
      </w:r>
      <w:r>
        <w:rPr>
          <w:rFonts w:ascii="Arial" w:hAnsi="Arial" w:cs="Arial"/>
          <w:sz w:val="24"/>
          <w:szCs w:val="24"/>
          <w:shd w:val="clear" w:color="auto" w:fill="FFFFFF"/>
        </w:rPr>
        <w:t>Molina-Collado et al., 2022)</w:t>
      </w:r>
      <w:r>
        <w:rPr>
          <w:rFonts w:ascii="Arial" w:hAnsi="Arial" w:cs="Arial"/>
          <w:sz w:val="24"/>
          <w:szCs w:val="24"/>
        </w:rPr>
        <w:t>. This paper analyses sustainability in the hotel industry to provide an understanding of how CSR influenced sustainable tourism, its relationship to the triple bottom line concept, and circular economy, with Hilton Hotels being the focus of this essay.</w:t>
      </w:r>
    </w:p>
    <w:p w14:paraId="17F6B05C" w14:textId="77777777" w:rsidR="00B85170" w:rsidRDefault="00B85170" w:rsidP="00B85170">
      <w:pPr>
        <w:spacing w:line="360" w:lineRule="auto"/>
        <w:ind w:firstLine="720"/>
        <w:jc w:val="center"/>
        <w:rPr>
          <w:rFonts w:ascii="Arial" w:hAnsi="Arial" w:cs="Arial"/>
          <w:b/>
          <w:bCs/>
          <w:sz w:val="24"/>
          <w:szCs w:val="24"/>
        </w:rPr>
      </w:pPr>
      <w:r w:rsidRPr="00B85170">
        <w:rPr>
          <w:rFonts w:ascii="Arial" w:hAnsi="Arial" w:cs="Arial"/>
          <w:b/>
          <w:bCs/>
          <w:sz w:val="24"/>
          <w:szCs w:val="24"/>
        </w:rPr>
        <w:t>Hilton Hotel CSR Policy Practices</w:t>
      </w:r>
    </w:p>
    <w:p w14:paraId="0909F182"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The utilisation of CSR by many hoteliers is increasing daily in the UK. Every business is committed to aligning daily activities with social, economic, and environmental objectives. Hilton Hotel has integrated the CSR benefits into its operations, and sustainable tourism has been realised. The success of the CSR in Hilton Hotel is attributed to the business concerns such as government pressure and competitor's actions. The governmental pressure arises with the UK government demanding the hotel to address the outstanding social and environmental issues (</w:t>
      </w:r>
      <w:r>
        <w:rPr>
          <w:rFonts w:ascii="Arial" w:hAnsi="Arial" w:cs="Arial"/>
          <w:color w:val="222222"/>
          <w:sz w:val="24"/>
          <w:szCs w:val="24"/>
          <w:shd w:val="clear" w:color="auto" w:fill="FFFFFF"/>
        </w:rPr>
        <w:t>Calisto et al., 2021).</w:t>
      </w:r>
      <w:r>
        <w:rPr>
          <w:rFonts w:ascii="Arial" w:hAnsi="Arial" w:cs="Arial"/>
          <w:sz w:val="24"/>
          <w:szCs w:val="24"/>
        </w:rPr>
        <w:t xml:space="preserve"> Every hotelier in the UK is expected to legally comply with the standards of waste management and energy consumption. Government initiatives such as tax incentives and subsidies have enhanced businesses to address carbon footprints, biodiversity conservation, and waste management. The carbon footprint has influenced negative environmental and water impacts, such as rainwater acidification, climate change, and air pollution. </w:t>
      </w:r>
    </w:p>
    <w:p w14:paraId="5D82B3D5"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lastRenderedPageBreak/>
        <w:t xml:space="preserve">To avoid legal penalties and promote its brand image, Hilton Hotels has established various strategies through its CSR sustainability pillars to combat growing concerns. The sustainable practices align with the UK government's Climate Change Act of 2008, which outlined the methods to be adopted by all hoteliers. On the other hand, Hilton's competitors' actions concerning environmental sustainability have rekindled stiff competition, which is critical in shaping customer preferences today (Costa and Costa, 2022). The hotel's CSR social performance, evaluated through content and impact analysis, fosters an understanding of the eco-friendly sustainable development initiatives for the community and other stakeholders. As Ali (2016) validates, consumer tastes and preferences are changing daily, with consumers' purchasing power influenced by environmentally friendly practices like green transport, including cycling and hiking, over enjoyable practices that negatively affect their survival. Green transport system contributes to a reduction in carbon emissions by 70% as compared to other means of transportation such as car. </w:t>
      </w:r>
    </w:p>
    <w:p w14:paraId="7A39E7A3"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 xml:space="preserve">The hotels' social, economic, and environmental impacts significantly influence consumer product choices and their relevance in the competition. Therefore, the corporate agenda initiatives of the Hilton Hotel ought to promote green tourism. In addition, the tremendous positive change in consumer demands is among the significant reasons why Hilton Hotel is promoting the implementation of its CSR policies and annually making reports publications for the public and other stakeholders to give opinions and recommendations (Youn, Lee, and Lee, 2018). The tourism industry giants understand that maintaining sustainability through positive initiatives is an ethical responsibility and a competitive advantage over competitors, as modern consumers are sensitive to the environment and social impacts. The corporate culture is found to be contributing to the efficiency of the business operations, both in cost and utility efficiency. Hilton Hotel's CSR policy initiatives are built around the sustainability pillar practices and the circular economy. </w:t>
      </w:r>
    </w:p>
    <w:p w14:paraId="2CFEDD85" w14:textId="77777777" w:rsidR="00B85170" w:rsidRDefault="00B85170" w:rsidP="00B85170">
      <w:pPr>
        <w:pStyle w:val="Heading1"/>
        <w:rPr>
          <w:rFonts w:cs="Arial"/>
          <w:b/>
          <w:bCs/>
          <w:szCs w:val="24"/>
        </w:rPr>
      </w:pPr>
      <w:r w:rsidRPr="00B85170">
        <w:rPr>
          <w:rFonts w:cs="Arial"/>
          <w:b/>
          <w:bCs/>
          <w:szCs w:val="24"/>
        </w:rPr>
        <w:t>CSR Sustainability Pillars Integration and Link to Circular Economy</w:t>
      </w:r>
    </w:p>
    <w:p w14:paraId="74C984DC" w14:textId="6DA1E6FE"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 xml:space="preserve">The purpose of integrating the sustainability pillars, social, economic, and environmental, in Hilton Hotel's CSR policy is to create sustainable tourism that positively impacts society. According to Hilton (2019), since 2008, CSR agenda adaptation has been impactful, as it has led to technological efficiency, resulting in a reduction in carbon emissions by 30%, waste management by 32%, reduced energy </w:t>
      </w:r>
      <w:r>
        <w:rPr>
          <w:rFonts w:ascii="Arial" w:hAnsi="Arial" w:cs="Arial"/>
          <w:sz w:val="24"/>
          <w:szCs w:val="24"/>
        </w:rPr>
        <w:lastRenderedPageBreak/>
        <w:t xml:space="preserve">consumption by 22%, and the reduction in water usage by 22%. The positive societal impacts play a vital role in shaping the community's development, conserving natural resources such as water and energy, and promoting environmental efficiency (Hilton, 2019). The corporate agenda of the hotel is to make the world a </w:t>
      </w:r>
      <w:r w:rsidR="00BF781E">
        <w:rPr>
          <w:rFonts w:ascii="Arial" w:hAnsi="Arial" w:cs="Arial"/>
          <w:sz w:val="24"/>
          <w:szCs w:val="24"/>
        </w:rPr>
        <w:t>liveable</w:t>
      </w:r>
      <w:r>
        <w:rPr>
          <w:rFonts w:ascii="Arial" w:hAnsi="Arial" w:cs="Arial"/>
          <w:sz w:val="24"/>
          <w:szCs w:val="24"/>
        </w:rPr>
        <w:t xml:space="preserve"> place that fosters equity and viability in both economic and environmental variables. Cooper (2021) states that social variables are essential as they lead to community development, while ecological variables safeguard the people's present and future while serving their current needs by conserving natural resources. </w:t>
      </w:r>
    </w:p>
    <w:p w14:paraId="71FAD74B"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Through waste management, conservation strategies, and circular economy evaluation, Hilton Hotel is committed to achieving sustainability with a less environmental footprint. Hilton focuses on energy-saving practices to protect the environment from exploitation. In 2018, the hotel aimed to reduce carbon emissions by 61% by 2030 and realise zero waste dumping in the background. The target aligns with the UK government's Climate Change Act 2018, establishing legal targets to reduce greenhouse emissions. The CSR performance indicators have helped the hotel track its progress in attaining less carbon volume through its operations. Hilton Hotel has most operations certified by industrial frameworks such as the Building Research Establishment Environmental Assessment Method (BREEAM) to show its commitment and accountability in assessing sustainability (</w:t>
      </w:r>
      <w:r>
        <w:rPr>
          <w:rFonts w:ascii="Arial" w:hAnsi="Arial" w:cs="Arial"/>
          <w:sz w:val="24"/>
          <w:szCs w:val="24"/>
          <w:shd w:val="clear" w:color="auto" w:fill="FFFFFF"/>
        </w:rPr>
        <w:t>Awadh, 2017).</w:t>
      </w:r>
      <w:r>
        <w:rPr>
          <w:rFonts w:ascii="Arial" w:hAnsi="Arial" w:cs="Arial"/>
          <w:sz w:val="24"/>
          <w:szCs w:val="24"/>
        </w:rPr>
        <w:t xml:space="preserve"> The CSR implementation frameworks make it easy for the industry consumer to evaluate and accurately compare the efforts and performance of every UK hotel toward conserving the environment. </w:t>
      </w:r>
    </w:p>
    <w:p w14:paraId="3F223D53"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 xml:space="preserve">Moreover, sustainability is a business concern and an opportunity to improve consumer services. Technological innovations have made hotel operations to be energy-efficient and less costly. Creating water management systems, waste management measures such as recycling programs, and energy conservation measures across all its properties have improved the hotel's performance and maximum utilisation of scarce natural resources (Batabyal, 2018). Hilton Hotel has installed energy-saving technologies such as occupancy sensors to switch lights off when guests are not in the room to optimise energy consumption monitors. It has also established an information initiative such as reusing towels and toiletries and avoiding leaving running taps to encourage guests to embrace sustainability by conserving water in the rooms. In addition, the water-flow technology installation has contributed </w:t>
      </w:r>
      <w:r>
        <w:rPr>
          <w:rFonts w:ascii="Arial" w:hAnsi="Arial" w:cs="Arial"/>
          <w:sz w:val="24"/>
          <w:szCs w:val="24"/>
        </w:rPr>
        <w:lastRenderedPageBreak/>
        <w:t xml:space="preserve">to reduced water usage across all the properties. </w:t>
      </w:r>
      <w:r>
        <w:rPr>
          <w:rFonts w:ascii="Arial" w:hAnsi="Arial" w:cs="Arial"/>
          <w:sz w:val="24"/>
          <w:szCs w:val="24"/>
          <w:shd w:val="clear" w:color="auto" w:fill="FFFFFF"/>
        </w:rPr>
        <w:t>Byrne and Lund (2019) assert that acceleration in the deployment and development of renewable energy has a positive significance to the environment in fighting emissions.</w:t>
      </w:r>
    </w:p>
    <w:p w14:paraId="1F977458"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In alignment with the UK Green Tourism Business schemes, Hilton Hotels has been committed to conserving natural resources and biodiversity through various ecosystem practices and waste management initiatives (</w:t>
      </w:r>
      <w:r>
        <w:rPr>
          <w:rFonts w:ascii="Arial" w:hAnsi="Arial" w:cs="Arial"/>
          <w:sz w:val="24"/>
          <w:szCs w:val="24"/>
          <w:shd w:val="clear" w:color="auto" w:fill="FFFFFF"/>
        </w:rPr>
        <w:t>Filimonau and Delysia, 2019)</w:t>
      </w:r>
      <w:r>
        <w:rPr>
          <w:rFonts w:ascii="Arial" w:hAnsi="Arial" w:cs="Arial"/>
          <w:sz w:val="24"/>
          <w:szCs w:val="24"/>
        </w:rPr>
        <w:t xml:space="preserve">. As long goals, green environmental practices such as planting trees around the hotel, using green transport, and using eco-furnished furniture in hotel rooms have helped the hotels minimise pollution, as </w:t>
      </w:r>
      <w:r>
        <w:rPr>
          <w:rFonts w:ascii="Arial" w:hAnsi="Arial" w:cs="Arial"/>
          <w:sz w:val="24"/>
          <w:szCs w:val="24"/>
          <w:shd w:val="clear" w:color="auto" w:fill="FFFFFF"/>
        </w:rPr>
        <w:t xml:space="preserve">Yousaf et al. (2021) elaborate. </w:t>
      </w:r>
      <w:r>
        <w:rPr>
          <w:rFonts w:ascii="Arial" w:hAnsi="Arial" w:cs="Arial"/>
          <w:sz w:val="24"/>
          <w:szCs w:val="24"/>
        </w:rPr>
        <w:t xml:space="preserve">The significance of the circular economy has cultivated continuous sustainability strategies to enhance CSR. As </w:t>
      </w:r>
      <w:r>
        <w:rPr>
          <w:rFonts w:ascii="Arial" w:hAnsi="Arial" w:cs="Arial"/>
          <w:color w:val="222222"/>
          <w:sz w:val="24"/>
          <w:szCs w:val="24"/>
          <w:shd w:val="clear" w:color="auto" w:fill="FFFFFF"/>
        </w:rPr>
        <w:t>El-Jourbagy et al.</w:t>
      </w:r>
      <w:r>
        <w:rPr>
          <w:rFonts w:ascii="Arial" w:hAnsi="Arial" w:cs="Arial"/>
          <w:sz w:val="24"/>
          <w:szCs w:val="24"/>
        </w:rPr>
        <w:t xml:space="preserve"> (2021) put it, ecological sustainability has had significant phases in civilisation, from setting the plastic bag limit to banning plastic bags to saving the environment from pollution. When applied by hoteliers, the principles of circular economy help minimise waste creation in the hotels, leading to reduced environmental footprints for a sustainable future. </w:t>
      </w:r>
      <w:r>
        <w:rPr>
          <w:rFonts w:ascii="Arial" w:hAnsi="Arial" w:cs="Arial"/>
          <w:color w:val="222222"/>
          <w:sz w:val="24"/>
          <w:szCs w:val="24"/>
          <w:shd w:val="clear" w:color="auto" w:fill="FFFFFF"/>
        </w:rPr>
        <w:t>Goh</w:t>
      </w:r>
      <w:r>
        <w:rPr>
          <w:rFonts w:ascii="Arial" w:hAnsi="Arial" w:cs="Arial"/>
          <w:sz w:val="24"/>
          <w:szCs w:val="24"/>
        </w:rPr>
        <w:t xml:space="preserve"> et al. (2022) outline that food and material waste, such as plastics and packaging, are among the most common waste and can be adequately managed through CSR practices, including food waste reduction programs and excess food donation programs. </w:t>
      </w:r>
    </w:p>
    <w:p w14:paraId="1057099F"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 xml:space="preserve">As the United Nations Food and Agriculture Organisation reported, from one-third of the food waste generated globally, a significant fraction of such waste is collected from hotels, signifying the amount of food thrown away. To create economic value and promote sustainability, Hilton Hotel has a food donation program collaborates with the Open Kitchen organisation to give out food to the less fortunate people in the local areas of their operations. </w:t>
      </w:r>
      <w:r>
        <w:rPr>
          <w:rFonts w:ascii="Arial" w:hAnsi="Arial" w:cs="Arial"/>
          <w:color w:val="222222"/>
          <w:sz w:val="24"/>
          <w:szCs w:val="24"/>
          <w:shd w:val="clear" w:color="auto" w:fill="FFFFFF"/>
        </w:rPr>
        <w:t xml:space="preserve">All the hotels have initiated a </w:t>
      </w:r>
      <w:r>
        <w:rPr>
          <w:rFonts w:ascii="Arial" w:hAnsi="Arial" w:cs="Arial"/>
          <w:sz w:val="24"/>
          <w:szCs w:val="24"/>
        </w:rPr>
        <w:t>compost program to dispose of the waste to enrich the soil rather than dispose of it in landfills (</w:t>
      </w:r>
      <w:r>
        <w:rPr>
          <w:rFonts w:ascii="Arial" w:hAnsi="Arial" w:cs="Arial"/>
          <w:color w:val="222222"/>
          <w:sz w:val="24"/>
          <w:szCs w:val="24"/>
          <w:shd w:val="clear" w:color="auto" w:fill="FFFFFF"/>
        </w:rPr>
        <w:t>Ruiz Molina et al., 2022).</w:t>
      </w:r>
      <w:r>
        <w:rPr>
          <w:rFonts w:ascii="Arial" w:hAnsi="Arial" w:cs="Arial"/>
          <w:sz w:val="24"/>
          <w:szCs w:val="24"/>
        </w:rPr>
        <w:t xml:space="preserve"> The integration of the circular principles in the CSR policy has enhanced the achievement of the top goals of Hilton and the delivery of quality customer services in all aspects. </w:t>
      </w:r>
      <w:r>
        <w:rPr>
          <w:rFonts w:ascii="Arial" w:hAnsi="Arial" w:cs="Arial"/>
          <w:color w:val="222222"/>
          <w:sz w:val="24"/>
          <w:szCs w:val="24"/>
          <w:shd w:val="clear" w:color="auto" w:fill="FFFFFF"/>
        </w:rPr>
        <w:t>Manniche, Larsen, and Broegaard (2021) found</w:t>
      </w:r>
      <w:r>
        <w:rPr>
          <w:rFonts w:ascii="Arial" w:hAnsi="Arial" w:cs="Arial"/>
          <w:sz w:val="24"/>
          <w:szCs w:val="24"/>
        </w:rPr>
        <w:t xml:space="preserve"> that the employee's willingness to implement CSR and the circular economy has increased the organisation's reputation, strengthened customer loyalty, and shaped the marketability model of the hotel, gaining a competitive edge. </w:t>
      </w:r>
    </w:p>
    <w:p w14:paraId="7618CE55" w14:textId="7903F99C"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lastRenderedPageBreak/>
        <w:t xml:space="preserve">In the economic pillar spectrum, Hilton has sought collaboration with the local manufacturers and suppliers of local goods and services to improve the local economy. With the growing scarcity of resources and emerging concerns on the social variables’ equity, business partnerships are growing focus on the businesses strategically maintaining sustainability. Having a strong and authentically achievable CSR, Hilton has been engaged in various partnerships that have seen it expand operations. </w:t>
      </w:r>
      <w:r>
        <w:rPr>
          <w:rFonts w:ascii="Arial" w:hAnsi="Arial" w:cs="Arial"/>
          <w:sz w:val="24"/>
          <w:szCs w:val="24"/>
          <w:shd w:val="clear" w:color="auto" w:fill="FFFFFF"/>
        </w:rPr>
        <w:t>Tai (2022) discusses how</w:t>
      </w:r>
      <w:r>
        <w:rPr>
          <w:rFonts w:ascii="Arial" w:hAnsi="Arial" w:cs="Arial"/>
          <w:sz w:val="24"/>
          <w:szCs w:val="24"/>
        </w:rPr>
        <w:t xml:space="preserve"> CSR has enabled the Hilton to initiate community development projects to empower the locals through job creation and contributing to local economic growth. The incorporation of sustainable practices in the corporate agenda has enhanced the hotel's reputation, earning consumer loyalty and thus expanding its financial base. According to </w:t>
      </w:r>
      <w:r>
        <w:rPr>
          <w:rFonts w:ascii="Arial" w:hAnsi="Arial" w:cs="Arial"/>
          <w:color w:val="222222"/>
          <w:sz w:val="24"/>
          <w:szCs w:val="24"/>
          <w:shd w:val="clear" w:color="auto" w:fill="FFFFFF"/>
        </w:rPr>
        <w:t>Guix and Font (2020), a</w:t>
      </w:r>
      <w:r>
        <w:rPr>
          <w:rFonts w:ascii="Arial" w:hAnsi="Arial" w:cs="Arial"/>
          <w:sz w:val="24"/>
          <w:szCs w:val="24"/>
        </w:rPr>
        <w:t xml:space="preserve">n increase in the CSR reports from the hotel has been observed as it seeks public participation and promotion of accountability. The corporate agenda requires the hotel to collaborate with local entrepreneurs to source its products rather than import them to strengthen the local economy, as </w:t>
      </w:r>
      <w:r>
        <w:rPr>
          <w:rFonts w:ascii="Arial" w:hAnsi="Arial" w:cs="Arial"/>
          <w:sz w:val="24"/>
          <w:szCs w:val="24"/>
          <w:shd w:val="clear" w:color="auto" w:fill="FFFFFF"/>
        </w:rPr>
        <w:t>Achmad and Yulianah (2022)</w:t>
      </w:r>
      <w:r>
        <w:rPr>
          <w:rFonts w:ascii="Arial" w:hAnsi="Arial" w:cs="Arial"/>
          <w:sz w:val="24"/>
          <w:szCs w:val="24"/>
        </w:rPr>
        <w:t xml:space="preserve"> suggest.</w:t>
      </w:r>
    </w:p>
    <w:p w14:paraId="30B08E36" w14:textId="77777777" w:rsidR="00B85170" w:rsidRDefault="00B85170" w:rsidP="00B85170">
      <w:pPr>
        <w:spacing w:line="360" w:lineRule="auto"/>
        <w:ind w:firstLine="720"/>
        <w:jc w:val="both"/>
        <w:rPr>
          <w:rFonts w:ascii="Arial" w:hAnsi="Arial" w:cs="Arial"/>
          <w:sz w:val="24"/>
          <w:szCs w:val="24"/>
        </w:rPr>
      </w:pPr>
      <w:r>
        <w:rPr>
          <w:rFonts w:ascii="Arial" w:hAnsi="Arial" w:cs="Arial"/>
          <w:sz w:val="24"/>
          <w:szCs w:val="24"/>
        </w:rPr>
        <w:t xml:space="preserve">Many scholars, including Scavarda et al. (2019), have explained that CSR reflects how the business associates with the local community through projects and job opportunities. Hilton Hotels volunteered to train youths during the 5,000 projects of the 2018 Global Week of Service as an initiative to promote community development (Hilton, 2023). Today, Hilton has supported and trained over 20,000 young people to nurture their professions and equip them with high-value, life-saving skills. Rupp et al. (2006) assert that organisations have to engage employees in CSR strategies in all cultural aspects to achieve a desirable cultural goal, as employees are vital in co-creating customer service and delivery. Hilton manages to involve the community in its initiatives by reaching out to source employees through direct recruitment or local projects. This program creates an environment for youth and less advantaged people in the community to get exposure and experience as they seek a livelihood. </w:t>
      </w:r>
      <w:r>
        <w:rPr>
          <w:rFonts w:ascii="Arial" w:hAnsi="Arial" w:cs="Arial"/>
          <w:sz w:val="24"/>
          <w:szCs w:val="24"/>
          <w:shd w:val="clear" w:color="auto" w:fill="FFFFFF"/>
        </w:rPr>
        <w:t>Zhang</w:t>
      </w:r>
      <w:r>
        <w:rPr>
          <w:rFonts w:ascii="Arial" w:hAnsi="Arial" w:cs="Arial"/>
          <w:sz w:val="24"/>
          <w:szCs w:val="24"/>
        </w:rPr>
        <w:t xml:space="preserve"> et al. (2022) state that employees can be informed of the CSR applicability through regular training and workshops, as their behaviour and perception can affect CSR practices.</w:t>
      </w:r>
    </w:p>
    <w:p w14:paraId="42A1824F" w14:textId="77777777" w:rsidR="00BF781E" w:rsidRDefault="00BF781E" w:rsidP="00BF781E">
      <w:pPr>
        <w:pStyle w:val="Heading1"/>
        <w:rPr>
          <w:rFonts w:cs="Arial"/>
          <w:b/>
          <w:bCs/>
          <w:szCs w:val="24"/>
        </w:rPr>
      </w:pPr>
      <w:bookmarkStart w:id="0" w:name="_Toc147882686"/>
      <w:r w:rsidRPr="00BF781E">
        <w:rPr>
          <w:rFonts w:cs="Arial"/>
          <w:b/>
          <w:bCs/>
          <w:szCs w:val="24"/>
        </w:rPr>
        <w:t>Triple Bottom Line</w:t>
      </w:r>
      <w:bookmarkEnd w:id="0"/>
    </w:p>
    <w:p w14:paraId="596E4F90" w14:textId="77777777" w:rsidR="00BF781E" w:rsidRDefault="00BF781E" w:rsidP="00BF781E">
      <w:pPr>
        <w:spacing w:line="360" w:lineRule="auto"/>
        <w:ind w:firstLine="720"/>
        <w:jc w:val="both"/>
        <w:rPr>
          <w:rFonts w:ascii="Arial" w:hAnsi="Arial" w:cs="Arial"/>
          <w:sz w:val="24"/>
          <w:szCs w:val="24"/>
        </w:rPr>
      </w:pPr>
      <w:r>
        <w:rPr>
          <w:rFonts w:ascii="Arial" w:hAnsi="Arial" w:cs="Arial"/>
          <w:sz w:val="24"/>
          <w:szCs w:val="24"/>
        </w:rPr>
        <w:t xml:space="preserve">The Triple Bottom Line (TBL), an idea which is tailored around the 3P's People, Planet, and Profit, focuses on the impact that the business has on the social niche </w:t>
      </w:r>
      <w:r>
        <w:rPr>
          <w:rFonts w:ascii="Arial" w:hAnsi="Arial" w:cs="Arial"/>
          <w:sz w:val="24"/>
          <w:szCs w:val="24"/>
        </w:rPr>
        <w:lastRenderedPageBreak/>
        <w:t xml:space="preserve">(community development and involvement), profit (investments and their return), and environment (conserving energy, water, and managing waste). Therefore, businesses should prioritise using sustainable measures when measuring their performances, as the business is not only revenue-oriented but also focuses on social and environmental impact, as </w:t>
      </w:r>
      <w:r>
        <w:rPr>
          <w:rFonts w:ascii="Arial" w:hAnsi="Arial" w:cs="Arial"/>
          <w:sz w:val="24"/>
          <w:szCs w:val="24"/>
          <w:shd w:val="clear" w:color="auto" w:fill="FFFFFF"/>
        </w:rPr>
        <w:t>Ozturkoglu, Sari, and Saygili (2021) recommend.</w:t>
      </w:r>
      <w:r>
        <w:rPr>
          <w:rFonts w:ascii="Arial" w:hAnsi="Arial" w:cs="Arial"/>
          <w:sz w:val="24"/>
          <w:szCs w:val="24"/>
        </w:rPr>
        <w:t xml:space="preserve"> Hotels should develop a culture of using ecological practices that promote sustainability. It is true that Hilton Hotel has maximised the concept through its CSR, reduced its environmental footprint, and encouraged community development. TBL fosters the development of environmental and governance initiatives for ethical practices and fair treatment of customers and suppliers.</w:t>
      </w:r>
    </w:p>
    <w:p w14:paraId="0A2237A6" w14:textId="77777777" w:rsidR="00BF781E" w:rsidRDefault="00BF781E" w:rsidP="00BF781E">
      <w:pPr>
        <w:spacing w:line="360" w:lineRule="auto"/>
        <w:ind w:firstLine="720"/>
        <w:jc w:val="both"/>
        <w:rPr>
          <w:rFonts w:ascii="Arial" w:hAnsi="Arial" w:cs="Arial"/>
          <w:sz w:val="24"/>
          <w:szCs w:val="24"/>
        </w:rPr>
      </w:pPr>
    </w:p>
    <w:p w14:paraId="6B27D834" w14:textId="463086D9" w:rsidR="00BF781E" w:rsidRDefault="00BF781E" w:rsidP="00BF781E">
      <w:pPr>
        <w:spacing w:line="360" w:lineRule="auto"/>
        <w:ind w:firstLine="720"/>
        <w:jc w:val="both"/>
        <w:rPr>
          <w:rFonts w:ascii="Arial" w:hAnsi="Arial" w:cs="Arial"/>
          <w:sz w:val="24"/>
          <w:szCs w:val="24"/>
        </w:rPr>
      </w:pPr>
      <w:r>
        <w:rPr>
          <w:rFonts w:ascii="Arial" w:hAnsi="Arial" w:cs="Arial"/>
          <w:noProof/>
          <w:sz w:val="24"/>
          <w:szCs w:val="24"/>
          <w:lang w:val="en-US"/>
        </w:rPr>
        <w:drawing>
          <wp:inline distT="0" distB="0" distL="0" distR="0" wp14:anchorId="3BCE0F25" wp14:editId="78894BDE">
            <wp:extent cx="4673600" cy="2870200"/>
            <wp:effectExtent l="0" t="0" r="0" b="6350"/>
            <wp:docPr id="1031519980" name="Picture 1" descr="https://cdn.ttgtmedia.com/rms/onlineimages/a_look_at_the_three_ps-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ttgtmedia.com/rms/onlineimages/a_look_at_the_three_ps-f.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73600" cy="2870200"/>
                    </a:xfrm>
                    <a:prstGeom prst="rect">
                      <a:avLst/>
                    </a:prstGeom>
                    <a:noFill/>
                    <a:ln>
                      <a:noFill/>
                    </a:ln>
                  </pic:spPr>
                </pic:pic>
              </a:graphicData>
            </a:graphic>
          </wp:inline>
        </w:drawing>
      </w:r>
      <w:r>
        <w:rPr>
          <w:rFonts w:ascii="Arial" w:hAnsi="Arial" w:cs="Arial"/>
          <w:sz w:val="24"/>
          <w:szCs w:val="24"/>
          <w:lang w:val="en-US"/>
        </w:rPr>
        <w:t xml:space="preserve"> </w:t>
      </w:r>
    </w:p>
    <w:p w14:paraId="2D97519F" w14:textId="77777777" w:rsidR="00BF781E" w:rsidRDefault="00BF781E" w:rsidP="00BF781E">
      <w:pPr>
        <w:spacing w:line="360" w:lineRule="auto"/>
        <w:ind w:firstLine="720"/>
        <w:jc w:val="both"/>
        <w:rPr>
          <w:rFonts w:ascii="Arial" w:hAnsi="Arial" w:cs="Arial"/>
          <w:i/>
          <w:sz w:val="24"/>
          <w:szCs w:val="24"/>
        </w:rPr>
      </w:pPr>
      <w:r>
        <w:rPr>
          <w:rFonts w:ascii="Arial" w:hAnsi="Arial" w:cs="Arial"/>
          <w:i/>
          <w:color w:val="323232"/>
          <w:spacing w:val="-5"/>
          <w:sz w:val="24"/>
          <w:szCs w:val="24"/>
        </w:rPr>
        <w:t>Triple bottom line (</w:t>
      </w:r>
      <w:r>
        <w:rPr>
          <w:rFonts w:ascii="Arial" w:hAnsi="Arial" w:cs="Arial"/>
          <w:i/>
          <w:sz w:val="24"/>
          <w:szCs w:val="24"/>
        </w:rPr>
        <w:t>Craig and Alexander, 2023)</w:t>
      </w:r>
    </w:p>
    <w:p w14:paraId="4C0FE0D8" w14:textId="77777777" w:rsidR="00BF781E" w:rsidRDefault="00BF781E" w:rsidP="00BF781E">
      <w:pPr>
        <w:spacing w:line="360" w:lineRule="auto"/>
        <w:ind w:firstLine="720"/>
        <w:jc w:val="both"/>
        <w:rPr>
          <w:rFonts w:ascii="Arial" w:hAnsi="Arial" w:cs="Arial"/>
          <w:i/>
          <w:sz w:val="24"/>
          <w:szCs w:val="24"/>
        </w:rPr>
      </w:pPr>
    </w:p>
    <w:p w14:paraId="6DF185CC" w14:textId="77777777" w:rsidR="00BF781E" w:rsidRDefault="00BF781E" w:rsidP="00BF781E">
      <w:pPr>
        <w:pStyle w:val="Heading1"/>
        <w:rPr>
          <w:rFonts w:cs="Arial"/>
          <w:b/>
          <w:bCs/>
          <w:szCs w:val="24"/>
        </w:rPr>
      </w:pPr>
      <w:r w:rsidRPr="00BF781E">
        <w:rPr>
          <w:rFonts w:cs="Arial"/>
          <w:b/>
          <w:bCs/>
          <w:szCs w:val="24"/>
        </w:rPr>
        <w:t>Conclusion</w:t>
      </w:r>
    </w:p>
    <w:p w14:paraId="52C84CAF" w14:textId="5A21146D" w:rsidR="00BF781E" w:rsidRDefault="00BF781E" w:rsidP="00BF781E">
      <w:pPr>
        <w:spacing w:line="360" w:lineRule="auto"/>
        <w:ind w:firstLine="720"/>
        <w:jc w:val="both"/>
        <w:rPr>
          <w:rFonts w:ascii="Arial" w:hAnsi="Arial" w:cs="Arial"/>
          <w:sz w:val="24"/>
          <w:szCs w:val="24"/>
        </w:rPr>
      </w:pPr>
      <w:r>
        <w:rPr>
          <w:rFonts w:ascii="Arial" w:hAnsi="Arial" w:cs="Arial"/>
          <w:sz w:val="24"/>
          <w:szCs w:val="24"/>
        </w:rPr>
        <w:t xml:space="preserve">The hospitality industry is a value-creation business that has proved to have undeniable impacts. Much effort has been invested in the hospitality and tourism industry to attain economic, social, and environmental sustainability. It is the responsibility of every business to adopt sustainable practices by initiating community-based programs under their CSR policy in a bid to reduce their environmental footprint. Hotels like Hilton have been thriving in production and delivery as customer-centred </w:t>
      </w:r>
      <w:r>
        <w:rPr>
          <w:rFonts w:ascii="Arial" w:hAnsi="Arial" w:cs="Arial"/>
          <w:sz w:val="24"/>
          <w:szCs w:val="24"/>
        </w:rPr>
        <w:lastRenderedPageBreak/>
        <w:t>and environmentally sensitive businesses by implementing CSR practices such as green tourism and linking their strategies to the circular economy. Hilton Hotel has been at the forefront of creating and implementing ethically sustainable practices with CSR initiatives, including energy conservation measures, sociocultural promotion, water conservation, and waste management through various recycling and food donation programs. Government pressure on businesses to comply with sustainability and employee collaboration in implementing initiatives has fostered many CSR initiatives' success in Hotels such as the Hilton Hotel. The success of the CSR in Hilton Hotel is attributed to the business concerns such as government pressure and competitor's actions. The Triple Bottom line is also significant in gauging the organisation's sustainability operations to the CSR policies.</w:t>
      </w:r>
    </w:p>
    <w:p w14:paraId="4CF87691" w14:textId="77777777" w:rsidR="00BF781E" w:rsidRDefault="00BF781E" w:rsidP="00BF781E"/>
    <w:p w14:paraId="67CCE612" w14:textId="77777777" w:rsidR="00BF781E" w:rsidRDefault="00BF781E" w:rsidP="00BF781E"/>
    <w:p w14:paraId="20121793" w14:textId="77777777" w:rsidR="00BF781E" w:rsidRDefault="00BF781E" w:rsidP="00BF781E"/>
    <w:p w14:paraId="521B38F3" w14:textId="77777777" w:rsidR="00BF781E" w:rsidRDefault="00BF781E" w:rsidP="00BF781E"/>
    <w:p w14:paraId="26949C3E" w14:textId="77777777" w:rsidR="00BF781E" w:rsidRDefault="00BF781E" w:rsidP="00BF781E"/>
    <w:p w14:paraId="1C5C0AE1" w14:textId="77777777" w:rsidR="00BF781E" w:rsidRDefault="00BF781E" w:rsidP="00BF781E"/>
    <w:p w14:paraId="1067DB64" w14:textId="77777777" w:rsidR="00BF781E" w:rsidRDefault="00BF781E" w:rsidP="00BF781E"/>
    <w:p w14:paraId="05AD1CA6" w14:textId="77777777" w:rsidR="00BF781E" w:rsidRDefault="00BF781E" w:rsidP="00BF781E"/>
    <w:p w14:paraId="2F65CDEB" w14:textId="77777777" w:rsidR="00BF781E" w:rsidRDefault="00BF781E" w:rsidP="00BF781E"/>
    <w:p w14:paraId="70AE4768" w14:textId="77777777" w:rsidR="00BF781E" w:rsidRDefault="00BF781E" w:rsidP="00BF781E"/>
    <w:p w14:paraId="4D9A84D0" w14:textId="77777777" w:rsidR="00BF781E" w:rsidRDefault="00BF781E" w:rsidP="00BF781E"/>
    <w:p w14:paraId="00F6D216" w14:textId="77777777" w:rsidR="00BF781E" w:rsidRDefault="00BF781E" w:rsidP="00BF781E"/>
    <w:p w14:paraId="76A648E5" w14:textId="77777777" w:rsidR="00BF781E" w:rsidRDefault="00BF781E" w:rsidP="00BF781E"/>
    <w:p w14:paraId="2588D3A6" w14:textId="77777777" w:rsidR="00BF781E" w:rsidRDefault="00BF781E" w:rsidP="00BF781E"/>
    <w:p w14:paraId="768FA88A" w14:textId="77777777" w:rsidR="00BF781E" w:rsidRDefault="00BF781E" w:rsidP="00BF781E"/>
    <w:p w14:paraId="716A90AD" w14:textId="77777777" w:rsidR="00BF781E" w:rsidRDefault="00BF781E" w:rsidP="00BF781E"/>
    <w:p w14:paraId="68141F03" w14:textId="77777777" w:rsidR="00BF781E" w:rsidRDefault="00BF781E" w:rsidP="00BF781E"/>
    <w:p w14:paraId="1F242ACB" w14:textId="77777777" w:rsidR="00BF781E" w:rsidRDefault="00BF781E" w:rsidP="00BF781E"/>
    <w:p w14:paraId="615E0439" w14:textId="77777777" w:rsidR="00BF781E" w:rsidRDefault="00BF781E" w:rsidP="00BF781E"/>
    <w:p w14:paraId="7B556D0C" w14:textId="77777777" w:rsidR="00BF781E" w:rsidRDefault="00BF781E" w:rsidP="00BF781E"/>
    <w:p w14:paraId="5BCC1D44" w14:textId="77777777" w:rsidR="00BF781E" w:rsidRDefault="00BF781E" w:rsidP="00BF781E"/>
    <w:p w14:paraId="47881792" w14:textId="77777777" w:rsidR="00BF781E" w:rsidRDefault="00BF781E" w:rsidP="00BF781E"/>
    <w:p w14:paraId="6A85072D" w14:textId="77777777" w:rsidR="00BF781E" w:rsidRDefault="00BF781E" w:rsidP="00BF781E"/>
    <w:p w14:paraId="0391936E" w14:textId="65AAA7B1" w:rsidR="00BF781E" w:rsidRDefault="00BF781E" w:rsidP="00BF781E">
      <w:pPr>
        <w:pStyle w:val="Heading1"/>
        <w:rPr>
          <w:rFonts w:cs="Arial"/>
          <w:b/>
          <w:bCs/>
          <w:szCs w:val="24"/>
        </w:rPr>
      </w:pPr>
      <w:r w:rsidRPr="00BF781E">
        <w:rPr>
          <w:rFonts w:cs="Arial"/>
          <w:b/>
          <w:bCs/>
          <w:szCs w:val="24"/>
        </w:rPr>
        <w:t>References</w:t>
      </w:r>
    </w:p>
    <w:p w14:paraId="3AEAEA1C" w14:textId="77777777" w:rsidR="00BF781E" w:rsidRDefault="00BF781E" w:rsidP="00BF781E"/>
    <w:p w14:paraId="6E505EBE"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Achmad, W. and Yulianah, Y. (2022) Corporate social responsibility of the hospitality industry in realising sustainable tourism development. </w:t>
      </w:r>
      <w:r>
        <w:rPr>
          <w:rFonts w:ascii="Arial" w:hAnsi="Arial" w:cs="Arial"/>
          <w:i/>
          <w:iCs/>
          <w:sz w:val="24"/>
          <w:szCs w:val="24"/>
          <w:shd w:val="clear" w:color="auto" w:fill="FFFFFF"/>
        </w:rPr>
        <w:t>Enrichment: Journal of Management</w:t>
      </w:r>
      <w:r>
        <w:rPr>
          <w:rFonts w:ascii="Arial" w:hAnsi="Arial" w:cs="Arial"/>
          <w:sz w:val="24"/>
          <w:szCs w:val="24"/>
          <w:shd w:val="clear" w:color="auto" w:fill="FFFFFF"/>
        </w:rPr>
        <w:t>, </w:t>
      </w:r>
      <w:r>
        <w:rPr>
          <w:rFonts w:ascii="Arial" w:hAnsi="Arial" w:cs="Arial"/>
          <w:i/>
          <w:iCs/>
          <w:sz w:val="24"/>
          <w:szCs w:val="24"/>
          <w:shd w:val="clear" w:color="auto" w:fill="FFFFFF"/>
        </w:rPr>
        <w:t>12</w:t>
      </w:r>
      <w:r>
        <w:rPr>
          <w:rFonts w:ascii="Arial" w:hAnsi="Arial" w:cs="Arial"/>
          <w:sz w:val="24"/>
          <w:szCs w:val="24"/>
          <w:shd w:val="clear" w:color="auto" w:fill="FFFFFF"/>
        </w:rPr>
        <w:t>(2), pp.1610-1616. Available at:</w:t>
      </w:r>
      <w:hyperlink r:id="rId5" w:history="1">
        <w:r>
          <w:rPr>
            <w:rStyle w:val="Hyperlink"/>
            <w:rFonts w:cs="Arial"/>
            <w:szCs w:val="24"/>
          </w:rPr>
          <w:t>https://enrichment.iocspublisher.org/index.php/enrichment/article/view/447</w:t>
        </w:r>
      </w:hyperlink>
      <w:r>
        <w:rPr>
          <w:rStyle w:val="Hyperlink"/>
          <w:rFonts w:cs="Arial"/>
          <w:szCs w:val="24"/>
        </w:rPr>
        <w:t xml:space="preserve"> (Accessed 12 Oct. 2023)</w:t>
      </w:r>
    </w:p>
    <w:p w14:paraId="1C4F8DD8"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t xml:space="preserve">Ali, F. (2016)' Hotel website quality, perceived flow, customer satisfaction, and purchase intention', </w:t>
      </w:r>
      <w:r>
        <w:rPr>
          <w:rFonts w:ascii="Arial" w:hAnsi="Arial" w:cs="Arial"/>
          <w:i/>
          <w:sz w:val="24"/>
          <w:szCs w:val="24"/>
        </w:rPr>
        <w:t>Journal of Hospitality and Tourism Technology,</w:t>
      </w:r>
      <w:r>
        <w:rPr>
          <w:rFonts w:ascii="Arial" w:hAnsi="Arial" w:cs="Arial"/>
          <w:sz w:val="24"/>
          <w:szCs w:val="24"/>
        </w:rPr>
        <w:t xml:space="preserve"> 7(2), 213-228. Available at:</w:t>
      </w:r>
      <w:r>
        <w:t xml:space="preserve"> </w:t>
      </w:r>
      <w:hyperlink r:id="rId6" w:history="1">
        <w:r>
          <w:rPr>
            <w:rStyle w:val="Hyperlink"/>
            <w:rFonts w:cs="Arial"/>
            <w:szCs w:val="24"/>
          </w:rPr>
          <w:t>https://www.emerald.com/insight/content/doi/10.1108/JHTT-02-2016-0010/full/html (Accessed 12</w:t>
        </w:r>
      </w:hyperlink>
      <w:r>
        <w:rPr>
          <w:rFonts w:ascii="Arial" w:hAnsi="Arial" w:cs="Arial"/>
          <w:sz w:val="24"/>
          <w:szCs w:val="24"/>
        </w:rPr>
        <w:t xml:space="preserve"> Oct. 2023)</w:t>
      </w:r>
    </w:p>
    <w:p w14:paraId="330163D2"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Awadh, O.( 2017)' sustainability and green building rating systems: LEED, BREEAM, GSAS and Estidama critical analysis', </w:t>
      </w:r>
      <w:r>
        <w:rPr>
          <w:rFonts w:ascii="Arial" w:hAnsi="Arial" w:cs="Arial"/>
          <w:i/>
          <w:iCs/>
          <w:sz w:val="24"/>
          <w:szCs w:val="24"/>
          <w:shd w:val="clear" w:color="auto" w:fill="FFFFFF"/>
        </w:rPr>
        <w:t>Journal of Building Engineering</w:t>
      </w:r>
      <w:r>
        <w:rPr>
          <w:rFonts w:ascii="Arial" w:hAnsi="Arial" w:cs="Arial"/>
          <w:sz w:val="24"/>
          <w:szCs w:val="24"/>
          <w:shd w:val="clear" w:color="auto" w:fill="FFFFFF"/>
        </w:rPr>
        <w:t>, </w:t>
      </w:r>
      <w:r>
        <w:rPr>
          <w:rFonts w:ascii="Arial" w:hAnsi="Arial" w:cs="Arial"/>
          <w:i/>
          <w:iCs/>
          <w:sz w:val="24"/>
          <w:szCs w:val="24"/>
          <w:shd w:val="clear" w:color="auto" w:fill="FFFFFF"/>
        </w:rPr>
        <w:t>11</w:t>
      </w:r>
      <w:r>
        <w:rPr>
          <w:rFonts w:ascii="Arial" w:hAnsi="Arial" w:cs="Arial"/>
          <w:sz w:val="24"/>
          <w:szCs w:val="24"/>
          <w:shd w:val="clear" w:color="auto" w:fill="FFFFFF"/>
        </w:rPr>
        <w:t xml:space="preserve">, pp.25-29. Available at: </w:t>
      </w:r>
      <w:hyperlink r:id="rId7" w:history="1">
        <w:r>
          <w:rPr>
            <w:rStyle w:val="Hyperlink"/>
            <w:rFonts w:cs="Arial"/>
            <w:szCs w:val="24"/>
          </w:rPr>
          <w:t>https://www.sciencedirect.com/science/article/abs/pii/S2352710216301152</w:t>
        </w:r>
      </w:hyperlink>
      <w:r>
        <w:rPr>
          <w:rStyle w:val="Hyperlink"/>
          <w:rFonts w:cs="Arial"/>
          <w:szCs w:val="24"/>
        </w:rPr>
        <w:t xml:space="preserve"> (Accessed 12 Oct. 2023)</w:t>
      </w:r>
    </w:p>
    <w:p w14:paraId="575F4CA6"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t xml:space="preserve">Batabyal.(2018) </w:t>
      </w:r>
      <w:r>
        <w:rPr>
          <w:rFonts w:ascii="Arial" w:hAnsi="Arial" w:cs="Arial"/>
          <w:i/>
          <w:sz w:val="24"/>
          <w:szCs w:val="24"/>
        </w:rPr>
        <w:t>Managing Sustainable Tourism Resources</w:t>
      </w:r>
      <w:r>
        <w:rPr>
          <w:rFonts w:ascii="Arial" w:hAnsi="Arial" w:cs="Arial"/>
          <w:sz w:val="24"/>
          <w:szCs w:val="24"/>
        </w:rPr>
        <w:t>. IGI Global. Available at:</w:t>
      </w:r>
      <w:r>
        <w:t xml:space="preserve"> </w:t>
      </w:r>
      <w:hyperlink r:id="rId8" w:history="1">
        <w:r>
          <w:rPr>
            <w:rStyle w:val="Hyperlink"/>
            <w:rFonts w:cs="Arial"/>
            <w:szCs w:val="24"/>
          </w:rPr>
          <w:t>https://www.igi-global.com/book/managing-sustainable-tourism-resources/192041</w:t>
        </w:r>
      </w:hyperlink>
      <w:r>
        <w:rPr>
          <w:rFonts w:ascii="Arial" w:hAnsi="Arial" w:cs="Arial"/>
          <w:sz w:val="24"/>
          <w:szCs w:val="24"/>
        </w:rPr>
        <w:t xml:space="preserve"> (Accessed 10 Oct. 2023)</w:t>
      </w:r>
    </w:p>
    <w:p w14:paraId="7E0C6294"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 xml:space="preserve">Byrne, </w:t>
      </w:r>
      <w:proofErr w:type="gramStart"/>
      <w:r>
        <w:rPr>
          <w:rFonts w:ascii="Arial" w:hAnsi="Arial" w:cs="Arial"/>
          <w:sz w:val="24"/>
          <w:szCs w:val="24"/>
          <w:shd w:val="clear" w:color="auto" w:fill="FFFFFF"/>
        </w:rPr>
        <w:t>J.</w:t>
      </w:r>
      <w:proofErr w:type="gramEnd"/>
      <w:r>
        <w:rPr>
          <w:rFonts w:ascii="Arial" w:hAnsi="Arial" w:cs="Arial"/>
          <w:sz w:val="24"/>
          <w:szCs w:val="24"/>
          <w:shd w:val="clear" w:color="auto" w:fill="FFFFFF"/>
        </w:rPr>
        <w:t xml:space="preserve"> and Lund, P.D. (2019) 'Sustaining our common future: Transformative, timely, commons-based change is needed', </w:t>
      </w:r>
      <w:r>
        <w:rPr>
          <w:rFonts w:ascii="Arial" w:hAnsi="Arial" w:cs="Arial"/>
          <w:i/>
          <w:iCs/>
          <w:sz w:val="24"/>
          <w:szCs w:val="24"/>
          <w:shd w:val="clear" w:color="auto" w:fill="FFFFFF"/>
        </w:rPr>
        <w:t xml:space="preserve">Wiley Interdisciplinary Reviews: </w:t>
      </w:r>
      <w:r>
        <w:rPr>
          <w:rFonts w:ascii="Arial" w:hAnsi="Arial" w:cs="Arial"/>
          <w:iCs/>
          <w:sz w:val="24"/>
          <w:szCs w:val="24"/>
          <w:shd w:val="clear" w:color="auto" w:fill="FFFFFF"/>
        </w:rPr>
        <w:t>Energy and Environment</w:t>
      </w:r>
      <w:r>
        <w:rPr>
          <w:rFonts w:ascii="Arial" w:hAnsi="Arial" w:cs="Arial"/>
          <w:sz w:val="24"/>
          <w:szCs w:val="24"/>
          <w:shd w:val="clear" w:color="auto" w:fill="FFFFFF"/>
        </w:rPr>
        <w:t>, </w:t>
      </w:r>
      <w:r>
        <w:rPr>
          <w:rFonts w:ascii="Arial" w:hAnsi="Arial" w:cs="Arial"/>
          <w:i/>
          <w:iCs/>
          <w:sz w:val="24"/>
          <w:szCs w:val="24"/>
          <w:shd w:val="clear" w:color="auto" w:fill="FFFFFF"/>
        </w:rPr>
        <w:t>8</w:t>
      </w:r>
      <w:r>
        <w:rPr>
          <w:rFonts w:ascii="Arial" w:hAnsi="Arial" w:cs="Arial"/>
          <w:sz w:val="24"/>
          <w:szCs w:val="24"/>
          <w:shd w:val="clear" w:color="auto" w:fill="FFFFFF"/>
        </w:rPr>
        <w:t xml:space="preserve">(1), p.e334. Available at: </w:t>
      </w:r>
      <w:hyperlink r:id="rId9" w:history="1">
        <w:r>
          <w:rPr>
            <w:rStyle w:val="Hyperlink"/>
            <w:rFonts w:cs="Arial"/>
            <w:szCs w:val="24"/>
          </w:rPr>
          <w:t>https://acris.aalto.fi/ws/portalfiles/portal/30824246/SCI_Byrne_Lund_Sustaining_2019_WENE_editorial_Sustaining_our_Common_Future_final.pdf</w:t>
        </w:r>
      </w:hyperlink>
      <w:r>
        <w:rPr>
          <w:rStyle w:val="Hyperlink"/>
          <w:rFonts w:cs="Arial"/>
          <w:szCs w:val="24"/>
        </w:rPr>
        <w:t xml:space="preserve"> (Accessed 11 Oct. 2023)</w:t>
      </w:r>
    </w:p>
    <w:p w14:paraId="3C2EC5A5" w14:textId="77777777" w:rsidR="00BF781E" w:rsidRDefault="00BF781E" w:rsidP="00BF781E">
      <w:pPr>
        <w:spacing w:after="0" w:line="360" w:lineRule="auto"/>
        <w:ind w:left="720" w:hanging="720"/>
        <w:contextualSpacing/>
        <w:rPr>
          <w:rFonts w:ascii="Arial" w:hAnsi="Arial" w:cs="Arial"/>
          <w:color w:val="222222"/>
          <w:sz w:val="24"/>
          <w:szCs w:val="24"/>
          <w:shd w:val="clear" w:color="auto" w:fill="FFFFFF"/>
        </w:rPr>
      </w:pPr>
      <w:r>
        <w:rPr>
          <w:rFonts w:ascii="Arial" w:hAnsi="Arial" w:cs="Arial"/>
          <w:color w:val="222222"/>
          <w:sz w:val="24"/>
          <w:szCs w:val="24"/>
          <w:shd w:val="clear" w:color="auto" w:fill="FFFFFF"/>
        </w:rPr>
        <w:t>Calisto, M.D.L., Umbelino, J., Gonçalves, A. and Viegas, C. (2021)' Environmental sustainability strategies for smaller companies in the hotel industry: doing the right thing or doing things right?', </w:t>
      </w:r>
      <w:r>
        <w:rPr>
          <w:rFonts w:ascii="Arial" w:hAnsi="Arial" w:cs="Arial"/>
          <w:i/>
          <w:iCs/>
          <w:color w:val="222222"/>
          <w:sz w:val="24"/>
          <w:szCs w:val="24"/>
          <w:shd w:val="clear" w:color="auto" w:fill="FFFFFF"/>
        </w:rPr>
        <w:t>sustainability</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13</w:t>
      </w:r>
      <w:r>
        <w:rPr>
          <w:rFonts w:ascii="Arial" w:hAnsi="Arial" w:cs="Arial"/>
          <w:color w:val="222222"/>
          <w:sz w:val="24"/>
          <w:szCs w:val="24"/>
          <w:shd w:val="clear" w:color="auto" w:fill="FFFFFF"/>
        </w:rPr>
        <w:t xml:space="preserve">(18), p.10380. Available at: </w:t>
      </w:r>
      <w:hyperlink r:id="rId10" w:history="1">
        <w:r>
          <w:rPr>
            <w:rStyle w:val="Hyperlink"/>
            <w:rFonts w:cs="Arial"/>
            <w:szCs w:val="24"/>
            <w:shd w:val="clear" w:color="auto" w:fill="FFFFFF"/>
          </w:rPr>
          <w:t>https://www.mdpi.com/2071-1050/13/18/10380</w:t>
        </w:r>
      </w:hyperlink>
      <w:r>
        <w:rPr>
          <w:rStyle w:val="Hyperlink"/>
          <w:rFonts w:cs="Arial"/>
          <w:szCs w:val="24"/>
          <w:shd w:val="clear" w:color="auto" w:fill="FFFFFF"/>
        </w:rPr>
        <w:t xml:space="preserve"> (Accessed 10 Oct. 2023)</w:t>
      </w:r>
    </w:p>
    <w:p w14:paraId="69612AC6"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t xml:space="preserve">Cooper, C.(2021) </w:t>
      </w:r>
      <w:r>
        <w:rPr>
          <w:rFonts w:ascii="Arial" w:hAnsi="Arial" w:cs="Arial"/>
          <w:i/>
          <w:sz w:val="24"/>
          <w:szCs w:val="24"/>
        </w:rPr>
        <w:t>Essentials of tourism</w:t>
      </w:r>
      <w:r>
        <w:rPr>
          <w:rFonts w:ascii="Arial" w:hAnsi="Arial" w:cs="Arial"/>
          <w:sz w:val="24"/>
          <w:szCs w:val="24"/>
        </w:rPr>
        <w:t xml:space="preserve">. Third edition. London: SAGE. Available at: </w:t>
      </w:r>
      <w:hyperlink r:id="rId11" w:history="1">
        <w:r>
          <w:rPr>
            <w:rStyle w:val="Hyperlink"/>
            <w:rFonts w:cs="Arial"/>
            <w:szCs w:val="24"/>
          </w:rPr>
          <w:t>https://us.sagepub.com/en-us/nam/essentials-of-tourism/book278640</w:t>
        </w:r>
      </w:hyperlink>
      <w:r>
        <w:rPr>
          <w:rFonts w:ascii="Arial" w:hAnsi="Arial" w:cs="Arial"/>
          <w:sz w:val="24"/>
          <w:szCs w:val="24"/>
        </w:rPr>
        <w:t xml:space="preserve"> (Accesed 12 Oct. 2023)</w:t>
      </w:r>
    </w:p>
    <w:p w14:paraId="4FB2D3FB"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lastRenderedPageBreak/>
        <w:t xml:space="preserve">Costa, and Costa, C. (2022) </w:t>
      </w:r>
      <w:r>
        <w:rPr>
          <w:rFonts w:ascii="Arial" w:hAnsi="Arial" w:cs="Arial"/>
          <w:i/>
          <w:sz w:val="24"/>
          <w:szCs w:val="24"/>
        </w:rPr>
        <w:t>Sustainability and competitiveness in the hospitality industry</w:t>
      </w:r>
      <w:r>
        <w:rPr>
          <w:rFonts w:ascii="Arial" w:hAnsi="Arial" w:cs="Arial"/>
          <w:sz w:val="24"/>
          <w:szCs w:val="24"/>
        </w:rPr>
        <w:t xml:space="preserve"> (Costa &amp; C. Costa, Eds.). Business Science Reference.</w:t>
      </w:r>
    </w:p>
    <w:p w14:paraId="1A7B2D29"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t xml:space="preserve">Craig, S and Alexander, S.G.(2023) 'What is triple bottom line (TBL) and why is it important?', </w:t>
      </w:r>
      <w:r>
        <w:rPr>
          <w:rFonts w:ascii="Arial" w:hAnsi="Arial" w:cs="Arial"/>
          <w:i/>
          <w:sz w:val="24"/>
          <w:szCs w:val="24"/>
        </w:rPr>
        <w:t>TechTarget.</w:t>
      </w:r>
      <w:r>
        <w:rPr>
          <w:rFonts w:ascii="Arial" w:hAnsi="Arial" w:cs="Arial"/>
          <w:sz w:val="24"/>
          <w:szCs w:val="24"/>
        </w:rPr>
        <w:t xml:space="preserve"> Available at: </w:t>
      </w:r>
      <w:hyperlink r:id="rId12" w:history="1">
        <w:r>
          <w:rPr>
            <w:rStyle w:val="Hyperlink"/>
            <w:rFonts w:cs="Arial"/>
            <w:szCs w:val="24"/>
          </w:rPr>
          <w:t>https://www.techtarget.com/whatis/definition/triple-bottom-line-3BL</w:t>
        </w:r>
      </w:hyperlink>
      <w:r>
        <w:rPr>
          <w:rStyle w:val="Hyperlink"/>
          <w:rFonts w:cs="Arial"/>
          <w:szCs w:val="24"/>
        </w:rPr>
        <w:t xml:space="preserve"> (Accessed 12 Oct. 2023.)</w:t>
      </w:r>
    </w:p>
    <w:p w14:paraId="028043BB" w14:textId="77777777" w:rsidR="00BF781E" w:rsidRDefault="00BF781E" w:rsidP="00BF781E">
      <w:pPr>
        <w:spacing w:after="0" w:line="360" w:lineRule="auto"/>
        <w:ind w:left="720" w:hanging="720"/>
        <w:contextualSpacing/>
        <w:rPr>
          <w:rFonts w:ascii="Arial" w:hAnsi="Arial" w:cs="Arial"/>
          <w:color w:val="222222"/>
          <w:sz w:val="24"/>
          <w:szCs w:val="24"/>
          <w:shd w:val="clear" w:color="auto" w:fill="FFFFFF"/>
        </w:rPr>
      </w:pPr>
      <w:r>
        <w:rPr>
          <w:rFonts w:ascii="Arial" w:hAnsi="Arial" w:cs="Arial"/>
          <w:color w:val="222222"/>
          <w:sz w:val="24"/>
          <w:szCs w:val="24"/>
          <w:shd w:val="clear" w:color="auto" w:fill="FFFFFF"/>
        </w:rPr>
        <w:t>El-Jourbagy, J., Roessing, M., Hair, H. and Banks, C. (2021) 'Creating an Industrial Regulatory Framework to Reduce Plastics'. </w:t>
      </w:r>
      <w:r>
        <w:rPr>
          <w:rFonts w:ascii="Arial" w:hAnsi="Arial" w:cs="Arial"/>
          <w:i/>
          <w:iCs/>
          <w:color w:val="222222"/>
          <w:sz w:val="24"/>
          <w:szCs w:val="24"/>
          <w:shd w:val="clear" w:color="auto" w:fill="FFFFFF"/>
        </w:rPr>
        <w:t>Berkeley Bus. LJ</w:t>
      </w:r>
      <w:r>
        <w:rPr>
          <w:rFonts w:ascii="Arial" w:hAnsi="Arial" w:cs="Arial"/>
          <w:color w:val="222222"/>
          <w:sz w:val="24"/>
          <w:szCs w:val="24"/>
          <w:shd w:val="clear" w:color="auto" w:fill="FFFFFF"/>
        </w:rPr>
        <w:t>, </w:t>
      </w:r>
      <w:r>
        <w:rPr>
          <w:rFonts w:ascii="Arial" w:hAnsi="Arial" w:cs="Arial"/>
          <w:iCs/>
          <w:color w:val="222222"/>
          <w:sz w:val="24"/>
          <w:szCs w:val="24"/>
          <w:shd w:val="clear" w:color="auto" w:fill="FFFFFF"/>
        </w:rPr>
        <w:t>18</w:t>
      </w:r>
      <w:r>
        <w:rPr>
          <w:rFonts w:ascii="Arial" w:hAnsi="Arial" w:cs="Arial"/>
          <w:color w:val="222222"/>
          <w:sz w:val="24"/>
          <w:szCs w:val="24"/>
          <w:shd w:val="clear" w:color="auto" w:fill="FFFFFF"/>
        </w:rPr>
        <w:t xml:space="preserve">, p.94. Available at: </w:t>
      </w:r>
      <w:hyperlink r:id="rId13" w:history="1">
        <w:r>
          <w:rPr>
            <w:rStyle w:val="Hyperlink"/>
            <w:rFonts w:cs="Arial"/>
            <w:szCs w:val="24"/>
            <w:shd w:val="clear" w:color="auto" w:fill="FFFFFF"/>
          </w:rPr>
          <w:t>https://heinonline.org/hol-cgi-bin/get_pdf.cgi?handle=hein.journals/berkbusj18&amp;section=13</w:t>
        </w:r>
      </w:hyperlink>
      <w:r>
        <w:rPr>
          <w:rStyle w:val="Hyperlink"/>
          <w:rFonts w:cs="Arial"/>
          <w:szCs w:val="24"/>
          <w:shd w:val="clear" w:color="auto" w:fill="FFFFFF"/>
        </w:rPr>
        <w:t xml:space="preserve"> (Accessed 10 Oct. 2023)</w:t>
      </w:r>
    </w:p>
    <w:p w14:paraId="0DB31B81"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Filimonau, V. and Delysia, A. (2019) 'Food waste management in hospitality operations: A critical review', </w:t>
      </w:r>
      <w:r>
        <w:rPr>
          <w:rFonts w:ascii="Arial" w:hAnsi="Arial" w:cs="Arial"/>
          <w:i/>
          <w:iCs/>
          <w:sz w:val="24"/>
          <w:szCs w:val="24"/>
          <w:shd w:val="clear" w:color="auto" w:fill="FFFFFF"/>
        </w:rPr>
        <w:t>Tourism management</w:t>
      </w:r>
      <w:r>
        <w:rPr>
          <w:rFonts w:ascii="Arial" w:hAnsi="Arial" w:cs="Arial"/>
          <w:sz w:val="24"/>
          <w:szCs w:val="24"/>
          <w:shd w:val="clear" w:color="auto" w:fill="FFFFFF"/>
        </w:rPr>
        <w:t>, </w:t>
      </w:r>
      <w:r>
        <w:rPr>
          <w:rFonts w:ascii="Arial" w:hAnsi="Arial" w:cs="Arial"/>
          <w:i/>
          <w:iCs/>
          <w:sz w:val="24"/>
          <w:szCs w:val="24"/>
          <w:shd w:val="clear" w:color="auto" w:fill="FFFFFF"/>
        </w:rPr>
        <w:t>71</w:t>
      </w:r>
      <w:r>
        <w:rPr>
          <w:rFonts w:ascii="Arial" w:hAnsi="Arial" w:cs="Arial"/>
          <w:sz w:val="24"/>
          <w:szCs w:val="24"/>
          <w:shd w:val="clear" w:color="auto" w:fill="FFFFFF"/>
        </w:rPr>
        <w:t xml:space="preserve">, pp.234-245. Available at: </w:t>
      </w:r>
      <w:hyperlink r:id="rId14" w:history="1">
        <w:r>
          <w:rPr>
            <w:rStyle w:val="Hyperlink"/>
            <w:rFonts w:cs="Arial"/>
            <w:szCs w:val="24"/>
          </w:rPr>
          <w:t>https://www.sciencedirect.com/science/article/abs/pii/S0261517718302449</w:t>
        </w:r>
      </w:hyperlink>
      <w:r>
        <w:rPr>
          <w:rStyle w:val="Hyperlink"/>
          <w:rFonts w:cs="Arial"/>
          <w:szCs w:val="24"/>
        </w:rPr>
        <w:t xml:space="preserve"> (Accessed 11 Oct. 2023)</w:t>
      </w:r>
    </w:p>
    <w:p w14:paraId="2B32CAAE" w14:textId="77777777" w:rsidR="00BF781E" w:rsidRDefault="00BF781E" w:rsidP="00BF781E">
      <w:pPr>
        <w:spacing w:after="0" w:line="360" w:lineRule="auto"/>
        <w:ind w:left="720" w:hanging="720"/>
        <w:contextualSpacing/>
        <w:rPr>
          <w:rStyle w:val="Hyperlink"/>
          <w:shd w:val="clear" w:color="auto" w:fill="FFFFFF"/>
        </w:rPr>
      </w:pPr>
      <w:r>
        <w:rPr>
          <w:rFonts w:ascii="Arial" w:hAnsi="Arial" w:cs="Arial"/>
          <w:color w:val="222222"/>
          <w:sz w:val="24"/>
          <w:szCs w:val="24"/>
          <w:shd w:val="clear" w:color="auto" w:fill="FFFFFF"/>
        </w:rPr>
        <w:t>Goh, E., Okumus, B., Jie, F., Djajadikerta, H.G. and Lemy, D.M.(2022) 'Managing food wastage in hotels: discrepancies between injunctive and descriptive norms amongst hotel food and beverage managers', </w:t>
      </w:r>
      <w:r>
        <w:rPr>
          <w:rFonts w:ascii="Arial" w:hAnsi="Arial" w:cs="Arial"/>
          <w:i/>
          <w:iCs/>
          <w:color w:val="222222"/>
          <w:sz w:val="24"/>
          <w:szCs w:val="24"/>
          <w:shd w:val="clear" w:color="auto" w:fill="FFFFFF"/>
        </w:rPr>
        <w:t>British Food Journal</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124</w:t>
      </w:r>
      <w:r>
        <w:rPr>
          <w:rFonts w:ascii="Arial" w:hAnsi="Arial" w:cs="Arial"/>
          <w:color w:val="222222"/>
          <w:sz w:val="24"/>
          <w:szCs w:val="24"/>
          <w:shd w:val="clear" w:color="auto" w:fill="FFFFFF"/>
        </w:rPr>
        <w:t xml:space="preserve">(12), pp.4666-4685. Available at: </w:t>
      </w:r>
      <w:hyperlink r:id="rId15" w:history="1">
        <w:r>
          <w:rPr>
            <w:rStyle w:val="Hyperlink"/>
            <w:rFonts w:cs="Arial"/>
            <w:szCs w:val="24"/>
            <w:shd w:val="clear" w:color="auto" w:fill="FFFFFF"/>
          </w:rPr>
          <w:t>https://www.emerald.com/insight/content/doi/10.1108/BFJ-05-2021-0513/full/html</w:t>
        </w:r>
      </w:hyperlink>
      <w:r>
        <w:rPr>
          <w:rStyle w:val="Hyperlink"/>
          <w:rFonts w:cs="Arial"/>
          <w:szCs w:val="24"/>
          <w:shd w:val="clear" w:color="auto" w:fill="FFFFFF"/>
        </w:rPr>
        <w:t xml:space="preserve"> (Accessed 11 Oct. 2023)</w:t>
      </w:r>
    </w:p>
    <w:p w14:paraId="56964323" w14:textId="77777777" w:rsidR="00BF781E" w:rsidRDefault="00BF781E" w:rsidP="00BF781E">
      <w:pPr>
        <w:spacing w:after="0" w:line="360" w:lineRule="auto"/>
        <w:ind w:left="720" w:hanging="720"/>
        <w:contextualSpacing/>
        <w:rPr>
          <w:color w:val="222222"/>
        </w:rPr>
      </w:pPr>
      <w:r>
        <w:rPr>
          <w:rFonts w:ascii="Arial" w:hAnsi="Arial" w:cs="Arial"/>
          <w:color w:val="222222"/>
          <w:sz w:val="24"/>
          <w:szCs w:val="24"/>
          <w:shd w:val="clear" w:color="auto" w:fill="FFFFFF"/>
        </w:rPr>
        <w:t>Guix, M. and Font, X. (2020) 'The Materiality Balanced Scorecard: A framework for stakeholder-led integration of sustainable hospitality management and reporting', </w:t>
      </w:r>
      <w:r>
        <w:rPr>
          <w:rFonts w:ascii="Arial" w:hAnsi="Arial" w:cs="Arial"/>
          <w:i/>
          <w:iCs/>
          <w:color w:val="222222"/>
          <w:sz w:val="24"/>
          <w:szCs w:val="24"/>
          <w:shd w:val="clear" w:color="auto" w:fill="FFFFFF"/>
        </w:rPr>
        <w:t>International Journal of Hospitality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91</w:t>
      </w:r>
      <w:r>
        <w:rPr>
          <w:rFonts w:ascii="Arial" w:hAnsi="Arial" w:cs="Arial"/>
          <w:color w:val="222222"/>
          <w:sz w:val="24"/>
          <w:szCs w:val="24"/>
          <w:shd w:val="clear" w:color="auto" w:fill="FFFFFF"/>
        </w:rPr>
        <w:t xml:space="preserve">, p.102634. Available at: </w:t>
      </w:r>
      <w:hyperlink r:id="rId16" w:history="1">
        <w:r>
          <w:rPr>
            <w:rStyle w:val="Hyperlink"/>
            <w:rFonts w:cs="Arial"/>
            <w:szCs w:val="24"/>
            <w:shd w:val="clear" w:color="auto" w:fill="FFFFFF"/>
          </w:rPr>
          <w:t>https://www.sciencedirect.com/science/article/pii/S0278431920301869</w:t>
        </w:r>
      </w:hyperlink>
      <w:r>
        <w:rPr>
          <w:rStyle w:val="Hyperlink"/>
          <w:rFonts w:cs="Arial"/>
          <w:szCs w:val="24"/>
          <w:shd w:val="clear" w:color="auto" w:fill="FFFFFF"/>
        </w:rPr>
        <w:t xml:space="preserve"> (Accessed 12 </w:t>
      </w:r>
      <w:proofErr w:type="gramStart"/>
      <w:r>
        <w:rPr>
          <w:rStyle w:val="Hyperlink"/>
          <w:rFonts w:cs="Arial"/>
          <w:szCs w:val="24"/>
          <w:shd w:val="clear" w:color="auto" w:fill="FFFFFF"/>
        </w:rPr>
        <w:t>Oct,</w:t>
      </w:r>
      <w:proofErr w:type="gramEnd"/>
      <w:r>
        <w:rPr>
          <w:rStyle w:val="Hyperlink"/>
          <w:rFonts w:cs="Arial"/>
          <w:szCs w:val="24"/>
          <w:shd w:val="clear" w:color="auto" w:fill="FFFFFF"/>
        </w:rPr>
        <w:t xml:space="preserve"> 2023)</w:t>
      </w:r>
    </w:p>
    <w:p w14:paraId="5D9A6BF5" w14:textId="77777777" w:rsidR="00BF781E" w:rsidRDefault="00BF781E" w:rsidP="00BF781E">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Hilton. (2023) '</w:t>
      </w:r>
      <w:r>
        <w:rPr>
          <w:rFonts w:ascii="Times New Roman" w:eastAsia="Times New Roman" w:hAnsi="Times New Roman" w:cs="Times New Roman"/>
          <w:i/>
          <w:iCs/>
          <w:sz w:val="24"/>
          <w:szCs w:val="24"/>
        </w:rPr>
        <w:t>Social Impact:  Travel with Purpose'</w:t>
      </w:r>
      <w:r>
        <w:rPr>
          <w:rFonts w:ascii="Times New Roman" w:eastAsia="Times New Roman" w:hAnsi="Times New Roman" w:cs="Times New Roman"/>
          <w:sz w:val="24"/>
          <w:szCs w:val="24"/>
        </w:rPr>
        <w:t xml:space="preserve">. Available at: </w:t>
      </w:r>
      <w:hyperlink r:id="rId17" w:history="1">
        <w:r>
          <w:rPr>
            <w:rStyle w:val="Hyperlink"/>
            <w:rFonts w:ascii="Times New Roman" w:eastAsia="Times New Roman" w:hAnsi="Times New Roman" w:cs="Times New Roman"/>
            <w:szCs w:val="24"/>
          </w:rPr>
          <w:t>https://esg.hilton.com/social/</w:t>
        </w:r>
      </w:hyperlink>
      <w:r>
        <w:rPr>
          <w:rFonts w:ascii="Times New Roman" w:eastAsia="Times New Roman" w:hAnsi="Times New Roman" w:cs="Times New Roman"/>
          <w:sz w:val="24"/>
          <w:szCs w:val="24"/>
        </w:rPr>
        <w:t>. Accessed 10 Oct. 2023)</w:t>
      </w:r>
    </w:p>
    <w:p w14:paraId="082C7278" w14:textId="77777777" w:rsidR="00BF781E" w:rsidRDefault="00BF781E" w:rsidP="00BF781E">
      <w:pPr>
        <w:spacing w:after="0" w:line="360" w:lineRule="auto"/>
        <w:ind w:left="720" w:hanging="720"/>
        <w:contextualSpacing/>
        <w:rPr>
          <w:rFonts w:ascii="Arial" w:hAnsi="Arial" w:cs="Arial"/>
          <w:color w:val="222222"/>
          <w:sz w:val="24"/>
          <w:szCs w:val="24"/>
          <w:shd w:val="clear" w:color="auto" w:fill="FFFFFF"/>
        </w:rPr>
      </w:pPr>
      <w:r>
        <w:rPr>
          <w:rFonts w:ascii="Arial" w:hAnsi="Arial" w:cs="Arial"/>
          <w:color w:val="222222"/>
          <w:sz w:val="24"/>
          <w:szCs w:val="24"/>
          <w:shd w:val="clear" w:color="auto" w:fill="FFFFFF"/>
        </w:rPr>
        <w:t>Manniche, J., Larsen, K.T. and Broegaard, R.B. (2021) 'The circular economy in tourism: transition perspectives for business and research', </w:t>
      </w:r>
      <w:r>
        <w:rPr>
          <w:rFonts w:ascii="Arial" w:hAnsi="Arial" w:cs="Arial"/>
          <w:i/>
          <w:iCs/>
          <w:color w:val="222222"/>
          <w:sz w:val="24"/>
          <w:szCs w:val="24"/>
          <w:shd w:val="clear" w:color="auto" w:fill="FFFFFF"/>
        </w:rPr>
        <w:t>Scandinavian Journal of Hospitality and Tourism</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21</w:t>
      </w:r>
      <w:r>
        <w:rPr>
          <w:rFonts w:ascii="Arial" w:hAnsi="Arial" w:cs="Arial"/>
          <w:color w:val="222222"/>
          <w:sz w:val="24"/>
          <w:szCs w:val="24"/>
          <w:shd w:val="clear" w:color="auto" w:fill="FFFFFF"/>
        </w:rPr>
        <w:t xml:space="preserve">(3), pp.247-264. Available at: </w:t>
      </w:r>
      <w:hyperlink r:id="rId18" w:history="1">
        <w:r>
          <w:rPr>
            <w:rStyle w:val="Hyperlink"/>
            <w:rFonts w:cs="Arial"/>
            <w:szCs w:val="24"/>
            <w:shd w:val="clear" w:color="auto" w:fill="FFFFFF"/>
          </w:rPr>
          <w:t>https://www.tandfonline.com/doi/abs/10.1080/15022250.2021.1921020</w:t>
        </w:r>
      </w:hyperlink>
      <w:r>
        <w:rPr>
          <w:rStyle w:val="Hyperlink"/>
          <w:rFonts w:cs="Arial"/>
          <w:szCs w:val="24"/>
          <w:shd w:val="clear" w:color="auto" w:fill="FFFFFF"/>
        </w:rPr>
        <w:t xml:space="preserve"> (Accessed 12 Oct.2023)</w:t>
      </w:r>
    </w:p>
    <w:p w14:paraId="2C301E9E" w14:textId="77777777" w:rsidR="00BF781E" w:rsidRDefault="00BF781E" w:rsidP="00BF781E">
      <w:pPr>
        <w:spacing w:after="0" w:line="360" w:lineRule="auto"/>
        <w:ind w:left="720" w:hanging="720"/>
        <w:contextualSpacing/>
        <w:rPr>
          <w:rFonts w:ascii="Arial" w:hAnsi="Arial" w:cs="Arial"/>
          <w:sz w:val="24"/>
          <w:szCs w:val="24"/>
          <w:shd w:val="clear" w:color="auto" w:fill="FFFFFF"/>
        </w:rPr>
      </w:pPr>
      <w:r>
        <w:rPr>
          <w:rFonts w:ascii="Arial" w:hAnsi="Arial" w:cs="Arial"/>
          <w:sz w:val="24"/>
          <w:szCs w:val="24"/>
          <w:shd w:val="clear" w:color="auto" w:fill="FFFFFF"/>
        </w:rPr>
        <w:lastRenderedPageBreak/>
        <w:t xml:space="preserve">Molina-Collado, A., Santos-Vijande, M.L., Gómez-Rico, </w:t>
      </w:r>
      <w:proofErr w:type="gramStart"/>
      <w:r>
        <w:rPr>
          <w:rFonts w:ascii="Arial" w:hAnsi="Arial" w:cs="Arial"/>
          <w:sz w:val="24"/>
          <w:szCs w:val="24"/>
          <w:shd w:val="clear" w:color="auto" w:fill="FFFFFF"/>
        </w:rPr>
        <w:t>M.</w:t>
      </w:r>
      <w:proofErr w:type="gramEnd"/>
      <w:r>
        <w:rPr>
          <w:rFonts w:ascii="Arial" w:hAnsi="Arial" w:cs="Arial"/>
          <w:sz w:val="24"/>
          <w:szCs w:val="24"/>
          <w:shd w:val="clear" w:color="auto" w:fill="FFFFFF"/>
        </w:rPr>
        <w:t xml:space="preserve"> and Madera, J.M. (2022) 'Sustainability in hospitality and tourism: a review of key research topics from 1994 to 202,'. </w:t>
      </w:r>
      <w:r>
        <w:rPr>
          <w:rFonts w:ascii="Arial" w:hAnsi="Arial" w:cs="Arial"/>
          <w:i/>
          <w:iCs/>
          <w:sz w:val="24"/>
          <w:szCs w:val="24"/>
          <w:shd w:val="clear" w:color="auto" w:fill="FFFFFF"/>
        </w:rPr>
        <w:t>International Journal of Contemporary Hospitality Management</w:t>
      </w:r>
      <w:r>
        <w:rPr>
          <w:rFonts w:ascii="Arial" w:hAnsi="Arial" w:cs="Arial"/>
          <w:sz w:val="24"/>
          <w:szCs w:val="24"/>
          <w:shd w:val="clear" w:color="auto" w:fill="FFFFFF"/>
        </w:rPr>
        <w:t>, </w:t>
      </w:r>
      <w:r>
        <w:rPr>
          <w:rFonts w:ascii="Arial" w:hAnsi="Arial" w:cs="Arial"/>
          <w:i/>
          <w:iCs/>
          <w:sz w:val="24"/>
          <w:szCs w:val="24"/>
          <w:shd w:val="clear" w:color="auto" w:fill="FFFFFF"/>
        </w:rPr>
        <w:t>34</w:t>
      </w:r>
      <w:r>
        <w:rPr>
          <w:rFonts w:ascii="Arial" w:hAnsi="Arial" w:cs="Arial"/>
          <w:sz w:val="24"/>
          <w:szCs w:val="24"/>
          <w:shd w:val="clear" w:color="auto" w:fill="FFFFFF"/>
        </w:rPr>
        <w:t xml:space="preserve">(8), pp.3029-3064. Available at: </w:t>
      </w:r>
      <w:hyperlink r:id="rId19" w:history="1">
        <w:r>
          <w:rPr>
            <w:rStyle w:val="Hyperlink"/>
            <w:rFonts w:cs="Arial"/>
            <w:szCs w:val="24"/>
            <w:shd w:val="clear" w:color="auto" w:fill="FFFFFF"/>
          </w:rPr>
          <w:t>https://www.emerald.com/insight/content/doi/10.1108/IJCHM-10-2021-1305/full/html?fbclid=IwAR0jHsThEE9SVf1lFrcfu_CvitB_fUz-hLxAY6fSC00o1gnKrVxHZhgouNk&amp;utm_source=TrendMD&amp;utm_medium=cpc&amp;utm_campaign=International_Journal_of_Contemporary_Hospitality_Management_TrendMD_0&amp;WT.mc_id=Emerald_TrendMD_0</w:t>
        </w:r>
      </w:hyperlink>
      <w:r>
        <w:rPr>
          <w:rStyle w:val="Hyperlink"/>
          <w:rFonts w:cs="Arial"/>
          <w:szCs w:val="24"/>
          <w:shd w:val="clear" w:color="auto" w:fill="FFFFFF"/>
        </w:rPr>
        <w:t xml:space="preserve"> (Accessed 11 Oct. 2023)</w:t>
      </w:r>
    </w:p>
    <w:p w14:paraId="4D134FA4"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Ozturkoglu, Y., Sari, F.O. and Saygili, E. (2021) 'A new holistic conceptual framework for sustainability oriented hospitality innovation with triple bottom line perspective' </w:t>
      </w:r>
      <w:r>
        <w:rPr>
          <w:rFonts w:ascii="Arial" w:hAnsi="Arial" w:cs="Arial"/>
          <w:i/>
          <w:iCs/>
          <w:sz w:val="24"/>
          <w:szCs w:val="24"/>
          <w:shd w:val="clear" w:color="auto" w:fill="FFFFFF"/>
        </w:rPr>
        <w:t>Journal of Hospitality and Tourism Technology</w:t>
      </w:r>
      <w:r>
        <w:rPr>
          <w:rFonts w:ascii="Arial" w:hAnsi="Arial" w:cs="Arial"/>
          <w:sz w:val="24"/>
          <w:szCs w:val="24"/>
          <w:shd w:val="clear" w:color="auto" w:fill="FFFFFF"/>
        </w:rPr>
        <w:t>, </w:t>
      </w:r>
      <w:r>
        <w:rPr>
          <w:rFonts w:ascii="Arial" w:hAnsi="Arial" w:cs="Arial"/>
          <w:i/>
          <w:iCs/>
          <w:sz w:val="24"/>
          <w:szCs w:val="24"/>
          <w:shd w:val="clear" w:color="auto" w:fill="FFFFFF"/>
        </w:rPr>
        <w:t>12</w:t>
      </w:r>
      <w:r>
        <w:rPr>
          <w:rFonts w:ascii="Arial" w:hAnsi="Arial" w:cs="Arial"/>
          <w:sz w:val="24"/>
          <w:szCs w:val="24"/>
          <w:shd w:val="clear" w:color="auto" w:fill="FFFFFF"/>
        </w:rPr>
        <w:t xml:space="preserve">(1), pp.39-57.Available at: </w:t>
      </w:r>
      <w:hyperlink r:id="rId20" w:history="1">
        <w:r>
          <w:rPr>
            <w:rStyle w:val="Hyperlink"/>
            <w:rFonts w:cs="Arial"/>
            <w:szCs w:val="24"/>
          </w:rPr>
          <w:t>https://www.emerald.com/insight/content/doi/10.1108/JHTT-02-2019-0022/full/html</w:t>
        </w:r>
      </w:hyperlink>
      <w:r>
        <w:rPr>
          <w:rStyle w:val="Hyperlink"/>
          <w:rFonts w:cs="Arial"/>
          <w:szCs w:val="24"/>
        </w:rPr>
        <w:t xml:space="preserve"> (Accessed 12 Oct. 2023)</w:t>
      </w:r>
    </w:p>
    <w:p w14:paraId="78E321EA" w14:textId="77777777" w:rsidR="00BF781E" w:rsidRDefault="00BF781E" w:rsidP="00BF781E">
      <w:pPr>
        <w:spacing w:after="0" w:line="360" w:lineRule="auto"/>
        <w:ind w:left="720" w:hanging="720"/>
        <w:contextualSpacing/>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Ruiz Molina, M.E., Belda-Miquel, S., </w:t>
      </w:r>
      <w:proofErr w:type="spellStart"/>
      <w:r>
        <w:rPr>
          <w:rFonts w:ascii="Arial" w:hAnsi="Arial" w:cs="Arial"/>
          <w:color w:val="222222"/>
          <w:sz w:val="24"/>
          <w:szCs w:val="24"/>
          <w:shd w:val="clear" w:color="auto" w:fill="FFFFFF"/>
        </w:rPr>
        <w:t>Hytti</w:t>
      </w:r>
      <w:proofErr w:type="spellEnd"/>
      <w:r>
        <w:rPr>
          <w:rFonts w:ascii="Arial" w:hAnsi="Arial" w:cs="Arial"/>
          <w:color w:val="222222"/>
          <w:sz w:val="24"/>
          <w:szCs w:val="24"/>
          <w:shd w:val="clear" w:color="auto" w:fill="FFFFFF"/>
        </w:rPr>
        <w:t>, A. and Gil-Saura, I.(2022) 'Addressing sustainable food management in hotels: proposing a framework and examining hotel groups', </w:t>
      </w:r>
      <w:r>
        <w:rPr>
          <w:rFonts w:ascii="Arial" w:hAnsi="Arial" w:cs="Arial"/>
          <w:i/>
          <w:iCs/>
          <w:color w:val="222222"/>
          <w:sz w:val="24"/>
          <w:szCs w:val="24"/>
          <w:shd w:val="clear" w:color="auto" w:fill="FFFFFF"/>
        </w:rPr>
        <w:t>British Food Journal</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124</w:t>
      </w:r>
      <w:r>
        <w:rPr>
          <w:rFonts w:ascii="Arial" w:hAnsi="Arial" w:cs="Arial"/>
          <w:color w:val="222222"/>
          <w:sz w:val="24"/>
          <w:szCs w:val="24"/>
          <w:shd w:val="clear" w:color="auto" w:fill="FFFFFF"/>
        </w:rPr>
        <w:t xml:space="preserve">(2), pp.462-492. </w:t>
      </w:r>
      <w:hyperlink r:id="rId21" w:history="1">
        <w:r>
          <w:rPr>
            <w:rStyle w:val="Hyperlink"/>
            <w:rFonts w:cs="Arial"/>
            <w:szCs w:val="24"/>
            <w:shd w:val="clear" w:color="auto" w:fill="FFFFFF"/>
          </w:rPr>
          <w:t>https://www.emerald.com/insight/content/doi/10.1108/BFJ-12-2020-1171/full/html</w:t>
        </w:r>
      </w:hyperlink>
    </w:p>
    <w:p w14:paraId="3C98F7F5"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t xml:space="preserve">Rupp, D.E., Ganapathi, J., Aguilera, R.V., &amp; Williams, C.A. (2006) 'Employee reactions to corporate social responsibility: an organisational justice framework', </w:t>
      </w:r>
      <w:r>
        <w:rPr>
          <w:rFonts w:ascii="Arial" w:hAnsi="Arial" w:cs="Arial"/>
          <w:i/>
          <w:sz w:val="24"/>
          <w:szCs w:val="24"/>
        </w:rPr>
        <w:t>Journal of Organizational Behavior</w:t>
      </w:r>
      <w:r>
        <w:rPr>
          <w:rFonts w:ascii="Arial" w:hAnsi="Arial" w:cs="Arial"/>
          <w:sz w:val="24"/>
          <w:szCs w:val="24"/>
        </w:rPr>
        <w:t>, 27(4), 537-543.</w:t>
      </w:r>
    </w:p>
    <w:p w14:paraId="536D45D9" w14:textId="77777777" w:rsidR="00BF781E" w:rsidRDefault="00BF781E" w:rsidP="00BF781E">
      <w:pPr>
        <w:spacing w:after="0" w:line="360" w:lineRule="auto"/>
        <w:ind w:left="720" w:hanging="720"/>
        <w:contextualSpacing/>
        <w:rPr>
          <w:rFonts w:ascii="Arial" w:hAnsi="Arial" w:cs="Arial"/>
          <w:color w:val="222222"/>
          <w:sz w:val="24"/>
          <w:szCs w:val="24"/>
          <w:shd w:val="clear" w:color="auto" w:fill="FFFFFF"/>
        </w:rPr>
      </w:pPr>
      <w:r>
        <w:rPr>
          <w:rFonts w:ascii="Arial" w:hAnsi="Arial" w:cs="Arial"/>
          <w:color w:val="222222"/>
          <w:sz w:val="24"/>
          <w:szCs w:val="24"/>
          <w:shd w:val="clear" w:color="auto" w:fill="FFFFFF"/>
        </w:rPr>
        <w:t>Scavarda, A., Daú, G., Scavarda, L.F. and Goyannes Gusmão Caiado, R. (2019) 'An analysis of the corporate social responsibility and the Industry 4.0 with focus on the youth generation: A sustainable human resource management framework', </w:t>
      </w:r>
      <w:r>
        <w:rPr>
          <w:rFonts w:ascii="Arial" w:hAnsi="Arial" w:cs="Arial"/>
          <w:i/>
          <w:iCs/>
          <w:color w:val="222222"/>
          <w:sz w:val="24"/>
          <w:szCs w:val="24"/>
          <w:shd w:val="clear" w:color="auto" w:fill="FFFFFF"/>
        </w:rPr>
        <w:t>sustainability</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11</w:t>
      </w:r>
      <w:r>
        <w:rPr>
          <w:rFonts w:ascii="Arial" w:hAnsi="Arial" w:cs="Arial"/>
          <w:color w:val="222222"/>
          <w:sz w:val="24"/>
          <w:szCs w:val="24"/>
          <w:shd w:val="clear" w:color="auto" w:fill="FFFFFF"/>
        </w:rPr>
        <w:t xml:space="preserve">(18), p.5130. Available at: </w:t>
      </w:r>
      <w:hyperlink r:id="rId22" w:history="1">
        <w:r>
          <w:rPr>
            <w:rStyle w:val="Hyperlink"/>
            <w:rFonts w:cs="Arial"/>
            <w:szCs w:val="24"/>
            <w:shd w:val="clear" w:color="auto" w:fill="FFFFFF"/>
          </w:rPr>
          <w:t>https://www.mdpi.com/2071-1050/11/18/5130</w:t>
        </w:r>
      </w:hyperlink>
      <w:r>
        <w:rPr>
          <w:rStyle w:val="Hyperlink"/>
          <w:rFonts w:cs="Arial"/>
          <w:szCs w:val="24"/>
          <w:shd w:val="clear" w:color="auto" w:fill="FFFFFF"/>
        </w:rPr>
        <w:t xml:space="preserve"> (Accessed 12 Oct. 2023)</w:t>
      </w:r>
    </w:p>
    <w:p w14:paraId="221D797D"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Tai, T.D.(2022) 'Impact of corporate social responsibility on social and economic sustainability', </w:t>
      </w:r>
      <w:r>
        <w:rPr>
          <w:rFonts w:ascii="Arial" w:hAnsi="Arial" w:cs="Arial"/>
          <w:i/>
          <w:iCs/>
          <w:sz w:val="24"/>
          <w:szCs w:val="24"/>
          <w:shd w:val="clear" w:color="auto" w:fill="FFFFFF"/>
        </w:rPr>
        <w:t>Economic research-Ekonomska istraživanja</w:t>
      </w:r>
      <w:r>
        <w:rPr>
          <w:rFonts w:ascii="Arial" w:hAnsi="Arial" w:cs="Arial"/>
          <w:sz w:val="24"/>
          <w:szCs w:val="24"/>
          <w:shd w:val="clear" w:color="auto" w:fill="FFFFFF"/>
        </w:rPr>
        <w:t>, </w:t>
      </w:r>
      <w:r>
        <w:rPr>
          <w:rFonts w:ascii="Arial" w:hAnsi="Arial" w:cs="Arial"/>
          <w:i/>
          <w:iCs/>
          <w:sz w:val="24"/>
          <w:szCs w:val="24"/>
          <w:shd w:val="clear" w:color="auto" w:fill="FFFFFF"/>
        </w:rPr>
        <w:t>35</w:t>
      </w:r>
      <w:r>
        <w:rPr>
          <w:rFonts w:ascii="Arial" w:hAnsi="Arial" w:cs="Arial"/>
          <w:sz w:val="24"/>
          <w:szCs w:val="24"/>
          <w:shd w:val="clear" w:color="auto" w:fill="FFFFFF"/>
        </w:rPr>
        <w:t xml:space="preserve">(1), pp.6085-6104. Available at: </w:t>
      </w:r>
      <w:hyperlink r:id="rId23" w:history="1">
        <w:r>
          <w:rPr>
            <w:rStyle w:val="Hyperlink"/>
            <w:rFonts w:cs="Arial"/>
            <w:szCs w:val="24"/>
          </w:rPr>
          <w:t>https://hrcak.srce.hr/file/436863</w:t>
        </w:r>
      </w:hyperlink>
      <w:r>
        <w:rPr>
          <w:rStyle w:val="Hyperlink"/>
          <w:rFonts w:cs="Arial"/>
          <w:szCs w:val="24"/>
        </w:rPr>
        <w:t xml:space="preserve"> (Accessed 11 Oct. 2023)</w:t>
      </w:r>
    </w:p>
    <w:p w14:paraId="5FCA7A37" w14:textId="77777777" w:rsidR="00BF781E" w:rsidRDefault="00BF781E" w:rsidP="00BF781E">
      <w:pPr>
        <w:spacing w:after="0" w:line="360" w:lineRule="auto"/>
        <w:ind w:left="720" w:hanging="720"/>
        <w:contextualSpacing/>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Wang, C., Hu, </w:t>
      </w:r>
      <w:proofErr w:type="gramStart"/>
      <w:r>
        <w:rPr>
          <w:rFonts w:ascii="Arial" w:hAnsi="Arial" w:cs="Arial"/>
          <w:color w:val="222222"/>
          <w:sz w:val="24"/>
          <w:szCs w:val="24"/>
          <w:shd w:val="clear" w:color="auto" w:fill="FFFFFF"/>
        </w:rPr>
        <w:t>R.</w:t>
      </w:r>
      <w:proofErr w:type="gramEnd"/>
      <w:r>
        <w:rPr>
          <w:rFonts w:ascii="Arial" w:hAnsi="Arial" w:cs="Arial"/>
          <w:color w:val="222222"/>
          <w:sz w:val="24"/>
          <w:szCs w:val="24"/>
          <w:shd w:val="clear" w:color="auto" w:fill="FFFFFF"/>
        </w:rPr>
        <w:t xml:space="preserve"> and Zhang, T.C. (2020)' Corporate social responsibility in international hotel chains and its effects on local employees: Scale development and empirical testing in China', </w:t>
      </w:r>
      <w:r>
        <w:rPr>
          <w:rFonts w:ascii="Arial" w:hAnsi="Arial" w:cs="Arial"/>
          <w:i/>
          <w:iCs/>
          <w:color w:val="222222"/>
          <w:sz w:val="24"/>
          <w:szCs w:val="24"/>
          <w:shd w:val="clear" w:color="auto" w:fill="FFFFFF"/>
        </w:rPr>
        <w:t>International Journal of Hospitality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90</w:t>
      </w:r>
      <w:r>
        <w:rPr>
          <w:rFonts w:ascii="Arial" w:hAnsi="Arial" w:cs="Arial"/>
          <w:color w:val="222222"/>
          <w:sz w:val="24"/>
          <w:szCs w:val="24"/>
          <w:shd w:val="clear" w:color="auto" w:fill="FFFFFF"/>
        </w:rPr>
        <w:t xml:space="preserve">, p.102598. Available at: </w:t>
      </w:r>
      <w:hyperlink r:id="rId24" w:history="1">
        <w:r>
          <w:rPr>
            <w:rStyle w:val="Hyperlink"/>
            <w:rFonts w:cs="Arial"/>
            <w:szCs w:val="24"/>
            <w:shd w:val="clear" w:color="auto" w:fill="FFFFFF"/>
          </w:rPr>
          <w:t>https://www.sciencedirect.com/science/article/pii/S027843192030150X</w:t>
        </w:r>
      </w:hyperlink>
      <w:r>
        <w:rPr>
          <w:rStyle w:val="Hyperlink"/>
          <w:rFonts w:cs="Arial"/>
          <w:szCs w:val="24"/>
          <w:shd w:val="clear" w:color="auto" w:fill="FFFFFF"/>
        </w:rPr>
        <w:t xml:space="preserve"> (Accessed 10 Oct. 2023)</w:t>
      </w:r>
    </w:p>
    <w:p w14:paraId="75BF6698"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rPr>
        <w:t xml:space="preserve">Youn, H., Lee, K., and Lee, S. (2018) 'Effects of corporate social responsibility on employees in the casino industry', </w:t>
      </w:r>
      <w:r>
        <w:rPr>
          <w:rFonts w:ascii="Arial" w:hAnsi="Arial" w:cs="Arial"/>
          <w:i/>
          <w:sz w:val="24"/>
          <w:szCs w:val="24"/>
        </w:rPr>
        <w:t>Tourism Management</w:t>
      </w:r>
      <w:r>
        <w:rPr>
          <w:rFonts w:ascii="Arial" w:hAnsi="Arial" w:cs="Arial"/>
          <w:sz w:val="24"/>
          <w:szCs w:val="24"/>
        </w:rPr>
        <w:t>, 68, 328-335.</w:t>
      </w:r>
    </w:p>
    <w:p w14:paraId="4ACFD486" w14:textId="77777777" w:rsidR="00BF781E" w:rsidRDefault="00BF781E" w:rsidP="00BF781E">
      <w:pPr>
        <w:spacing w:after="0" w:line="360" w:lineRule="auto"/>
        <w:ind w:left="720" w:hanging="720"/>
        <w:contextualSpacing/>
        <w:rPr>
          <w:rFonts w:ascii="Arial" w:hAnsi="Arial" w:cs="Arial"/>
          <w:sz w:val="24"/>
          <w:szCs w:val="24"/>
          <w:shd w:val="clear" w:color="auto" w:fill="FFFFFF"/>
        </w:rPr>
      </w:pPr>
      <w:r>
        <w:rPr>
          <w:rFonts w:ascii="Arial" w:hAnsi="Arial" w:cs="Arial"/>
          <w:sz w:val="24"/>
          <w:szCs w:val="24"/>
          <w:shd w:val="clear" w:color="auto" w:fill="FFFFFF"/>
        </w:rPr>
        <w:t>Yousaf, Z., Radulescu, M., Sinisi, C.I., Serbanescu, L. and Paunescu, L.M. (2021) 'Harmonisation of green motives and green business strategies towards sustainable development of hospitality and tourism industry: Green environmental policies', </w:t>
      </w:r>
      <w:r>
        <w:rPr>
          <w:rFonts w:ascii="Arial" w:hAnsi="Arial" w:cs="Arial"/>
          <w:i/>
          <w:iCs/>
          <w:sz w:val="24"/>
          <w:szCs w:val="24"/>
          <w:shd w:val="clear" w:color="auto" w:fill="FFFFFF"/>
        </w:rPr>
        <w:t>Sustainability</w:t>
      </w:r>
      <w:r>
        <w:rPr>
          <w:rFonts w:ascii="Arial" w:hAnsi="Arial" w:cs="Arial"/>
          <w:sz w:val="24"/>
          <w:szCs w:val="24"/>
          <w:shd w:val="clear" w:color="auto" w:fill="FFFFFF"/>
        </w:rPr>
        <w:t>, </w:t>
      </w:r>
      <w:r>
        <w:rPr>
          <w:rFonts w:ascii="Arial" w:hAnsi="Arial" w:cs="Arial"/>
          <w:i/>
          <w:iCs/>
          <w:sz w:val="24"/>
          <w:szCs w:val="24"/>
          <w:shd w:val="clear" w:color="auto" w:fill="FFFFFF"/>
        </w:rPr>
        <w:t>13</w:t>
      </w:r>
      <w:r>
        <w:rPr>
          <w:rFonts w:ascii="Arial" w:hAnsi="Arial" w:cs="Arial"/>
          <w:sz w:val="24"/>
          <w:szCs w:val="24"/>
          <w:shd w:val="clear" w:color="auto" w:fill="FFFFFF"/>
        </w:rPr>
        <w:t xml:space="preserve">(12), p.6592. Available at: </w:t>
      </w:r>
      <w:hyperlink r:id="rId25" w:history="1">
        <w:r>
          <w:rPr>
            <w:rStyle w:val="Hyperlink"/>
            <w:rFonts w:cs="Arial"/>
            <w:szCs w:val="24"/>
            <w:shd w:val="clear" w:color="auto" w:fill="FFFFFF"/>
          </w:rPr>
          <w:t>https://www.mdpi.com/2071-1050/13/12/6592</w:t>
        </w:r>
      </w:hyperlink>
      <w:r>
        <w:rPr>
          <w:rStyle w:val="Hyperlink"/>
          <w:rFonts w:cs="Arial"/>
          <w:szCs w:val="24"/>
          <w:shd w:val="clear" w:color="auto" w:fill="FFFFFF"/>
        </w:rPr>
        <w:t xml:space="preserve"> (Accessed 12 Oct. 2023)</w:t>
      </w:r>
    </w:p>
    <w:p w14:paraId="2218E389" w14:textId="77777777" w:rsidR="00BF781E" w:rsidRDefault="00BF781E" w:rsidP="00BF781E">
      <w:pPr>
        <w:spacing w:after="0" w:line="360" w:lineRule="auto"/>
        <w:ind w:left="720" w:hanging="720"/>
        <w:contextualSpacing/>
        <w:rPr>
          <w:rFonts w:ascii="Arial" w:hAnsi="Arial" w:cs="Arial"/>
          <w:sz w:val="24"/>
          <w:szCs w:val="24"/>
        </w:rPr>
      </w:pPr>
      <w:r>
        <w:rPr>
          <w:rFonts w:ascii="Arial" w:hAnsi="Arial" w:cs="Arial"/>
          <w:sz w:val="24"/>
          <w:szCs w:val="24"/>
          <w:shd w:val="clear" w:color="auto" w:fill="FFFFFF"/>
        </w:rPr>
        <w:t>Zhang, H., Omhand, K., Li, H., Ahmad, A., Samad, S., Gavrilut, D. and Badulescu, D. (2022) 'Corporate Social Responsibility and Energy-Related Pro-Environmental Behaviour of Employees in Hospitality Industry'. </w:t>
      </w:r>
      <w:r>
        <w:rPr>
          <w:rFonts w:ascii="Arial" w:hAnsi="Arial" w:cs="Arial"/>
          <w:i/>
          <w:iCs/>
          <w:sz w:val="24"/>
          <w:szCs w:val="24"/>
          <w:shd w:val="clear" w:color="auto" w:fill="FFFFFF"/>
        </w:rPr>
        <w:t>International Journal of Environmental Research and Public Health</w:t>
      </w:r>
      <w:r>
        <w:rPr>
          <w:rFonts w:ascii="Arial" w:hAnsi="Arial" w:cs="Arial"/>
          <w:sz w:val="24"/>
          <w:szCs w:val="24"/>
          <w:shd w:val="clear" w:color="auto" w:fill="FFFFFF"/>
        </w:rPr>
        <w:t>, </w:t>
      </w:r>
      <w:r>
        <w:rPr>
          <w:rFonts w:ascii="Arial" w:hAnsi="Arial" w:cs="Arial"/>
          <w:i/>
          <w:iCs/>
          <w:sz w:val="24"/>
          <w:szCs w:val="24"/>
          <w:shd w:val="clear" w:color="auto" w:fill="FFFFFF"/>
        </w:rPr>
        <w:t>19</w:t>
      </w:r>
      <w:r>
        <w:rPr>
          <w:rFonts w:ascii="Arial" w:hAnsi="Arial" w:cs="Arial"/>
          <w:sz w:val="24"/>
          <w:szCs w:val="24"/>
          <w:shd w:val="clear" w:color="auto" w:fill="FFFFFF"/>
        </w:rPr>
        <w:t xml:space="preserve">(23), p.16141. </w:t>
      </w:r>
      <w:hyperlink r:id="rId26" w:history="1">
        <w:r>
          <w:rPr>
            <w:rStyle w:val="Hyperlink"/>
            <w:rFonts w:cs="Arial"/>
            <w:szCs w:val="24"/>
          </w:rPr>
          <w:t>https://www.mdpi.com/1660-4601/19/23/16141</w:t>
        </w:r>
      </w:hyperlink>
    </w:p>
    <w:p w14:paraId="2FDDC3DB" w14:textId="77777777" w:rsidR="00BF781E" w:rsidRDefault="00BF781E" w:rsidP="00BF781E">
      <w:pPr>
        <w:spacing w:after="0" w:line="360" w:lineRule="auto"/>
        <w:ind w:left="720" w:hanging="720"/>
        <w:contextualSpacing/>
        <w:rPr>
          <w:rFonts w:ascii="Arial" w:hAnsi="Arial" w:cs="Arial"/>
          <w:sz w:val="24"/>
          <w:szCs w:val="24"/>
          <w:shd w:val="clear" w:color="auto" w:fill="FFFFFF"/>
        </w:rPr>
      </w:pPr>
    </w:p>
    <w:p w14:paraId="61D49A4C" w14:textId="77777777" w:rsidR="00BF781E" w:rsidRPr="00BF781E" w:rsidRDefault="00BF781E" w:rsidP="00BF781E"/>
    <w:p w14:paraId="6D1D4610" w14:textId="77777777" w:rsidR="00BF781E" w:rsidRPr="00BF781E" w:rsidRDefault="00BF781E" w:rsidP="00BF781E"/>
    <w:p w14:paraId="582B355C" w14:textId="77777777" w:rsidR="00BF781E" w:rsidRDefault="00BF781E" w:rsidP="00BF781E">
      <w:pPr>
        <w:spacing w:line="360" w:lineRule="auto"/>
        <w:ind w:firstLine="720"/>
        <w:jc w:val="both"/>
        <w:rPr>
          <w:rFonts w:ascii="Arial" w:hAnsi="Arial" w:cs="Arial"/>
          <w:i/>
          <w:sz w:val="24"/>
          <w:szCs w:val="24"/>
        </w:rPr>
      </w:pPr>
    </w:p>
    <w:p w14:paraId="2FBFF9D6" w14:textId="77777777" w:rsidR="00BF781E" w:rsidRDefault="00BF781E" w:rsidP="00BF781E">
      <w:pPr>
        <w:spacing w:line="360" w:lineRule="auto"/>
        <w:ind w:firstLine="720"/>
        <w:jc w:val="both"/>
        <w:rPr>
          <w:rFonts w:ascii="Arial" w:hAnsi="Arial" w:cs="Arial"/>
          <w:sz w:val="24"/>
          <w:szCs w:val="24"/>
        </w:rPr>
      </w:pPr>
    </w:p>
    <w:p w14:paraId="425067A2" w14:textId="77777777" w:rsidR="00BF781E" w:rsidRPr="00BF781E" w:rsidRDefault="00BF781E" w:rsidP="00BF781E"/>
    <w:p w14:paraId="4131D71B" w14:textId="77777777" w:rsidR="00BF781E" w:rsidRDefault="00BF781E" w:rsidP="00B85170">
      <w:pPr>
        <w:spacing w:line="360" w:lineRule="auto"/>
        <w:ind w:firstLine="720"/>
        <w:jc w:val="both"/>
        <w:rPr>
          <w:rFonts w:ascii="Arial" w:hAnsi="Arial" w:cs="Arial"/>
          <w:sz w:val="24"/>
          <w:szCs w:val="24"/>
        </w:rPr>
      </w:pPr>
    </w:p>
    <w:p w14:paraId="3326C642" w14:textId="77777777" w:rsidR="00B85170" w:rsidRPr="00B85170" w:rsidRDefault="00B85170" w:rsidP="00B85170"/>
    <w:p w14:paraId="176EA0D4" w14:textId="77777777" w:rsidR="00B85170" w:rsidRDefault="00B85170" w:rsidP="00B85170">
      <w:pPr>
        <w:spacing w:line="360" w:lineRule="auto"/>
        <w:ind w:firstLine="720"/>
        <w:jc w:val="both"/>
        <w:rPr>
          <w:rFonts w:ascii="Arial" w:hAnsi="Arial" w:cs="Arial"/>
          <w:sz w:val="24"/>
          <w:szCs w:val="24"/>
        </w:rPr>
      </w:pPr>
    </w:p>
    <w:p w14:paraId="22D3A55C" w14:textId="77777777" w:rsidR="00B85170" w:rsidRPr="00B85170" w:rsidRDefault="00B85170" w:rsidP="00B85170">
      <w:pPr>
        <w:spacing w:line="360" w:lineRule="auto"/>
        <w:ind w:firstLine="720"/>
        <w:jc w:val="center"/>
        <w:rPr>
          <w:rFonts w:ascii="Arial" w:hAnsi="Arial" w:cs="Arial"/>
          <w:b/>
          <w:bCs/>
          <w:sz w:val="24"/>
          <w:szCs w:val="24"/>
        </w:rPr>
      </w:pPr>
    </w:p>
    <w:p w14:paraId="173243AF" w14:textId="77777777" w:rsidR="00B85170" w:rsidRPr="00B85170" w:rsidRDefault="00B85170" w:rsidP="00B85170">
      <w:pPr>
        <w:spacing w:line="360" w:lineRule="auto"/>
        <w:ind w:firstLine="720"/>
        <w:jc w:val="both"/>
        <w:rPr>
          <w:rFonts w:ascii="Arial" w:hAnsi="Arial" w:cs="Arial"/>
          <w:b/>
          <w:bCs/>
          <w:sz w:val="24"/>
          <w:szCs w:val="24"/>
        </w:rPr>
      </w:pPr>
    </w:p>
    <w:p w14:paraId="589D7060" w14:textId="77777777" w:rsidR="00B85170" w:rsidRDefault="00B85170" w:rsidP="00B85170">
      <w:pPr>
        <w:rPr>
          <w:rFonts w:ascii="Arial" w:hAnsi="Arial" w:cs="Arial"/>
          <w:b/>
          <w:bCs/>
          <w:sz w:val="28"/>
          <w:szCs w:val="28"/>
        </w:rPr>
      </w:pPr>
    </w:p>
    <w:p w14:paraId="4B407C89" w14:textId="77777777" w:rsidR="00B85170" w:rsidRDefault="00B85170" w:rsidP="00B85170">
      <w:pPr>
        <w:rPr>
          <w:rFonts w:ascii="Arial" w:hAnsi="Arial" w:cs="Arial"/>
          <w:b/>
          <w:bCs/>
          <w:sz w:val="28"/>
          <w:szCs w:val="28"/>
        </w:rPr>
      </w:pPr>
    </w:p>
    <w:p w14:paraId="1FC68C1F" w14:textId="77777777" w:rsidR="00B85170" w:rsidRDefault="00B85170" w:rsidP="00B85170">
      <w:pPr>
        <w:rPr>
          <w:rFonts w:ascii="Arial" w:hAnsi="Arial" w:cs="Arial"/>
          <w:b/>
          <w:bCs/>
          <w:sz w:val="28"/>
          <w:szCs w:val="28"/>
        </w:rPr>
      </w:pPr>
    </w:p>
    <w:p w14:paraId="03695E6F" w14:textId="77777777" w:rsidR="00B85170" w:rsidRDefault="00B85170" w:rsidP="00B85170">
      <w:pPr>
        <w:rPr>
          <w:rFonts w:ascii="Arial" w:hAnsi="Arial" w:cs="Arial"/>
          <w:b/>
          <w:bCs/>
          <w:sz w:val="28"/>
          <w:szCs w:val="28"/>
        </w:rPr>
      </w:pPr>
    </w:p>
    <w:p w14:paraId="6AA06CFC" w14:textId="77777777" w:rsidR="00B85170" w:rsidRDefault="00B85170" w:rsidP="00B85170">
      <w:pPr>
        <w:rPr>
          <w:rFonts w:ascii="Arial" w:hAnsi="Arial" w:cs="Arial"/>
          <w:b/>
          <w:bCs/>
          <w:sz w:val="28"/>
          <w:szCs w:val="28"/>
        </w:rPr>
      </w:pPr>
    </w:p>
    <w:p w14:paraId="35E727CB" w14:textId="7781F1C2" w:rsidR="00B85170" w:rsidRPr="00B85170" w:rsidRDefault="00B85170" w:rsidP="00B85170">
      <w:pPr>
        <w:rPr>
          <w:rFonts w:ascii="Arial" w:hAnsi="Arial" w:cs="Arial"/>
          <w:b/>
          <w:bCs/>
          <w:sz w:val="28"/>
          <w:szCs w:val="28"/>
        </w:rPr>
      </w:pPr>
    </w:p>
    <w:sectPr w:rsidR="00B85170" w:rsidRPr="00B85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DE9"/>
    <w:rsid w:val="002E22C4"/>
    <w:rsid w:val="003F31C8"/>
    <w:rsid w:val="007B1DE9"/>
    <w:rsid w:val="00A153AE"/>
    <w:rsid w:val="00B85170"/>
    <w:rsid w:val="00BF781E"/>
    <w:rsid w:val="00CE5486"/>
    <w:rsid w:val="00F05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2AF8"/>
  <w15:chartTrackingRefBased/>
  <w15:docId w15:val="{583FB70F-44B4-4E06-AA00-04E9CEEF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170"/>
    <w:pPr>
      <w:spacing w:line="256" w:lineRule="auto"/>
    </w:pPr>
    <w:rPr>
      <w:kern w:val="0"/>
      <w14:ligatures w14:val="none"/>
    </w:rPr>
  </w:style>
  <w:style w:type="paragraph" w:styleId="Heading1">
    <w:name w:val="heading 1"/>
    <w:basedOn w:val="Normal"/>
    <w:next w:val="Normal"/>
    <w:link w:val="Heading1Char"/>
    <w:uiPriority w:val="9"/>
    <w:qFormat/>
    <w:rsid w:val="00B85170"/>
    <w:pPr>
      <w:keepNext/>
      <w:keepLines/>
      <w:spacing w:before="240" w:after="0" w:line="360" w:lineRule="auto"/>
      <w:jc w:val="center"/>
      <w:outlineLvl w:val="0"/>
    </w:pPr>
    <w:rPr>
      <w:rFonts w:ascii="Arial" w:eastAsiaTheme="majorEastAsia" w:hAnsi="Arial" w:cstheme="majorBid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170"/>
    <w:rPr>
      <w:rFonts w:ascii="Arial" w:eastAsiaTheme="majorEastAsia" w:hAnsi="Arial" w:cstheme="majorBidi"/>
      <w:kern w:val="0"/>
      <w:sz w:val="24"/>
      <w:szCs w:val="32"/>
      <w14:ligatures w14:val="none"/>
    </w:rPr>
  </w:style>
  <w:style w:type="character" w:styleId="Hyperlink">
    <w:name w:val="Hyperlink"/>
    <w:basedOn w:val="DefaultParagraphFont"/>
    <w:uiPriority w:val="99"/>
    <w:semiHidden/>
    <w:unhideWhenUsed/>
    <w:rsid w:val="00BF78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0861">
      <w:bodyDiv w:val="1"/>
      <w:marLeft w:val="0"/>
      <w:marRight w:val="0"/>
      <w:marTop w:val="0"/>
      <w:marBottom w:val="0"/>
      <w:divBdr>
        <w:top w:val="none" w:sz="0" w:space="0" w:color="auto"/>
        <w:left w:val="none" w:sz="0" w:space="0" w:color="auto"/>
        <w:bottom w:val="none" w:sz="0" w:space="0" w:color="auto"/>
        <w:right w:val="none" w:sz="0" w:space="0" w:color="auto"/>
      </w:divBdr>
    </w:div>
    <w:div w:id="61098677">
      <w:bodyDiv w:val="1"/>
      <w:marLeft w:val="0"/>
      <w:marRight w:val="0"/>
      <w:marTop w:val="0"/>
      <w:marBottom w:val="0"/>
      <w:divBdr>
        <w:top w:val="none" w:sz="0" w:space="0" w:color="auto"/>
        <w:left w:val="none" w:sz="0" w:space="0" w:color="auto"/>
        <w:bottom w:val="none" w:sz="0" w:space="0" w:color="auto"/>
        <w:right w:val="none" w:sz="0" w:space="0" w:color="auto"/>
      </w:divBdr>
    </w:div>
    <w:div w:id="76900840">
      <w:bodyDiv w:val="1"/>
      <w:marLeft w:val="0"/>
      <w:marRight w:val="0"/>
      <w:marTop w:val="0"/>
      <w:marBottom w:val="0"/>
      <w:divBdr>
        <w:top w:val="none" w:sz="0" w:space="0" w:color="auto"/>
        <w:left w:val="none" w:sz="0" w:space="0" w:color="auto"/>
        <w:bottom w:val="none" w:sz="0" w:space="0" w:color="auto"/>
        <w:right w:val="none" w:sz="0" w:space="0" w:color="auto"/>
      </w:divBdr>
    </w:div>
    <w:div w:id="132333158">
      <w:bodyDiv w:val="1"/>
      <w:marLeft w:val="0"/>
      <w:marRight w:val="0"/>
      <w:marTop w:val="0"/>
      <w:marBottom w:val="0"/>
      <w:divBdr>
        <w:top w:val="none" w:sz="0" w:space="0" w:color="auto"/>
        <w:left w:val="none" w:sz="0" w:space="0" w:color="auto"/>
        <w:bottom w:val="none" w:sz="0" w:space="0" w:color="auto"/>
        <w:right w:val="none" w:sz="0" w:space="0" w:color="auto"/>
      </w:divBdr>
    </w:div>
    <w:div w:id="207230670">
      <w:bodyDiv w:val="1"/>
      <w:marLeft w:val="0"/>
      <w:marRight w:val="0"/>
      <w:marTop w:val="0"/>
      <w:marBottom w:val="0"/>
      <w:divBdr>
        <w:top w:val="none" w:sz="0" w:space="0" w:color="auto"/>
        <w:left w:val="none" w:sz="0" w:space="0" w:color="auto"/>
        <w:bottom w:val="none" w:sz="0" w:space="0" w:color="auto"/>
        <w:right w:val="none" w:sz="0" w:space="0" w:color="auto"/>
      </w:divBdr>
    </w:div>
    <w:div w:id="435636335">
      <w:bodyDiv w:val="1"/>
      <w:marLeft w:val="0"/>
      <w:marRight w:val="0"/>
      <w:marTop w:val="0"/>
      <w:marBottom w:val="0"/>
      <w:divBdr>
        <w:top w:val="none" w:sz="0" w:space="0" w:color="auto"/>
        <w:left w:val="none" w:sz="0" w:space="0" w:color="auto"/>
        <w:bottom w:val="none" w:sz="0" w:space="0" w:color="auto"/>
        <w:right w:val="none" w:sz="0" w:space="0" w:color="auto"/>
      </w:divBdr>
    </w:div>
    <w:div w:id="1216894240">
      <w:bodyDiv w:val="1"/>
      <w:marLeft w:val="0"/>
      <w:marRight w:val="0"/>
      <w:marTop w:val="0"/>
      <w:marBottom w:val="0"/>
      <w:divBdr>
        <w:top w:val="none" w:sz="0" w:space="0" w:color="auto"/>
        <w:left w:val="none" w:sz="0" w:space="0" w:color="auto"/>
        <w:bottom w:val="none" w:sz="0" w:space="0" w:color="auto"/>
        <w:right w:val="none" w:sz="0" w:space="0" w:color="auto"/>
      </w:divBdr>
    </w:div>
    <w:div w:id="1329358971">
      <w:bodyDiv w:val="1"/>
      <w:marLeft w:val="0"/>
      <w:marRight w:val="0"/>
      <w:marTop w:val="0"/>
      <w:marBottom w:val="0"/>
      <w:divBdr>
        <w:top w:val="none" w:sz="0" w:space="0" w:color="auto"/>
        <w:left w:val="none" w:sz="0" w:space="0" w:color="auto"/>
        <w:bottom w:val="none" w:sz="0" w:space="0" w:color="auto"/>
        <w:right w:val="none" w:sz="0" w:space="0" w:color="auto"/>
      </w:divBdr>
    </w:div>
    <w:div w:id="1363507983">
      <w:bodyDiv w:val="1"/>
      <w:marLeft w:val="0"/>
      <w:marRight w:val="0"/>
      <w:marTop w:val="0"/>
      <w:marBottom w:val="0"/>
      <w:divBdr>
        <w:top w:val="none" w:sz="0" w:space="0" w:color="auto"/>
        <w:left w:val="none" w:sz="0" w:space="0" w:color="auto"/>
        <w:bottom w:val="none" w:sz="0" w:space="0" w:color="auto"/>
        <w:right w:val="none" w:sz="0" w:space="0" w:color="auto"/>
      </w:divBdr>
    </w:div>
    <w:div w:id="1765417964">
      <w:bodyDiv w:val="1"/>
      <w:marLeft w:val="0"/>
      <w:marRight w:val="0"/>
      <w:marTop w:val="0"/>
      <w:marBottom w:val="0"/>
      <w:divBdr>
        <w:top w:val="none" w:sz="0" w:space="0" w:color="auto"/>
        <w:left w:val="none" w:sz="0" w:space="0" w:color="auto"/>
        <w:bottom w:val="none" w:sz="0" w:space="0" w:color="auto"/>
        <w:right w:val="none" w:sz="0" w:space="0" w:color="auto"/>
      </w:divBdr>
    </w:div>
    <w:div w:id="1768846640">
      <w:bodyDiv w:val="1"/>
      <w:marLeft w:val="0"/>
      <w:marRight w:val="0"/>
      <w:marTop w:val="0"/>
      <w:marBottom w:val="0"/>
      <w:divBdr>
        <w:top w:val="none" w:sz="0" w:space="0" w:color="auto"/>
        <w:left w:val="none" w:sz="0" w:space="0" w:color="auto"/>
        <w:bottom w:val="none" w:sz="0" w:space="0" w:color="auto"/>
        <w:right w:val="none" w:sz="0" w:space="0" w:color="auto"/>
      </w:divBdr>
    </w:div>
    <w:div w:id="1888712852">
      <w:bodyDiv w:val="1"/>
      <w:marLeft w:val="0"/>
      <w:marRight w:val="0"/>
      <w:marTop w:val="0"/>
      <w:marBottom w:val="0"/>
      <w:divBdr>
        <w:top w:val="none" w:sz="0" w:space="0" w:color="auto"/>
        <w:left w:val="none" w:sz="0" w:space="0" w:color="auto"/>
        <w:bottom w:val="none" w:sz="0" w:space="0" w:color="auto"/>
        <w:right w:val="none" w:sz="0" w:space="0" w:color="auto"/>
      </w:divBdr>
    </w:div>
    <w:div w:id="1929533354">
      <w:bodyDiv w:val="1"/>
      <w:marLeft w:val="0"/>
      <w:marRight w:val="0"/>
      <w:marTop w:val="0"/>
      <w:marBottom w:val="0"/>
      <w:divBdr>
        <w:top w:val="none" w:sz="0" w:space="0" w:color="auto"/>
        <w:left w:val="none" w:sz="0" w:space="0" w:color="auto"/>
        <w:bottom w:val="none" w:sz="0" w:space="0" w:color="auto"/>
        <w:right w:val="none" w:sz="0" w:space="0" w:color="auto"/>
      </w:divBdr>
    </w:div>
    <w:div w:id="213236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i-global.com/book/managing-sustainable-tourism-resources/192041" TargetMode="External"/><Relationship Id="rId13" Type="http://schemas.openxmlformats.org/officeDocument/2006/relationships/hyperlink" Target="https://heinonline.org/hol-cgi-bin/get_pdf.cgi?handle=hein.journals/berkbusj18&amp;section=13" TargetMode="External"/><Relationship Id="rId18" Type="http://schemas.openxmlformats.org/officeDocument/2006/relationships/hyperlink" Target="https://www.tandfonline.com/doi/abs/10.1080/15022250.2021.1921020" TargetMode="External"/><Relationship Id="rId26" Type="http://schemas.openxmlformats.org/officeDocument/2006/relationships/hyperlink" Target="https://www.mdpi.com/1660-4601/19/23/16141" TargetMode="External"/><Relationship Id="rId3" Type="http://schemas.openxmlformats.org/officeDocument/2006/relationships/webSettings" Target="webSettings.xml"/><Relationship Id="rId21" Type="http://schemas.openxmlformats.org/officeDocument/2006/relationships/hyperlink" Target="https://www.emerald.com/insight/content/doi/10.1108/BFJ-12-2020-1171/full/html" TargetMode="External"/><Relationship Id="rId7" Type="http://schemas.openxmlformats.org/officeDocument/2006/relationships/hyperlink" Target="https://www.sciencedirect.com/science/article/abs/pii/S2352710216301152" TargetMode="External"/><Relationship Id="rId12" Type="http://schemas.openxmlformats.org/officeDocument/2006/relationships/hyperlink" Target="https://www.techtarget.com/whatis/definition/triple-bottom-line-3BL" TargetMode="External"/><Relationship Id="rId17" Type="http://schemas.openxmlformats.org/officeDocument/2006/relationships/hyperlink" Target="https://esg.hilton.com/social/" TargetMode="External"/><Relationship Id="rId25" Type="http://schemas.openxmlformats.org/officeDocument/2006/relationships/hyperlink" Target="https://www.mdpi.com/2071-1050/13/12/6592" TargetMode="External"/><Relationship Id="rId2" Type="http://schemas.openxmlformats.org/officeDocument/2006/relationships/settings" Target="settings.xml"/><Relationship Id="rId16" Type="http://schemas.openxmlformats.org/officeDocument/2006/relationships/hyperlink" Target="https://www.sciencedirect.com/science/article/pii/S0278431920301869" TargetMode="External"/><Relationship Id="rId20" Type="http://schemas.openxmlformats.org/officeDocument/2006/relationships/hyperlink" Target="https://www.emerald.com/insight/content/doi/10.1108/JHTT-02-2019-0022/full/html" TargetMode="External"/><Relationship Id="rId1" Type="http://schemas.openxmlformats.org/officeDocument/2006/relationships/styles" Target="styles.xml"/><Relationship Id="rId6" Type="http://schemas.openxmlformats.org/officeDocument/2006/relationships/hyperlink" Target="https://www.emerald.com/insight/content/doi/10.1108/JHTT-02-2016-0010/full/html%20(Accessed%2012" TargetMode="External"/><Relationship Id="rId11" Type="http://schemas.openxmlformats.org/officeDocument/2006/relationships/hyperlink" Target="https://us.sagepub.com/en-us/nam/essentials-of-tourism/book278640" TargetMode="External"/><Relationship Id="rId24" Type="http://schemas.openxmlformats.org/officeDocument/2006/relationships/hyperlink" Target="https://www.sciencedirect.com/science/article/pii/S027843192030150X" TargetMode="External"/><Relationship Id="rId5" Type="http://schemas.openxmlformats.org/officeDocument/2006/relationships/hyperlink" Target="https://enrichment.iocspublisher.org/index.php/enrichment/article/view/447" TargetMode="External"/><Relationship Id="rId15" Type="http://schemas.openxmlformats.org/officeDocument/2006/relationships/hyperlink" Target="https://www.emerald.com/insight/content/doi/10.1108/BFJ-05-2021-0513/full/html" TargetMode="External"/><Relationship Id="rId23" Type="http://schemas.openxmlformats.org/officeDocument/2006/relationships/hyperlink" Target="https://hrcak.srce.hr/file/436863" TargetMode="External"/><Relationship Id="rId28" Type="http://schemas.openxmlformats.org/officeDocument/2006/relationships/theme" Target="theme/theme1.xml"/><Relationship Id="rId10" Type="http://schemas.openxmlformats.org/officeDocument/2006/relationships/hyperlink" Target="https://www.mdpi.com/2071-1050/13/18/10380" TargetMode="External"/><Relationship Id="rId19" Type="http://schemas.openxmlformats.org/officeDocument/2006/relationships/hyperlink" Target="https://www.emerald.com/insight/content/doi/10.1108/IJCHM-10-2021-1305/full/html?fbclid=IwAR0jHsThEE9SVf1lFrcfu_CvitB_fUz-hLxAY6fSC00o1gnKrVxHZhgouNk&amp;utm_source=TrendMD&amp;utm_medium=cpc&amp;utm_campaign=International_Journal_of_Contemporary_Hospitality_Management_TrendMD_0&amp;WT.mc_id=Emerald_TrendMD_0" TargetMode="External"/><Relationship Id="rId4" Type="http://schemas.openxmlformats.org/officeDocument/2006/relationships/image" Target="media/image1.png"/><Relationship Id="rId9" Type="http://schemas.openxmlformats.org/officeDocument/2006/relationships/hyperlink" Target="https://acris.aalto.fi/ws/portalfiles/portal/30824246/SCI_Byrne_Lund_Sustaining_2019_WENE_editorial_Sustaining_our_Common_Future_final.pdf" TargetMode="External"/><Relationship Id="rId14" Type="http://schemas.openxmlformats.org/officeDocument/2006/relationships/hyperlink" Target="https://www.sciencedirect.com/science/article/abs/pii/S0261517718302449" TargetMode="External"/><Relationship Id="rId22" Type="http://schemas.openxmlformats.org/officeDocument/2006/relationships/hyperlink" Target="https://www.mdpi.com/2071-1050/11/18/513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3663</Words>
  <Characters>20884</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2023-10-18T07:30:00Z</dcterms:created>
  <dcterms:modified xsi:type="dcterms:W3CDTF">2023-10-18T07:30:00Z</dcterms:modified>
</cp:coreProperties>
</file>