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14C139" w14:textId="77777777" w:rsidR="00B5706F" w:rsidRDefault="00B5706F" w:rsidP="00B5706F">
      <w:pPr>
        <w:pStyle w:val="Heading1"/>
      </w:pPr>
    </w:p>
    <w:p w14:paraId="2F0B0BCE" w14:textId="14052A0C" w:rsidR="00B5706F" w:rsidRPr="00B5706F" w:rsidRDefault="00B5706F" w:rsidP="00B5706F">
      <w:pPr>
        <w:jc w:val="center"/>
        <w:rPr>
          <w:rFonts w:asciiTheme="majorHAnsi" w:hAnsiTheme="majorHAnsi" w:cstheme="majorHAnsi"/>
          <w:bCs/>
          <w:sz w:val="36"/>
          <w:szCs w:val="36"/>
        </w:rPr>
      </w:pPr>
      <w:r w:rsidRPr="00B5706F">
        <w:rPr>
          <w:rFonts w:asciiTheme="majorHAnsi" w:hAnsiTheme="majorHAnsi" w:cstheme="majorHAnsi"/>
          <w:bCs/>
          <w:sz w:val="36"/>
          <w:szCs w:val="36"/>
        </w:rPr>
        <w:t>LCBB5005</w:t>
      </w:r>
    </w:p>
    <w:p w14:paraId="55D0A158" w14:textId="6F69B68C" w:rsidR="00B5706F" w:rsidRPr="00B5706F" w:rsidRDefault="00B5706F" w:rsidP="00B5706F">
      <w:pPr>
        <w:jc w:val="center"/>
        <w:rPr>
          <w:rFonts w:asciiTheme="majorHAnsi" w:hAnsiTheme="majorHAnsi" w:cstheme="majorHAnsi"/>
          <w:bCs/>
          <w:sz w:val="36"/>
          <w:szCs w:val="36"/>
        </w:rPr>
      </w:pPr>
      <w:r w:rsidRPr="00B5706F">
        <w:rPr>
          <w:rFonts w:asciiTheme="majorHAnsi" w:hAnsiTheme="majorHAnsi" w:cstheme="majorHAnsi"/>
          <w:bCs/>
          <w:sz w:val="36"/>
          <w:szCs w:val="36"/>
        </w:rPr>
        <w:t>PROJECT MANAGEMENT</w:t>
      </w:r>
    </w:p>
    <w:p w14:paraId="08C1D4FD" w14:textId="3B819D8E" w:rsidR="00B5706F" w:rsidRPr="00B5706F" w:rsidRDefault="00B5706F" w:rsidP="00B5706F">
      <w:pPr>
        <w:jc w:val="center"/>
        <w:rPr>
          <w:rFonts w:asciiTheme="majorHAnsi" w:hAnsiTheme="majorHAnsi" w:cstheme="majorHAnsi"/>
          <w:sz w:val="36"/>
          <w:szCs w:val="36"/>
        </w:rPr>
      </w:pPr>
      <w:r w:rsidRPr="00B5706F">
        <w:rPr>
          <w:rFonts w:asciiTheme="majorHAnsi" w:hAnsiTheme="majorHAnsi" w:cstheme="majorHAnsi"/>
          <w:bCs/>
          <w:sz w:val="36"/>
          <w:szCs w:val="36"/>
        </w:rPr>
        <w:t>Assignment 2</w:t>
      </w:r>
    </w:p>
    <w:p w14:paraId="7E84A226" w14:textId="77777777" w:rsidR="00B5706F" w:rsidRPr="00B5706F" w:rsidRDefault="00B5706F" w:rsidP="00B5706F">
      <w:pPr>
        <w:pStyle w:val="Heading1"/>
        <w:ind w:firstLine="720"/>
        <w:rPr>
          <w:sz w:val="36"/>
          <w:szCs w:val="36"/>
        </w:rPr>
      </w:pPr>
    </w:p>
    <w:p w14:paraId="4C0DCF45" w14:textId="02971850" w:rsidR="0010023D" w:rsidRPr="00B5706F" w:rsidRDefault="0010023D" w:rsidP="00B5706F">
      <w:pPr>
        <w:pStyle w:val="Heading1"/>
        <w:ind w:left="720" w:firstLine="720"/>
        <w:rPr>
          <w:color w:val="auto"/>
          <w:sz w:val="36"/>
          <w:szCs w:val="36"/>
        </w:rPr>
      </w:pPr>
      <w:r w:rsidRPr="00B5706F">
        <w:rPr>
          <w:color w:val="auto"/>
          <w:sz w:val="36"/>
          <w:szCs w:val="36"/>
        </w:rPr>
        <w:t>Hinkley Point C Project Progress Review</w:t>
      </w:r>
    </w:p>
    <w:p w14:paraId="1EE9114E" w14:textId="652EF10B" w:rsidR="0010023D" w:rsidRPr="00B5706F" w:rsidRDefault="0010023D" w:rsidP="0010023D">
      <w:pPr>
        <w:rPr>
          <w:sz w:val="36"/>
          <w:szCs w:val="36"/>
        </w:rPr>
      </w:pPr>
    </w:p>
    <w:p w14:paraId="1082CFC0" w14:textId="0568A078" w:rsidR="0010023D" w:rsidRDefault="0010023D" w:rsidP="0010023D"/>
    <w:p w14:paraId="19E0C16B" w14:textId="5E68D6C7" w:rsidR="0010023D" w:rsidRDefault="0010023D" w:rsidP="0010023D"/>
    <w:p w14:paraId="7704896E" w14:textId="04193E05" w:rsidR="0010023D" w:rsidRDefault="0010023D" w:rsidP="0010023D">
      <w:bookmarkStart w:id="0" w:name="_GoBack"/>
      <w:bookmarkEnd w:id="0"/>
    </w:p>
    <w:p w14:paraId="576CFF6F" w14:textId="0B903951" w:rsidR="0010023D" w:rsidRDefault="0010023D" w:rsidP="0010023D"/>
    <w:p w14:paraId="36F392CC" w14:textId="395362B1" w:rsidR="0010023D" w:rsidRDefault="0010023D" w:rsidP="0010023D"/>
    <w:p w14:paraId="4EFDFE2F" w14:textId="010D41C5" w:rsidR="0010023D" w:rsidRDefault="0010023D" w:rsidP="0010023D"/>
    <w:p w14:paraId="74A0DD3B" w14:textId="5A542941" w:rsidR="0010023D" w:rsidRDefault="0010023D" w:rsidP="0010023D"/>
    <w:p w14:paraId="69BF7B8D" w14:textId="71F3C15D" w:rsidR="0010023D" w:rsidRDefault="0010023D" w:rsidP="0010023D"/>
    <w:p w14:paraId="2F4DF144" w14:textId="5C2D8782" w:rsidR="0010023D" w:rsidRDefault="0010023D" w:rsidP="0010023D"/>
    <w:p w14:paraId="59B45CD8" w14:textId="775AA368" w:rsidR="0010023D" w:rsidRDefault="0010023D" w:rsidP="0010023D"/>
    <w:p w14:paraId="6B3BBDEC" w14:textId="6DF1EB5C" w:rsidR="0010023D" w:rsidRDefault="0010023D" w:rsidP="0010023D"/>
    <w:p w14:paraId="74DF2686" w14:textId="2FD5D77F" w:rsidR="0010023D" w:rsidRDefault="0010023D" w:rsidP="0010023D"/>
    <w:p w14:paraId="39B8DD82" w14:textId="04168AD0" w:rsidR="0010023D" w:rsidRDefault="0010023D" w:rsidP="0010023D"/>
    <w:p w14:paraId="6FD80515" w14:textId="4D47E752" w:rsidR="0010023D" w:rsidRDefault="0010023D" w:rsidP="0010023D"/>
    <w:p w14:paraId="5A8215D2" w14:textId="4B8BFBBF" w:rsidR="0010023D" w:rsidRDefault="0010023D" w:rsidP="0010023D"/>
    <w:p w14:paraId="54459BC9" w14:textId="0D766037" w:rsidR="0010023D" w:rsidRDefault="0010023D" w:rsidP="0010023D"/>
    <w:p w14:paraId="1155CA91" w14:textId="2348D313" w:rsidR="0010023D" w:rsidRDefault="0010023D" w:rsidP="0010023D"/>
    <w:p w14:paraId="3BD654CC" w14:textId="287FE83C" w:rsidR="0010023D" w:rsidRDefault="0010023D" w:rsidP="0010023D"/>
    <w:p w14:paraId="4DFCFC45" w14:textId="7D66BEED" w:rsidR="0010023D" w:rsidRDefault="0010023D" w:rsidP="0010023D"/>
    <w:p w14:paraId="69B77E76" w14:textId="3F7B5227" w:rsidR="0010023D" w:rsidRDefault="0010023D" w:rsidP="0010023D"/>
    <w:p w14:paraId="6AB3F64F" w14:textId="77496715" w:rsidR="0010023D" w:rsidRDefault="0010023D" w:rsidP="0010023D"/>
    <w:p w14:paraId="560489DD" w14:textId="0729B93B" w:rsidR="0010023D" w:rsidRDefault="0010023D" w:rsidP="0010023D"/>
    <w:p w14:paraId="66B3CD05" w14:textId="1ACD28B0" w:rsidR="0010023D" w:rsidRDefault="0010023D" w:rsidP="0010023D"/>
    <w:p w14:paraId="4B9EA2AE" w14:textId="1FD3D6A3" w:rsidR="0010023D" w:rsidRDefault="0010023D" w:rsidP="0010023D"/>
    <w:p w14:paraId="1CDDF47F" w14:textId="09F97858" w:rsidR="0010023D" w:rsidRDefault="0010023D" w:rsidP="0010023D"/>
    <w:p w14:paraId="45852494" w14:textId="1FD928A5" w:rsidR="0010023D" w:rsidRDefault="0010023D" w:rsidP="0010023D"/>
    <w:p w14:paraId="68F9047A" w14:textId="342DA18D" w:rsidR="0010023D" w:rsidRDefault="0010023D" w:rsidP="0010023D"/>
    <w:p w14:paraId="559B60E8" w14:textId="44E19772" w:rsidR="0010023D" w:rsidRDefault="0010023D" w:rsidP="0010023D"/>
    <w:p w14:paraId="1D7BD139" w14:textId="77777777" w:rsidR="0010023D" w:rsidRDefault="0010023D" w:rsidP="0010023D"/>
    <w:sdt>
      <w:sdtPr>
        <w:rPr>
          <w:rFonts w:asciiTheme="minorHAnsi" w:eastAsiaTheme="minorHAnsi" w:hAnsiTheme="minorHAnsi" w:cstheme="minorBidi"/>
          <w:color w:val="auto"/>
          <w:kern w:val="2"/>
          <w:sz w:val="22"/>
          <w:szCs w:val="22"/>
          <w:lang w:eastAsia="en-US"/>
          <w14:ligatures w14:val="standardContextual"/>
        </w:rPr>
        <w:id w:val="-1260134401"/>
        <w:docPartObj>
          <w:docPartGallery w:val="Table of Contents"/>
          <w:docPartUnique/>
        </w:docPartObj>
      </w:sdtPr>
      <w:sdtEndPr>
        <w:rPr>
          <w:b/>
          <w:bCs/>
        </w:rPr>
      </w:sdtEndPr>
      <w:sdtContent>
        <w:p w14:paraId="1275DAAC" w14:textId="47852893" w:rsidR="0010023D" w:rsidRDefault="0010023D">
          <w:pPr>
            <w:pStyle w:val="TOCHeading"/>
          </w:pPr>
          <w:r>
            <w:t>Table of Contents</w:t>
          </w:r>
        </w:p>
        <w:p w14:paraId="31C74767" w14:textId="6E310AA5" w:rsidR="0010023D" w:rsidRDefault="0010023D">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43843940" w:history="1">
            <w:r w:rsidRPr="00971DDE">
              <w:rPr>
                <w:rStyle w:val="Hyperlink"/>
                <w:noProof/>
              </w:rPr>
              <w:t>Introduction</w:t>
            </w:r>
            <w:r>
              <w:rPr>
                <w:noProof/>
                <w:webHidden/>
              </w:rPr>
              <w:tab/>
            </w:r>
            <w:r>
              <w:rPr>
                <w:noProof/>
                <w:webHidden/>
              </w:rPr>
              <w:fldChar w:fldCharType="begin"/>
            </w:r>
            <w:r>
              <w:rPr>
                <w:noProof/>
                <w:webHidden/>
              </w:rPr>
              <w:instrText xml:space="preserve"> PAGEREF _Toc143843940 \h </w:instrText>
            </w:r>
            <w:r>
              <w:rPr>
                <w:noProof/>
                <w:webHidden/>
              </w:rPr>
            </w:r>
            <w:r>
              <w:rPr>
                <w:noProof/>
                <w:webHidden/>
              </w:rPr>
              <w:fldChar w:fldCharType="separate"/>
            </w:r>
            <w:r>
              <w:rPr>
                <w:noProof/>
                <w:webHidden/>
              </w:rPr>
              <w:t>2</w:t>
            </w:r>
            <w:r>
              <w:rPr>
                <w:noProof/>
                <w:webHidden/>
              </w:rPr>
              <w:fldChar w:fldCharType="end"/>
            </w:r>
          </w:hyperlink>
        </w:p>
        <w:p w14:paraId="450B1562" w14:textId="561ABFF7" w:rsidR="0010023D" w:rsidRDefault="00AA1842">
          <w:pPr>
            <w:pStyle w:val="TOC1"/>
            <w:tabs>
              <w:tab w:val="right" w:leader="dot" w:pos="9016"/>
            </w:tabs>
            <w:rPr>
              <w:rFonts w:eastAsiaTheme="minorEastAsia"/>
              <w:noProof/>
              <w:kern w:val="0"/>
              <w:lang w:eastAsia="en-GB"/>
              <w14:ligatures w14:val="none"/>
            </w:rPr>
          </w:pPr>
          <w:hyperlink w:anchor="_Toc143843941" w:history="1">
            <w:r w:rsidR="0010023D" w:rsidRPr="00971DDE">
              <w:rPr>
                <w:rStyle w:val="Hyperlink"/>
                <w:noProof/>
              </w:rPr>
              <w:t>Project Vision and Challenges</w:t>
            </w:r>
            <w:r w:rsidR="0010023D">
              <w:rPr>
                <w:noProof/>
                <w:webHidden/>
              </w:rPr>
              <w:tab/>
            </w:r>
            <w:r w:rsidR="0010023D">
              <w:rPr>
                <w:noProof/>
                <w:webHidden/>
              </w:rPr>
              <w:fldChar w:fldCharType="begin"/>
            </w:r>
            <w:r w:rsidR="0010023D">
              <w:rPr>
                <w:noProof/>
                <w:webHidden/>
              </w:rPr>
              <w:instrText xml:space="preserve"> PAGEREF _Toc143843941 \h </w:instrText>
            </w:r>
            <w:r w:rsidR="0010023D">
              <w:rPr>
                <w:noProof/>
                <w:webHidden/>
              </w:rPr>
            </w:r>
            <w:r w:rsidR="0010023D">
              <w:rPr>
                <w:noProof/>
                <w:webHidden/>
              </w:rPr>
              <w:fldChar w:fldCharType="separate"/>
            </w:r>
            <w:r w:rsidR="0010023D">
              <w:rPr>
                <w:noProof/>
                <w:webHidden/>
              </w:rPr>
              <w:t>2</w:t>
            </w:r>
            <w:r w:rsidR="0010023D">
              <w:rPr>
                <w:noProof/>
                <w:webHidden/>
              </w:rPr>
              <w:fldChar w:fldCharType="end"/>
            </w:r>
          </w:hyperlink>
        </w:p>
        <w:p w14:paraId="554017B5" w14:textId="217B5AFA" w:rsidR="0010023D" w:rsidRDefault="00AA1842">
          <w:pPr>
            <w:pStyle w:val="TOC1"/>
            <w:tabs>
              <w:tab w:val="right" w:leader="dot" w:pos="9016"/>
            </w:tabs>
            <w:rPr>
              <w:rFonts w:eastAsiaTheme="minorEastAsia"/>
              <w:noProof/>
              <w:kern w:val="0"/>
              <w:lang w:eastAsia="en-GB"/>
              <w14:ligatures w14:val="none"/>
            </w:rPr>
          </w:pPr>
          <w:hyperlink w:anchor="_Toc143843942" w:history="1">
            <w:r w:rsidR="0010023D" w:rsidRPr="00971DDE">
              <w:rPr>
                <w:rStyle w:val="Hyperlink"/>
                <w:noProof/>
              </w:rPr>
              <w:t>Successes and Accomplishments</w:t>
            </w:r>
            <w:r w:rsidR="0010023D">
              <w:rPr>
                <w:noProof/>
                <w:webHidden/>
              </w:rPr>
              <w:tab/>
            </w:r>
            <w:r w:rsidR="0010023D">
              <w:rPr>
                <w:noProof/>
                <w:webHidden/>
              </w:rPr>
              <w:fldChar w:fldCharType="begin"/>
            </w:r>
            <w:r w:rsidR="0010023D">
              <w:rPr>
                <w:noProof/>
                <w:webHidden/>
              </w:rPr>
              <w:instrText xml:space="preserve"> PAGEREF _Toc143843942 \h </w:instrText>
            </w:r>
            <w:r w:rsidR="0010023D">
              <w:rPr>
                <w:noProof/>
                <w:webHidden/>
              </w:rPr>
            </w:r>
            <w:r w:rsidR="0010023D">
              <w:rPr>
                <w:noProof/>
                <w:webHidden/>
              </w:rPr>
              <w:fldChar w:fldCharType="separate"/>
            </w:r>
            <w:r w:rsidR="0010023D">
              <w:rPr>
                <w:noProof/>
                <w:webHidden/>
              </w:rPr>
              <w:t>3</w:t>
            </w:r>
            <w:r w:rsidR="0010023D">
              <w:rPr>
                <w:noProof/>
                <w:webHidden/>
              </w:rPr>
              <w:fldChar w:fldCharType="end"/>
            </w:r>
          </w:hyperlink>
        </w:p>
        <w:p w14:paraId="16DA630F" w14:textId="0F4CE2DA" w:rsidR="0010023D" w:rsidRDefault="00AA1842">
          <w:pPr>
            <w:pStyle w:val="TOC1"/>
            <w:tabs>
              <w:tab w:val="right" w:leader="dot" w:pos="9016"/>
            </w:tabs>
            <w:rPr>
              <w:rFonts w:eastAsiaTheme="minorEastAsia"/>
              <w:noProof/>
              <w:kern w:val="0"/>
              <w:lang w:eastAsia="en-GB"/>
              <w14:ligatures w14:val="none"/>
            </w:rPr>
          </w:pPr>
          <w:hyperlink w:anchor="_Toc143843943" w:history="1">
            <w:r w:rsidR="0010023D" w:rsidRPr="00971DDE">
              <w:rPr>
                <w:rStyle w:val="Hyperlink"/>
                <w:noProof/>
              </w:rPr>
              <w:t>Budget Overruns and Delays</w:t>
            </w:r>
            <w:r w:rsidR="0010023D">
              <w:rPr>
                <w:noProof/>
                <w:webHidden/>
              </w:rPr>
              <w:tab/>
            </w:r>
            <w:r w:rsidR="0010023D">
              <w:rPr>
                <w:noProof/>
                <w:webHidden/>
              </w:rPr>
              <w:fldChar w:fldCharType="begin"/>
            </w:r>
            <w:r w:rsidR="0010023D">
              <w:rPr>
                <w:noProof/>
                <w:webHidden/>
              </w:rPr>
              <w:instrText xml:space="preserve"> PAGEREF _Toc143843943 \h </w:instrText>
            </w:r>
            <w:r w:rsidR="0010023D">
              <w:rPr>
                <w:noProof/>
                <w:webHidden/>
              </w:rPr>
            </w:r>
            <w:r w:rsidR="0010023D">
              <w:rPr>
                <w:noProof/>
                <w:webHidden/>
              </w:rPr>
              <w:fldChar w:fldCharType="separate"/>
            </w:r>
            <w:r w:rsidR="0010023D">
              <w:rPr>
                <w:noProof/>
                <w:webHidden/>
              </w:rPr>
              <w:t>4</w:t>
            </w:r>
            <w:r w:rsidR="0010023D">
              <w:rPr>
                <w:noProof/>
                <w:webHidden/>
              </w:rPr>
              <w:fldChar w:fldCharType="end"/>
            </w:r>
          </w:hyperlink>
        </w:p>
        <w:p w14:paraId="5316E3EE" w14:textId="706EAE5A" w:rsidR="0010023D" w:rsidRDefault="00AA1842">
          <w:pPr>
            <w:pStyle w:val="TOC1"/>
            <w:tabs>
              <w:tab w:val="right" w:leader="dot" w:pos="9016"/>
            </w:tabs>
            <w:rPr>
              <w:rFonts w:eastAsiaTheme="minorEastAsia"/>
              <w:noProof/>
              <w:kern w:val="0"/>
              <w:lang w:eastAsia="en-GB"/>
              <w14:ligatures w14:val="none"/>
            </w:rPr>
          </w:pPr>
          <w:hyperlink w:anchor="_Toc143843944" w:history="1">
            <w:r w:rsidR="0010023D" w:rsidRPr="00971DDE">
              <w:rPr>
                <w:rStyle w:val="Hyperlink"/>
                <w:noProof/>
              </w:rPr>
              <w:t>Lessons Learned and Recommendations</w:t>
            </w:r>
            <w:r w:rsidR="0010023D">
              <w:rPr>
                <w:noProof/>
                <w:webHidden/>
              </w:rPr>
              <w:tab/>
            </w:r>
            <w:r w:rsidR="0010023D">
              <w:rPr>
                <w:noProof/>
                <w:webHidden/>
              </w:rPr>
              <w:fldChar w:fldCharType="begin"/>
            </w:r>
            <w:r w:rsidR="0010023D">
              <w:rPr>
                <w:noProof/>
                <w:webHidden/>
              </w:rPr>
              <w:instrText xml:space="preserve"> PAGEREF _Toc143843944 \h </w:instrText>
            </w:r>
            <w:r w:rsidR="0010023D">
              <w:rPr>
                <w:noProof/>
                <w:webHidden/>
              </w:rPr>
            </w:r>
            <w:r w:rsidR="0010023D">
              <w:rPr>
                <w:noProof/>
                <w:webHidden/>
              </w:rPr>
              <w:fldChar w:fldCharType="separate"/>
            </w:r>
            <w:r w:rsidR="0010023D">
              <w:rPr>
                <w:noProof/>
                <w:webHidden/>
              </w:rPr>
              <w:t>4</w:t>
            </w:r>
            <w:r w:rsidR="0010023D">
              <w:rPr>
                <w:noProof/>
                <w:webHidden/>
              </w:rPr>
              <w:fldChar w:fldCharType="end"/>
            </w:r>
          </w:hyperlink>
        </w:p>
        <w:p w14:paraId="3033051E" w14:textId="68327C96" w:rsidR="0010023D" w:rsidRDefault="00AA1842">
          <w:pPr>
            <w:pStyle w:val="TOC1"/>
            <w:tabs>
              <w:tab w:val="right" w:leader="dot" w:pos="9016"/>
            </w:tabs>
            <w:rPr>
              <w:rFonts w:eastAsiaTheme="minorEastAsia"/>
              <w:noProof/>
              <w:kern w:val="0"/>
              <w:lang w:eastAsia="en-GB"/>
              <w14:ligatures w14:val="none"/>
            </w:rPr>
          </w:pPr>
          <w:hyperlink w:anchor="_Toc143843945" w:history="1">
            <w:r w:rsidR="0010023D" w:rsidRPr="00971DDE">
              <w:rPr>
                <w:rStyle w:val="Hyperlink"/>
                <w:noProof/>
              </w:rPr>
              <w:t>Conclusion</w:t>
            </w:r>
            <w:r w:rsidR="0010023D">
              <w:rPr>
                <w:noProof/>
                <w:webHidden/>
              </w:rPr>
              <w:tab/>
            </w:r>
            <w:r w:rsidR="0010023D">
              <w:rPr>
                <w:noProof/>
                <w:webHidden/>
              </w:rPr>
              <w:fldChar w:fldCharType="begin"/>
            </w:r>
            <w:r w:rsidR="0010023D">
              <w:rPr>
                <w:noProof/>
                <w:webHidden/>
              </w:rPr>
              <w:instrText xml:space="preserve"> PAGEREF _Toc143843945 \h </w:instrText>
            </w:r>
            <w:r w:rsidR="0010023D">
              <w:rPr>
                <w:noProof/>
                <w:webHidden/>
              </w:rPr>
            </w:r>
            <w:r w:rsidR="0010023D">
              <w:rPr>
                <w:noProof/>
                <w:webHidden/>
              </w:rPr>
              <w:fldChar w:fldCharType="separate"/>
            </w:r>
            <w:r w:rsidR="0010023D">
              <w:rPr>
                <w:noProof/>
                <w:webHidden/>
              </w:rPr>
              <w:t>5</w:t>
            </w:r>
            <w:r w:rsidR="0010023D">
              <w:rPr>
                <w:noProof/>
                <w:webHidden/>
              </w:rPr>
              <w:fldChar w:fldCharType="end"/>
            </w:r>
          </w:hyperlink>
        </w:p>
        <w:p w14:paraId="305819B4" w14:textId="50144B48" w:rsidR="0010023D" w:rsidRDefault="00AA1842">
          <w:pPr>
            <w:pStyle w:val="TOC1"/>
            <w:tabs>
              <w:tab w:val="right" w:leader="dot" w:pos="9016"/>
            </w:tabs>
            <w:rPr>
              <w:rFonts w:eastAsiaTheme="minorEastAsia"/>
              <w:noProof/>
              <w:kern w:val="0"/>
              <w:lang w:eastAsia="en-GB"/>
              <w14:ligatures w14:val="none"/>
            </w:rPr>
          </w:pPr>
          <w:hyperlink w:anchor="_Toc143843946" w:history="1">
            <w:r w:rsidR="0010023D" w:rsidRPr="00971DDE">
              <w:rPr>
                <w:rStyle w:val="Hyperlink"/>
                <w:noProof/>
              </w:rPr>
              <w:t>References</w:t>
            </w:r>
            <w:r w:rsidR="0010023D">
              <w:rPr>
                <w:noProof/>
                <w:webHidden/>
              </w:rPr>
              <w:tab/>
            </w:r>
            <w:r w:rsidR="0010023D">
              <w:rPr>
                <w:noProof/>
                <w:webHidden/>
              </w:rPr>
              <w:fldChar w:fldCharType="begin"/>
            </w:r>
            <w:r w:rsidR="0010023D">
              <w:rPr>
                <w:noProof/>
                <w:webHidden/>
              </w:rPr>
              <w:instrText xml:space="preserve"> PAGEREF _Toc143843946 \h </w:instrText>
            </w:r>
            <w:r w:rsidR="0010023D">
              <w:rPr>
                <w:noProof/>
                <w:webHidden/>
              </w:rPr>
            </w:r>
            <w:r w:rsidR="0010023D">
              <w:rPr>
                <w:noProof/>
                <w:webHidden/>
              </w:rPr>
              <w:fldChar w:fldCharType="separate"/>
            </w:r>
            <w:r w:rsidR="0010023D">
              <w:rPr>
                <w:noProof/>
                <w:webHidden/>
              </w:rPr>
              <w:t>7</w:t>
            </w:r>
            <w:r w:rsidR="0010023D">
              <w:rPr>
                <w:noProof/>
                <w:webHidden/>
              </w:rPr>
              <w:fldChar w:fldCharType="end"/>
            </w:r>
          </w:hyperlink>
        </w:p>
        <w:p w14:paraId="4E52C642" w14:textId="3598F1E8" w:rsidR="0010023D" w:rsidRDefault="0010023D">
          <w:r>
            <w:rPr>
              <w:b/>
              <w:bCs/>
            </w:rPr>
            <w:fldChar w:fldCharType="end"/>
          </w:r>
        </w:p>
      </w:sdtContent>
    </w:sdt>
    <w:p w14:paraId="195BF52F" w14:textId="77777777" w:rsidR="0010023D" w:rsidRDefault="0010023D" w:rsidP="0010023D"/>
    <w:p w14:paraId="3FB99DA6" w14:textId="77777777" w:rsidR="0010023D" w:rsidRDefault="0010023D" w:rsidP="0010023D"/>
    <w:p w14:paraId="43679260" w14:textId="77777777" w:rsidR="0010023D" w:rsidRDefault="0010023D" w:rsidP="0010023D"/>
    <w:p w14:paraId="50C8A3E0" w14:textId="77777777" w:rsidR="0010023D" w:rsidRDefault="0010023D" w:rsidP="0010023D"/>
    <w:p w14:paraId="0A5F61E5" w14:textId="77777777" w:rsidR="0010023D" w:rsidRDefault="0010023D" w:rsidP="0010023D"/>
    <w:p w14:paraId="67722AD7" w14:textId="77777777" w:rsidR="0010023D" w:rsidRDefault="0010023D" w:rsidP="0010023D"/>
    <w:p w14:paraId="03733450" w14:textId="77777777" w:rsidR="0010023D" w:rsidRDefault="0010023D" w:rsidP="0010023D"/>
    <w:p w14:paraId="2CB7FC4E" w14:textId="77777777" w:rsidR="0010023D" w:rsidRDefault="0010023D" w:rsidP="0010023D"/>
    <w:p w14:paraId="0B961E0F" w14:textId="77777777" w:rsidR="0010023D" w:rsidRDefault="0010023D" w:rsidP="0010023D"/>
    <w:p w14:paraId="7853F955" w14:textId="77777777" w:rsidR="0010023D" w:rsidRDefault="0010023D" w:rsidP="0010023D"/>
    <w:p w14:paraId="05522058" w14:textId="77777777" w:rsidR="0010023D" w:rsidRDefault="0010023D" w:rsidP="0010023D"/>
    <w:p w14:paraId="7C1B8985" w14:textId="77777777" w:rsidR="0010023D" w:rsidRDefault="0010023D" w:rsidP="0010023D"/>
    <w:p w14:paraId="55A7AD11" w14:textId="77777777" w:rsidR="0010023D" w:rsidRDefault="0010023D" w:rsidP="0010023D"/>
    <w:p w14:paraId="575FEBAB" w14:textId="77777777" w:rsidR="0010023D" w:rsidRDefault="0010023D" w:rsidP="0010023D"/>
    <w:p w14:paraId="64D13E34" w14:textId="7B001D98" w:rsidR="0010023D" w:rsidRDefault="0010023D" w:rsidP="0010023D"/>
    <w:p w14:paraId="4E7C4C39" w14:textId="1185183A" w:rsidR="0010023D" w:rsidRDefault="0010023D" w:rsidP="0010023D"/>
    <w:p w14:paraId="39FF23AA" w14:textId="0C080C40" w:rsidR="0010023D" w:rsidRDefault="0010023D" w:rsidP="0010023D"/>
    <w:p w14:paraId="6624D72E" w14:textId="2E5FDFC5" w:rsidR="0010023D" w:rsidRDefault="0010023D" w:rsidP="0010023D"/>
    <w:p w14:paraId="2F185D29" w14:textId="77777777" w:rsidR="0010023D" w:rsidRDefault="0010023D" w:rsidP="0010023D"/>
    <w:p w14:paraId="5CCA721F" w14:textId="6AFF724F" w:rsidR="0010023D" w:rsidRDefault="0010023D" w:rsidP="0010023D">
      <w:pPr>
        <w:pStyle w:val="Heading1"/>
      </w:pPr>
      <w:bookmarkStart w:id="1" w:name="_Toc143843940"/>
      <w:r>
        <w:t>Introduction</w:t>
      </w:r>
      <w:bookmarkEnd w:id="1"/>
    </w:p>
    <w:p w14:paraId="64F7EE66" w14:textId="79CD873F" w:rsidR="00172820" w:rsidRPr="00172820" w:rsidRDefault="00172820" w:rsidP="00172820">
      <w:r w:rsidRPr="00172820">
        <w:t>Hinkley Point C represents Britain's longstanding dedication to sustainable energy solutions and reduction of emissions (Carpenter 2016). It stands as an icon for greener power solutions while significantly cutting carbon emissions (Carpenter, 2016). This magnificent endeavor stands as a hallmark of progress, its grand vision encompassing the delivery of an expansive capacity of low carbon electricity while sparking economic prosperity - potentially altering the fabric of national energy systems in profound ways. However, while its aspirations is grandiose, this project's journey has been fraught with numerous hurdles; most notable among these have been significant budget overruns and lengthy delays. These insurmountable hurdles have cast a palpable light upon the project and led to critical inquiries as to its final success or failure in shaping Britain's energy sector.</w:t>
      </w:r>
    </w:p>
    <w:p w14:paraId="1681AFD3" w14:textId="77777777" w:rsidR="00172820" w:rsidRPr="00172820" w:rsidRDefault="00172820" w:rsidP="00172820">
      <w:r w:rsidRPr="00172820">
        <w:t>This transformative initiative seeks to utilize technology and innovation as tools for substantively cutting carbon emissions while meeting UK environmental commitments (Goldemberg 2012). This project's vast ambition goes far beyond simply producing electricity; rather, its focus lies in crafting an integrative plan which blends environmental stewardship with economic prosperity to produce a striking tapestry revealing their intertwined natures. Due to its intention of producing significant volumes of low carbon electricity, this project actively contributes to combatting climate change in Indonesia; acting as an agent against environmental degradation while supporting sustainable development (Keyhani et al. 2009).</w:t>
      </w:r>
    </w:p>
    <w:p w14:paraId="0B7C3C39" w14:textId="4420A617" w:rsidR="00172820" w:rsidRDefault="00172820" w:rsidP="00172820">
      <w:r w:rsidRPr="00172820">
        <w:t>However, although its ambitions and achievements evoke hopefulness and optimism, its narrative is peppered by stark budget overruns and delays (Moylan 2016). These challenges, while daunting in themselves, reveal an inherent tension between vision and execution. This dissonance exemplifies the delicate relationship between technological development and pragmatic feasibility, where theoretical promise meets pragmatic reality (Ni Shou-dong et al. 2010). Aspirations meets actualization at Hinkley Point C; its classification as either successful or unsuccessful within UK energy sector debate is central.</w:t>
      </w:r>
    </w:p>
    <w:p w14:paraId="7DE92661" w14:textId="69D9156A" w:rsidR="00172820" w:rsidRPr="00172820" w:rsidRDefault="00172820" w:rsidP="0010023D">
      <w:pPr>
        <w:pStyle w:val="Heading1"/>
      </w:pPr>
      <w:bookmarkStart w:id="2" w:name="_Toc143843941"/>
      <w:r w:rsidRPr="00172820">
        <w:t>Project Vision and Challenges</w:t>
      </w:r>
      <w:bookmarkEnd w:id="2"/>
    </w:p>
    <w:p w14:paraId="381EFE1F" w14:textId="77777777" w:rsidR="00172820" w:rsidRPr="00172820" w:rsidRDefault="00172820" w:rsidP="00172820">
      <w:r w:rsidRPr="00172820">
        <w:t>At its heart, Hinkley Point C stands as an epic undertaking to transform Britain's energy landscape; one founded upon sustainability and ecological responsibility (Goldemberg 2012). However, as hinkley's success attests, this endeavour faced its share of obstacles on its journey toward completion (Goldemberg, 2012). This project's vision goes well beyond simply producing electricity; rather, its goals extend to include tangible reduction of carbon emissions while producing ample low carbon electricity to serve several households in its wake. This ambitious mission, aligned with Britain's greater effort to combat climate change and advance sustainable energy paradigms, represents a landmark moment in UK energy history. However, its trajectory was fraught with difficulties that put into perspective all that lies beyond (Patlitzianas et al. 2008).</w:t>
      </w:r>
    </w:p>
    <w:p w14:paraId="1807B392" w14:textId="77777777" w:rsidR="00172820" w:rsidRPr="00172820" w:rsidRDefault="00172820" w:rsidP="00172820">
      <w:r w:rsidRPr="00172820">
        <w:t xml:space="preserve">At the core of these challenges lies their complexity; with complex interactions among cutting-edge technologies and intricacies of nuclear power plants spawning unanticipated obstacles (Ni Shou-dong et al. 2010). This intricate dance between technological expertise and logistical pragmatism perfectly </w:t>
      </w:r>
      <w:r w:rsidRPr="00172820">
        <w:lastRenderedPageBreak/>
        <w:t>captures the delicate balance that projects of this magnitude must strike; one in which innovation seamlessly merges with fiscal and logistical viability. Unexpected obstacles encountered throughout this project's timeline have extended far beyond temporality; casting doubt over its economic viability (Moylan 2016). At every turn, this unfolding landscape requires an in-depth and strategic evaluation - one which navigates its complex network of challenges and aspirations in order to arrive at an assessment of its ultimate realization within UK's energy landscape.</w:t>
      </w:r>
    </w:p>
    <w:p w14:paraId="347BB5E0" w14:textId="33909B65" w:rsidR="00172820" w:rsidRPr="00172820" w:rsidRDefault="00172820" w:rsidP="00172820">
      <w:r w:rsidRPr="00172820">
        <w:t>Navigation of its many triumphs and setbacks has resulted in Hinkley Point C becoming more than an emblem of technological advance; rather it stands as an illustration of the dynamic interplay between vision and reality that leads to transformative undertakings (Thomas 2016). Therefore, an examination will traverse project management methodologies, stakeholder engagement activities, lessons gleaned and ultimately concluding whether Hinkley Point C is set for recognition as either an outstanding success story or simply another footnote in UK energy aspirations narrative.</w:t>
      </w:r>
    </w:p>
    <w:p w14:paraId="08FD15BD" w14:textId="77777777" w:rsidR="00172820" w:rsidRPr="00172820" w:rsidRDefault="00172820" w:rsidP="0010023D">
      <w:pPr>
        <w:pStyle w:val="Heading1"/>
      </w:pPr>
      <w:bookmarkStart w:id="3" w:name="_Toc143843942"/>
      <w:r w:rsidRPr="00172820">
        <w:t>Successes and Accomplishments</w:t>
      </w:r>
      <w:bookmarkEnd w:id="3"/>
    </w:p>
    <w:p w14:paraId="7037B273" w14:textId="77777777" w:rsidR="00172820" w:rsidRPr="00172820" w:rsidRDefault="00172820" w:rsidP="00172820">
      <w:r w:rsidRPr="00172820">
        <w:t>Given all the obstacles thrown up by Hinkley Point C project, it remains crucial that one takes stock of both successes and accomplishments that have taken place as part of this monumental undertaking. At the core of this project lies an ambitious aim--combat carbon emissions on an unprecedented scale--offsetting millions of tons annually of CO2, making a concrete step toward fulfilling UK environmental aspirations (Devine-Wright 2011). While underpinned by sophisticated technological pursuits, its success symbolizes an overwhelming commitment to ecological sustainability that transcends mere technological innovations (Devine-Wright, 2011).</w:t>
      </w:r>
    </w:p>
    <w:p w14:paraId="23C5C7DC" w14:textId="77777777" w:rsidR="00172820" w:rsidRPr="00172820" w:rsidRDefault="00172820" w:rsidP="00172820">
      <w:r w:rsidRPr="00172820">
        <w:t>Hinkley Point C's commitment to providing low carbon electricity directly to UK households marks an essential milestone in its energy transformation agenda (Sperling and Arler, 2020). At a time of mounting climate change impacts worldwide, Hinkley Point C represents tangible progress toward creating energy production with environmental responsibility at its heart; becoming an icon for sustainable living as it moves toward its lofty goal.</w:t>
      </w:r>
    </w:p>
    <w:p w14:paraId="759113EB" w14:textId="77777777" w:rsidR="00172820" w:rsidRPr="00172820" w:rsidRDefault="00172820" w:rsidP="00172820">
      <w:r w:rsidRPr="00172820">
        <w:t>Hinkley Point C has left behind not just environmental but economic effects that go far beyond its immediate purview (Tillement and Garcias, 2021). With its multifaceted nature offering multiple routes for economic expansion that extend well beyond its immediate purview (Kuang et al. 2023), this endeavor stands as testament to its immense power to shape not just energy sector dynamics but also national economies (Tilllement and Garcias 2021). Numerous employment opportunities and benefits were generated as an indirect result. Kuang et al. 2023).</w:t>
      </w:r>
    </w:p>
    <w:p w14:paraId="59B605C5" w14:textId="77777777" w:rsidR="00172820" w:rsidRPr="00172820" w:rsidRDefault="00172820" w:rsidP="00172820">
      <w:r w:rsidRPr="00172820">
        <w:t xml:space="preserve">These achievements do more than add color and excitement to Hinkley Point C's narrative; they highlight its full potential to go far beyond engineering marvels and represent tangible steps taken against climate change, energy paradigm change and creating economic prosperity that reaches far beyond any project boundaries (John and Oliver 2015). As Hinkley Point C takes flight it serves as a potent reminder that success does not lie solely within technology's realm - Hinkley Point C is providing tangible proof that success resides outside technology as evidenced in tangible strides taken against climate change action taken against energy paradigm transformations or economic prosperity that extend beyond any project boundaries (John and Oliver 2015). As Hinkley Point C spread its wings so too is its promise: tangible strides made against climate change action taken and transformation; all this beyond anything anticipated by technology alone! As Hinkley Point C spread its wings it offers powerful evidence of just this project's promise - tangible strides taken toward combatting climate change issues or revolutionising energy paradigm shifts beyond mere technology alone! As it unveils its wings it serves up this reminder that success does not just lie within </w:t>
      </w:r>
      <w:r w:rsidRPr="00172820">
        <w:lastRenderedPageBreak/>
        <w:t>technology alone but manifest in tangible advances made against combatting climate change issues by transformation energy paradigm transformation while foster economic prosperity beyond any immediate horizons!</w:t>
      </w:r>
    </w:p>
    <w:p w14:paraId="370849E2" w14:textId="77777777" w:rsidR="00172820" w:rsidRPr="00172820" w:rsidRDefault="00172820" w:rsidP="00172820"/>
    <w:p w14:paraId="54072B7B" w14:textId="77777777" w:rsidR="00172820" w:rsidRPr="00172820" w:rsidRDefault="00172820" w:rsidP="0010023D">
      <w:pPr>
        <w:pStyle w:val="Heading1"/>
      </w:pPr>
      <w:bookmarkStart w:id="4" w:name="_Toc143843943"/>
      <w:r w:rsidRPr="00172820">
        <w:t>Budget Overruns and Delays</w:t>
      </w:r>
      <w:bookmarkEnd w:id="4"/>
    </w:p>
    <w:p w14:paraId="321BF95B" w14:textId="77777777" w:rsidR="00172820" w:rsidRPr="00172820" w:rsidRDefault="00172820" w:rsidP="00172820">
      <w:r w:rsidRPr="00172820">
        <w:t>Notwithstanding its impressive progress and accomplishments to date, Hinkley Point C has experienced budget overruns and delays that cast a considerable shadow over its narrative trajectory. These formidable challenges, which arise out of financial restraints or temporal extensions have resonated throughout its implementation cycle, prompting inquiry as to its capacity for effective management and seamless execution.</w:t>
      </w:r>
    </w:p>
    <w:p w14:paraId="7639F292" w14:textId="77777777" w:rsidR="00172820" w:rsidRPr="00172820" w:rsidRDefault="00172820" w:rsidP="00172820">
      <w:r w:rsidRPr="00172820">
        <w:t>Nuclear power plant engineering entails complex decisions rooted in science; yet their implementation has revealed itself to be fraught with unanticipated technical difficulties and prolonged timelines (Keyhani et al. 2009). Complexities entwined with regulatory compliance requirements have created an atmosphere conducive to unanticipated obstacles--leading to budget overruns and delays. Nuclear power plant projects involve complex integrations of modern technologies and logistics that make for unpredictable results; even carefully prepared plans can encounter unexpected roadblocks during their execution.</w:t>
      </w:r>
    </w:p>
    <w:p w14:paraId="281BB510" w14:textId="77777777" w:rsidR="00172820" w:rsidRPr="00172820" w:rsidRDefault="00172820" w:rsidP="00172820">
      <w:r w:rsidRPr="00172820">
        <w:t>Initial Cost Underestimations have emerged as one of the central pillars in budgetary challenges (Holmes 2008). Their role has grown increasingly significant as we navigate a maze-like cost estimation landscape filled with volatile market prices and regulatory demands - leaving even astute predictions susceptible to economic fluctuations that defy even their best efforts (Holmes, 2008). When combined, fiscal unpredictability coupled with market price volatility presents formidable obstacles which cannot simply be resolved using technology alone nor navigated using project management methodologies alone (Holmes 2008).</w:t>
      </w:r>
    </w:p>
    <w:p w14:paraId="49FE018D" w14:textId="77777777" w:rsidR="00172820" w:rsidRPr="00172820" w:rsidRDefault="00172820" w:rsidP="00172820">
      <w:r w:rsidRPr="00172820">
        <w:t>At times, bureaucracy becomes another dimension in this long and winding path toward delays (Clark 2023). Ensuring compliance with stringent regulations often proves challenging; attempts at compliance often extend far beyond its initial blueprint and often extend far past initial plans of project's trajectory. When geopolitics is an integral factor shaping regulatory environments, unplanned delays from geopolitical maneuvering become reminders that even carefully laid plans may falter against macroscopic dynamics.</w:t>
      </w:r>
    </w:p>
    <w:p w14:paraId="5FA451AE" w14:textId="01C5E2AF" w:rsidR="00172820" w:rsidRPr="00172820" w:rsidRDefault="00172820" w:rsidP="00172820">
      <w:r w:rsidRPr="00172820">
        <w:t>Hinkley Point C's narrative stands as an indelible testament to the intricate intricacies involved with large-scale transformative projects (Jones, 2017). From triumphs and setbacks, to adaptability when unexpected hurdles emerge; its journey stands as an irrefutable testimony that successful monumental project management transcends technological expertise alone and demands adaptability when dealing with unexpected developments (Jones 2017).</w:t>
      </w:r>
    </w:p>
    <w:p w14:paraId="3DDE794C" w14:textId="77777777" w:rsidR="00172820" w:rsidRPr="00172820" w:rsidRDefault="00172820" w:rsidP="0010023D">
      <w:pPr>
        <w:pStyle w:val="Heading1"/>
      </w:pPr>
      <w:bookmarkStart w:id="5" w:name="_Toc143843944"/>
      <w:r w:rsidRPr="00172820">
        <w:t>Lessons Learned and Recommendations</w:t>
      </w:r>
      <w:bookmarkEnd w:id="5"/>
    </w:p>
    <w:p w14:paraId="234A567D" w14:textId="1F960541" w:rsidR="00172820" w:rsidRPr="00172820" w:rsidRDefault="00172820" w:rsidP="00172820">
      <w:r w:rsidRPr="00172820">
        <w:t>The Hinkley Point C project's unique story--one marked by triumph and tragedy alike--has provided us with invaluable lessons. These transcend their temporal confines, offering profound insights that resonate throughout transformative endeavors. As dust settles from all of its challenges and accomplishments, one prominent lesson emerges: proactive risk management as well as understanding of large scale project nuances are of vital significance in order for them to unfold successfully.</w:t>
      </w:r>
    </w:p>
    <w:p w14:paraId="6535DF2E" w14:textId="59545280" w:rsidR="00172820" w:rsidRPr="00172820" w:rsidRDefault="00172820" w:rsidP="00172820">
      <w:r w:rsidRPr="00172820">
        <w:lastRenderedPageBreak/>
        <w:t>At the core of these lessons lies a comprehensive risk management strategy (Hutchinson, 2013). Any transformative undertaking necessitates meticulous scrutiny of potential pitfalls and unchartered territories before embarking on anything transformative; through rigorous feasibility assessments we gain an idea of a project's viability--offering an opportunity to preemptively identify and mitigate challenges before they become problems. Furthermore, accurate cost estimations not merely numerical exercises--they serve as safeguard against unexpected financial undertows such as those present within Hinkley Point C project.</w:t>
      </w:r>
    </w:p>
    <w:p w14:paraId="014263EE" w14:textId="12EDD8B6" w:rsidR="00172820" w:rsidRPr="00172820" w:rsidRDefault="00172820" w:rsidP="00172820">
      <w:r w:rsidRPr="00172820">
        <w:t>Gantt charts, Critical Path Method (CPM), and Earned Value Management (EVM) methodologies can serve as effective project management tools (Devine-Wright 2011). Gantt charts serve as visual narratives to illustrate how tasks, timelines and dependencies entwine together to form intricate webs of activities that must take place for any plan to succeed. They reveal deviations from initial plans as they enable real-time adjustments if deviations arise and facilitate necessary realignments en route. CPM serves as the ultimate beacon, drawing focus onto time-critical components of execution that demand precise resource allocation and attention to details. EVM, on the other hand, serves as a fiscal disbursement guide with tangible value that shows investors they've realized tangible returns from investments.</w:t>
      </w:r>
    </w:p>
    <w:p w14:paraId="03B3B04D" w14:textId="499F7A49" w:rsidR="00172820" w:rsidRPr="00172820" w:rsidRDefault="00172820" w:rsidP="00172820">
      <w:r w:rsidRPr="00172820">
        <w:t>Stakeholder engagement and open dialogue are cornerstones of project success in today's globally connected environment; success must come together through timely attention to concerns as well as creating mutually beneficial relationships among various stakeholder entities (Sperling &amp; Arler 2020). Incorporating such strategies will create greater coherence to your project while aligning all interests across its journey (Sperling &amp; Arler, 2020).</w:t>
      </w:r>
    </w:p>
    <w:p w14:paraId="6B6738D0" w14:textId="062316E5" w:rsidR="00172820" w:rsidRPr="00172820" w:rsidRDefault="00172820" w:rsidP="00172820">
      <w:r w:rsidRPr="00172820">
        <w:t>Hinkley Point C project and similar initiatives (Thomas, 2016) bears the mark of continuous improvement (Thomas, 2016). Beyond temporality lies lessons learned--an invaluable source that illuminates progress. Regular evaluations serve as the crucible where failures of past are transformed into future triumphs (Tillement &amp; Garcias 2021). Cooperating with experienced contractors and suppliers--who hold valuable reserves of wisdom--leaves implementation smoother yet preempts potential pitfalls or contingencies more easily (Tilllement and Garcias 2021).</w:t>
      </w:r>
    </w:p>
    <w:p w14:paraId="549F7A21" w14:textId="0B31F08A" w:rsidR="00172820" w:rsidRPr="00172820" w:rsidRDefault="00172820" w:rsidP="00172820">
      <w:r w:rsidRPr="00172820">
        <w:t>At Hinkley Point C, an important lesson learned was the necessity of being proactive about confronting uncertainties head-on (Kuang et al. 2023). Gaining regulatory approval requires more than simply filling out forms; rather it necessitates traversing intricate currents of diplomacy and compliance as well as taking account of geopolitical undercurrents that might impede forward progress (an often ignored aspect), hence this experience highlighted adaptability as key.</w:t>
      </w:r>
    </w:p>
    <w:p w14:paraId="051D1823" w14:textId="77777777" w:rsidR="00172820" w:rsidRPr="00172820" w:rsidRDefault="00172820" w:rsidP="00172820">
      <w:r w:rsidRPr="00172820">
        <w:t>At its heart, Hinkley Point C project is an epic tale of triumphs and trials, providing insights that resonate across a host of transformative projects. As its narrative extends through time and its lessons echo across an intricate mosaic crafted out of strategic foresight, meticulous execution, resilience to overcome unexpected hurdles, as well as proactive planning for what lies ahead - ultimately the keystones for future triumph.</w:t>
      </w:r>
    </w:p>
    <w:p w14:paraId="2215CA99" w14:textId="77777777" w:rsidR="0010023D" w:rsidRDefault="00172820" w:rsidP="0010023D">
      <w:pPr>
        <w:pStyle w:val="Heading1"/>
      </w:pPr>
      <w:bookmarkStart w:id="6" w:name="_Toc143843945"/>
      <w:r w:rsidRPr="00172820">
        <w:t>Conclusion</w:t>
      </w:r>
      <w:bookmarkEnd w:id="6"/>
    </w:p>
    <w:p w14:paraId="4833A984" w14:textId="390A0FDF" w:rsidR="00172820" w:rsidRPr="00172820" w:rsidRDefault="00172820" w:rsidP="00172820">
      <w:r w:rsidRPr="00172820">
        <w:t>At Hinkley Point C, an incredible tale of ambition, innovation and challenges unfolds; an emblematic tale that showcases Britain's commitment to creating a greener energy future. The project boasts ambitious targets on low carbon electricity provisioning as well as significant emissions reduction - objectives aligned with overarching national environmental aspirations; yet budget overruns and delays pose formidable hurdles that necessitate adaption as part of its labyrinthine path travelled by this monumental undertaking.</w:t>
      </w:r>
    </w:p>
    <w:p w14:paraId="00FB0CA4" w14:textId="77777777" w:rsidR="00172820" w:rsidRPr="00172820" w:rsidRDefault="00172820" w:rsidP="00172820">
      <w:r w:rsidRPr="00172820">
        <w:lastRenderedPageBreak/>
        <w:t>Hinkley Point C's journey offers hope for future endeavors; its lessons offer illumination. Tenets such as risk management, stakeholder engagement and project management methodologies could serve as guides that lead future ventures away from any of the difficulties that plagued this project. Furthermore, this story does not simply exist within time and space: its lessons could become the blueprint of triumph that illuminates other infrastructure-related undertakings indefinitely.</w:t>
      </w:r>
    </w:p>
    <w:p w14:paraId="0A6D6FB0" w14:textId="3EF5FEEA" w:rsidR="00F6447F" w:rsidRPr="00172820" w:rsidRDefault="00172820" w:rsidP="00F6447F">
      <w:r w:rsidRPr="00172820">
        <w:t>Hinkley Point C has provided invaluable lessons as the United Kingdom navigates towards carbon reduction and sustainable energy, serving as a guidepost on its journey toward more resilient, sustainable energy landscape. These insights may serve to unlock challenges more accurately while stakeholders remain involved and project management remains strengthened - offering hope of transformational energy change! It stands not merely as evidence of triumphant triumph but serves as an illuminator to illuminate a more resilient, sustainable, transformative energy future for many to follow in its wake.</w:t>
      </w:r>
    </w:p>
    <w:p w14:paraId="12E2AC75" w14:textId="77777777" w:rsidR="00F6447F" w:rsidRPr="00172820" w:rsidRDefault="00F6447F" w:rsidP="00F6447F"/>
    <w:p w14:paraId="728EADBC" w14:textId="77777777" w:rsidR="00F6447F" w:rsidRDefault="00F6447F" w:rsidP="00F6447F">
      <w:pPr>
        <w:rPr>
          <w:b/>
          <w:bCs/>
        </w:rPr>
      </w:pPr>
    </w:p>
    <w:p w14:paraId="6BD2857E" w14:textId="77777777" w:rsidR="00F6447F" w:rsidRDefault="00F6447F" w:rsidP="00F6447F">
      <w:pPr>
        <w:rPr>
          <w:b/>
          <w:bCs/>
        </w:rPr>
      </w:pPr>
    </w:p>
    <w:p w14:paraId="7E2D2F38" w14:textId="77777777" w:rsidR="00F6447F" w:rsidRDefault="00F6447F" w:rsidP="00F6447F">
      <w:pPr>
        <w:rPr>
          <w:b/>
          <w:bCs/>
        </w:rPr>
      </w:pPr>
    </w:p>
    <w:p w14:paraId="6CB04E14" w14:textId="027B146A" w:rsidR="00F6447F" w:rsidRDefault="00F6447F" w:rsidP="00F6447F"/>
    <w:p w14:paraId="46CAC5AE" w14:textId="6C0E6D44" w:rsidR="0010023D" w:rsidRDefault="0010023D" w:rsidP="00F6447F"/>
    <w:p w14:paraId="0082BE5F" w14:textId="32CDEEF2" w:rsidR="0010023D" w:rsidRDefault="0010023D" w:rsidP="00F6447F"/>
    <w:p w14:paraId="215488BE" w14:textId="430EA34C" w:rsidR="0010023D" w:rsidRDefault="0010023D" w:rsidP="00F6447F"/>
    <w:p w14:paraId="239B7AA2" w14:textId="1EBC56BF" w:rsidR="0010023D" w:rsidRDefault="0010023D" w:rsidP="00F6447F"/>
    <w:p w14:paraId="3A589236" w14:textId="72EDFDA0" w:rsidR="0010023D" w:rsidRDefault="0010023D" w:rsidP="00F6447F"/>
    <w:p w14:paraId="2F27E56D" w14:textId="28995BA5" w:rsidR="0010023D" w:rsidRDefault="0010023D" w:rsidP="00F6447F"/>
    <w:p w14:paraId="1E5D82A3" w14:textId="04697BD0" w:rsidR="0010023D" w:rsidRDefault="0010023D" w:rsidP="00F6447F"/>
    <w:p w14:paraId="5DBF90CF" w14:textId="19234286" w:rsidR="0010023D" w:rsidRDefault="0010023D" w:rsidP="00F6447F"/>
    <w:p w14:paraId="78BBC2AD" w14:textId="5628694C" w:rsidR="0010023D" w:rsidRDefault="0010023D" w:rsidP="00F6447F"/>
    <w:p w14:paraId="675C6B96" w14:textId="5F9857AB" w:rsidR="0010023D" w:rsidRDefault="0010023D" w:rsidP="00F6447F"/>
    <w:p w14:paraId="726836D3" w14:textId="230C3896" w:rsidR="0010023D" w:rsidRDefault="0010023D" w:rsidP="00F6447F"/>
    <w:p w14:paraId="26E396C1" w14:textId="041B2FCD" w:rsidR="0010023D" w:rsidRDefault="0010023D" w:rsidP="00F6447F"/>
    <w:p w14:paraId="22057C1A" w14:textId="4776C6DD" w:rsidR="0010023D" w:rsidRDefault="0010023D" w:rsidP="00F6447F"/>
    <w:p w14:paraId="32B7E8D3" w14:textId="546BA6A4" w:rsidR="0010023D" w:rsidRDefault="0010023D" w:rsidP="00F6447F"/>
    <w:p w14:paraId="40E4C010" w14:textId="22A90187" w:rsidR="0010023D" w:rsidRDefault="0010023D" w:rsidP="00F6447F"/>
    <w:p w14:paraId="48AC581B" w14:textId="16BCE944" w:rsidR="0010023D" w:rsidRDefault="0010023D" w:rsidP="00F6447F"/>
    <w:p w14:paraId="684D86EE" w14:textId="77777777" w:rsidR="0010023D" w:rsidRDefault="0010023D" w:rsidP="00F6447F"/>
    <w:p w14:paraId="02052BC2" w14:textId="77777777" w:rsidR="00F6447F" w:rsidRDefault="00F6447F" w:rsidP="00F6447F">
      <w:pPr>
        <w:ind w:left="720" w:hanging="360"/>
      </w:pPr>
    </w:p>
    <w:p w14:paraId="288954E5" w14:textId="30AF705C" w:rsidR="00F6447F" w:rsidRDefault="00F6447F" w:rsidP="0010023D">
      <w:pPr>
        <w:pStyle w:val="Heading1"/>
      </w:pPr>
      <w:bookmarkStart w:id="7" w:name="_Toc143843946"/>
      <w:r>
        <w:t>References</w:t>
      </w:r>
      <w:bookmarkEnd w:id="7"/>
      <w:r w:rsidR="0010023D">
        <w:tab/>
      </w:r>
    </w:p>
    <w:p w14:paraId="799B7EDB" w14:textId="7A481452" w:rsidR="00F6447F" w:rsidRDefault="00F6447F" w:rsidP="00F6447F">
      <w:pPr>
        <w:pStyle w:val="ListParagraph"/>
        <w:numPr>
          <w:ilvl w:val="0"/>
          <w:numId w:val="1"/>
        </w:numPr>
      </w:pPr>
      <w:r>
        <w:t xml:space="preserve">Carpenter (2016) ‘UK support for Hinkley Point is likely to continue’, Emerald Expert Briefings[Preprint]. doi:10.1108/oxan-db210470. </w:t>
      </w:r>
    </w:p>
    <w:p w14:paraId="5D5E7FC8" w14:textId="77777777" w:rsidR="00F6447F" w:rsidRDefault="00F6447F" w:rsidP="00F6447F">
      <w:pPr>
        <w:pStyle w:val="ListParagraph"/>
        <w:numPr>
          <w:ilvl w:val="0"/>
          <w:numId w:val="1"/>
        </w:numPr>
      </w:pPr>
      <w:r>
        <w:t xml:space="preserve">Clark, G. (2023) Ambition alone will not build UK Nuclear Power, Subscribe to read | Financial Times. Available at: https://www.ft.com/content/7499350a-2a4c-430d-a23f-415f3780e0aa (Accessed: 03 August 2023). </w:t>
      </w:r>
    </w:p>
    <w:p w14:paraId="0D590EF9" w14:textId="77777777" w:rsidR="00F6447F" w:rsidRDefault="00F6447F" w:rsidP="00F6447F">
      <w:pPr>
        <w:pStyle w:val="ListParagraph"/>
        <w:numPr>
          <w:ilvl w:val="0"/>
          <w:numId w:val="1"/>
        </w:numPr>
      </w:pPr>
      <w:r>
        <w:t xml:space="preserve">Goldemberg, J. (2012) ‘Nuclear power’, Energy [Preprint]. doi:10.1093/wentk/9780199812905.003.0006. </w:t>
      </w:r>
    </w:p>
    <w:p w14:paraId="2CA02ED7" w14:textId="77777777" w:rsidR="00F6447F" w:rsidRDefault="00F6447F" w:rsidP="00F6447F">
      <w:pPr>
        <w:pStyle w:val="ListParagraph"/>
        <w:numPr>
          <w:ilvl w:val="0"/>
          <w:numId w:val="1"/>
        </w:numPr>
      </w:pPr>
      <w:r>
        <w:t xml:space="preserve">Holmes, S. (2008) ‘Project X facility description and plan’, Project X Facility Description and Plan [Preprint]. doi:10.2172/1967457. </w:t>
      </w:r>
    </w:p>
    <w:p w14:paraId="1831B36B" w14:textId="77777777" w:rsidR="00F6447F" w:rsidRDefault="00F6447F" w:rsidP="00F6447F">
      <w:pPr>
        <w:pStyle w:val="ListParagraph"/>
        <w:numPr>
          <w:ilvl w:val="0"/>
          <w:numId w:val="1"/>
        </w:numPr>
      </w:pPr>
      <w:r>
        <w:t xml:space="preserve">Moylan, J. (2016) Hinkley Point: What is it and why is it important?, BBC News. Available at: https://www.bbc.co.uk/news/business-36897180 (Accessed: 03 August 2023). </w:t>
      </w:r>
    </w:p>
    <w:p w14:paraId="45BCC405" w14:textId="77777777" w:rsidR="00F6447F" w:rsidRDefault="00F6447F" w:rsidP="00F6447F">
      <w:pPr>
        <w:pStyle w:val="ListParagraph"/>
        <w:numPr>
          <w:ilvl w:val="0"/>
          <w:numId w:val="1"/>
        </w:numPr>
      </w:pPr>
      <w:r>
        <w:t xml:space="preserve">Ni Shou-dong, Yuan Zu-qiang and Wang teng (2010) ‘The simulation analysis and research of the Planet Wheel Gear deceleration box used in Neuclear Power Station’, 2010 International Conference on Mechanic Automation and Control Engineering [Preprint]. doi:10.1109/mace.2010.5536680. </w:t>
      </w:r>
    </w:p>
    <w:p w14:paraId="75B8DDD6" w14:textId="77777777" w:rsidR="00F6447F" w:rsidRDefault="00F6447F" w:rsidP="00F6447F">
      <w:pPr>
        <w:pStyle w:val="ListParagraph"/>
        <w:numPr>
          <w:ilvl w:val="0"/>
          <w:numId w:val="1"/>
        </w:numPr>
      </w:pPr>
      <w:r>
        <w:t xml:space="preserve">Hutchinson, T. (2013) Project. Oxford: Oxford University Press. </w:t>
      </w:r>
    </w:p>
    <w:p w14:paraId="50235BC5" w14:textId="77777777" w:rsidR="00F6447F" w:rsidRDefault="00F6447F" w:rsidP="00F6447F">
      <w:pPr>
        <w:pStyle w:val="ListParagraph"/>
        <w:numPr>
          <w:ilvl w:val="0"/>
          <w:numId w:val="1"/>
        </w:numPr>
      </w:pPr>
      <w:r>
        <w:t xml:space="preserve">John, D. and Oliver, I. (2015) ‘4 project risks’, International Project Finance [Preprint]. doi:10.1093/law/9780198715559.003.0005. </w:t>
      </w:r>
    </w:p>
    <w:p w14:paraId="7784664F" w14:textId="77777777" w:rsidR="00F6447F" w:rsidRDefault="00F6447F" w:rsidP="00F6447F">
      <w:pPr>
        <w:pStyle w:val="ListParagraph"/>
        <w:numPr>
          <w:ilvl w:val="0"/>
          <w:numId w:val="1"/>
        </w:numPr>
      </w:pPr>
      <w:r>
        <w:t>Tillement, S. and Garcias, F., 2021. ASTRID, back to the future: bridging scales in the development of nuclear infrastructures. Nuclear Technology, 207(9), pp.1291-1311.</w:t>
      </w:r>
    </w:p>
    <w:p w14:paraId="2D55EB6C" w14:textId="77777777" w:rsidR="00F6447F" w:rsidRDefault="00F6447F" w:rsidP="00F6447F">
      <w:pPr>
        <w:pStyle w:val="ListParagraph"/>
        <w:numPr>
          <w:ilvl w:val="0"/>
          <w:numId w:val="1"/>
        </w:numPr>
      </w:pPr>
      <w:r>
        <w:t>Devine‐Wright, P., 2011. Public engagement with large‐scale renewable energy technologies: breaking the cycle of NIMBYism. Wiley Interdisciplinary Reviews: Climate Change, 2(1), pp.19-26.</w:t>
      </w:r>
    </w:p>
    <w:p w14:paraId="5435587D" w14:textId="77777777" w:rsidR="00F6447F" w:rsidRDefault="00F6447F" w:rsidP="00F6447F">
      <w:pPr>
        <w:pStyle w:val="ListParagraph"/>
        <w:numPr>
          <w:ilvl w:val="0"/>
          <w:numId w:val="1"/>
        </w:numPr>
      </w:pPr>
      <w:r>
        <w:t>Keyhani, A., Marwali, M.N. and Dai, M., 2009. Integration of green and renewable energy in electric power systems. John Wiley &amp; Sons.</w:t>
      </w:r>
    </w:p>
    <w:p w14:paraId="1D908D7A" w14:textId="77777777" w:rsidR="00F6447F" w:rsidRDefault="00F6447F" w:rsidP="00F6447F">
      <w:pPr>
        <w:pStyle w:val="ListParagraph"/>
        <w:numPr>
          <w:ilvl w:val="0"/>
          <w:numId w:val="1"/>
        </w:numPr>
      </w:pPr>
      <w:r>
        <w:t>Patlitzianas, K.D., Doukas, H., Kagiannas, A.G. and Psarras, J., 2008. Sustainable energy policy indicators: Review and recommendations. Renewable Energy, 33(5), pp.966-973.</w:t>
      </w:r>
    </w:p>
    <w:p w14:paraId="4D904189" w14:textId="77777777" w:rsidR="00F6447F" w:rsidRDefault="00F6447F" w:rsidP="00F6447F">
      <w:pPr>
        <w:pStyle w:val="ListParagraph"/>
        <w:numPr>
          <w:ilvl w:val="0"/>
          <w:numId w:val="1"/>
        </w:numPr>
      </w:pPr>
      <w:r>
        <w:t>Kuang, L., Han, X. and Liu, G., 2023. The Efficiency of Energy Infrastructure Investment and Its Regional Economic Impact. International Journal of Environmental Research and Public Health, 20(3), p.2125.</w:t>
      </w:r>
    </w:p>
    <w:p w14:paraId="322EF1CC" w14:textId="77777777" w:rsidR="00F6447F" w:rsidRDefault="00F6447F" w:rsidP="00F6447F">
      <w:pPr>
        <w:pStyle w:val="ListParagraph"/>
        <w:numPr>
          <w:ilvl w:val="0"/>
          <w:numId w:val="1"/>
        </w:numPr>
      </w:pPr>
      <w:r>
        <w:t>Sperling, K. and Arler, F., 2020. Local government innovation in the energy sector: A study of key actors’ strategies and arguments. Renewable and Sustainable Energy Reviews, 126, p.109837.</w:t>
      </w:r>
    </w:p>
    <w:p w14:paraId="57685078" w14:textId="4DFEEE75" w:rsidR="00DA6566" w:rsidRDefault="00F6447F" w:rsidP="00F6447F">
      <w:pPr>
        <w:pStyle w:val="ListParagraph"/>
        <w:numPr>
          <w:ilvl w:val="0"/>
          <w:numId w:val="1"/>
        </w:numPr>
      </w:pPr>
      <w:r>
        <w:t>Thomas, S., 2016. The Hinkley Point decision: An analysis of the policy process. Energy Policy, 96, pp.421-431.</w:t>
      </w:r>
    </w:p>
    <w:sectPr w:rsidR="00DA656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1E6FEF" w14:textId="77777777" w:rsidR="00AA1842" w:rsidRDefault="00AA1842" w:rsidP="0010023D">
      <w:pPr>
        <w:spacing w:after="0" w:line="240" w:lineRule="auto"/>
      </w:pPr>
      <w:r>
        <w:separator/>
      </w:r>
    </w:p>
  </w:endnote>
  <w:endnote w:type="continuationSeparator" w:id="0">
    <w:p w14:paraId="669D4C48" w14:textId="77777777" w:rsidR="00AA1842" w:rsidRDefault="00AA1842" w:rsidP="00100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65F3CF" w14:textId="77777777" w:rsidR="00AA1842" w:rsidRDefault="00AA1842" w:rsidP="0010023D">
      <w:pPr>
        <w:spacing w:after="0" w:line="240" w:lineRule="auto"/>
      </w:pPr>
      <w:r>
        <w:separator/>
      </w:r>
    </w:p>
  </w:footnote>
  <w:footnote w:type="continuationSeparator" w:id="0">
    <w:p w14:paraId="678A9CC6" w14:textId="77777777" w:rsidR="00AA1842" w:rsidRDefault="00AA1842" w:rsidP="0010023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5322391"/>
    <w:multiLevelType w:val="hybridMultilevel"/>
    <w:tmpl w:val="42F03D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447F"/>
    <w:rsid w:val="0009167B"/>
    <w:rsid w:val="0010023D"/>
    <w:rsid w:val="00172820"/>
    <w:rsid w:val="00265CB3"/>
    <w:rsid w:val="007A5768"/>
    <w:rsid w:val="007E5E3D"/>
    <w:rsid w:val="00932DF1"/>
    <w:rsid w:val="00AA1842"/>
    <w:rsid w:val="00B5706F"/>
    <w:rsid w:val="00D705EA"/>
    <w:rsid w:val="00DA6566"/>
    <w:rsid w:val="00EA7257"/>
    <w:rsid w:val="00F64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D4BD9"/>
  <w15:chartTrackingRefBased/>
  <w15:docId w15:val="{3150A5C6-E2A9-4ACA-A2AA-9D3928E41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002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644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6447F"/>
    <w:pPr>
      <w:ind w:left="720"/>
      <w:contextualSpacing/>
    </w:pPr>
  </w:style>
  <w:style w:type="character" w:customStyle="1" w:styleId="Heading1Char">
    <w:name w:val="Heading 1 Char"/>
    <w:basedOn w:val="DefaultParagraphFont"/>
    <w:link w:val="Heading1"/>
    <w:uiPriority w:val="9"/>
    <w:rsid w:val="001002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023D"/>
    <w:pPr>
      <w:outlineLvl w:val="9"/>
    </w:pPr>
    <w:rPr>
      <w:kern w:val="0"/>
      <w:lang w:eastAsia="en-GB"/>
      <w14:ligatures w14:val="none"/>
    </w:rPr>
  </w:style>
  <w:style w:type="paragraph" w:styleId="TOC1">
    <w:name w:val="toc 1"/>
    <w:basedOn w:val="Normal"/>
    <w:next w:val="Normal"/>
    <w:autoRedefine/>
    <w:uiPriority w:val="39"/>
    <w:unhideWhenUsed/>
    <w:rsid w:val="0010023D"/>
    <w:pPr>
      <w:spacing w:after="100"/>
    </w:pPr>
  </w:style>
  <w:style w:type="character" w:styleId="Hyperlink">
    <w:name w:val="Hyperlink"/>
    <w:basedOn w:val="DefaultParagraphFont"/>
    <w:uiPriority w:val="99"/>
    <w:unhideWhenUsed/>
    <w:rsid w:val="0010023D"/>
    <w:rPr>
      <w:color w:val="0563C1" w:themeColor="hyperlink"/>
      <w:u w:val="single"/>
    </w:rPr>
  </w:style>
  <w:style w:type="paragraph" w:styleId="Header">
    <w:name w:val="header"/>
    <w:basedOn w:val="Normal"/>
    <w:link w:val="HeaderChar"/>
    <w:uiPriority w:val="99"/>
    <w:unhideWhenUsed/>
    <w:rsid w:val="00100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23D"/>
  </w:style>
  <w:style w:type="paragraph" w:styleId="Footer">
    <w:name w:val="footer"/>
    <w:basedOn w:val="Normal"/>
    <w:link w:val="FooterChar"/>
    <w:uiPriority w:val="99"/>
    <w:unhideWhenUsed/>
    <w:rsid w:val="001002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2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601559">
      <w:bodyDiv w:val="1"/>
      <w:marLeft w:val="0"/>
      <w:marRight w:val="0"/>
      <w:marTop w:val="0"/>
      <w:marBottom w:val="0"/>
      <w:divBdr>
        <w:top w:val="none" w:sz="0" w:space="0" w:color="auto"/>
        <w:left w:val="none" w:sz="0" w:space="0" w:color="auto"/>
        <w:bottom w:val="none" w:sz="0" w:space="0" w:color="auto"/>
        <w:right w:val="none" w:sz="0" w:space="0" w:color="auto"/>
      </w:divBdr>
    </w:div>
    <w:div w:id="138421938">
      <w:bodyDiv w:val="1"/>
      <w:marLeft w:val="0"/>
      <w:marRight w:val="0"/>
      <w:marTop w:val="0"/>
      <w:marBottom w:val="0"/>
      <w:divBdr>
        <w:top w:val="none" w:sz="0" w:space="0" w:color="auto"/>
        <w:left w:val="none" w:sz="0" w:space="0" w:color="auto"/>
        <w:bottom w:val="none" w:sz="0" w:space="0" w:color="auto"/>
        <w:right w:val="none" w:sz="0" w:space="0" w:color="auto"/>
      </w:divBdr>
    </w:div>
    <w:div w:id="203831117">
      <w:bodyDiv w:val="1"/>
      <w:marLeft w:val="0"/>
      <w:marRight w:val="0"/>
      <w:marTop w:val="0"/>
      <w:marBottom w:val="0"/>
      <w:divBdr>
        <w:top w:val="none" w:sz="0" w:space="0" w:color="auto"/>
        <w:left w:val="none" w:sz="0" w:space="0" w:color="auto"/>
        <w:bottom w:val="none" w:sz="0" w:space="0" w:color="auto"/>
        <w:right w:val="none" w:sz="0" w:space="0" w:color="auto"/>
      </w:divBdr>
    </w:div>
    <w:div w:id="203905473">
      <w:bodyDiv w:val="1"/>
      <w:marLeft w:val="0"/>
      <w:marRight w:val="0"/>
      <w:marTop w:val="0"/>
      <w:marBottom w:val="0"/>
      <w:divBdr>
        <w:top w:val="none" w:sz="0" w:space="0" w:color="auto"/>
        <w:left w:val="none" w:sz="0" w:space="0" w:color="auto"/>
        <w:bottom w:val="none" w:sz="0" w:space="0" w:color="auto"/>
        <w:right w:val="none" w:sz="0" w:space="0" w:color="auto"/>
      </w:divBdr>
    </w:div>
    <w:div w:id="224028216">
      <w:bodyDiv w:val="1"/>
      <w:marLeft w:val="0"/>
      <w:marRight w:val="0"/>
      <w:marTop w:val="0"/>
      <w:marBottom w:val="0"/>
      <w:divBdr>
        <w:top w:val="none" w:sz="0" w:space="0" w:color="auto"/>
        <w:left w:val="none" w:sz="0" w:space="0" w:color="auto"/>
        <w:bottom w:val="none" w:sz="0" w:space="0" w:color="auto"/>
        <w:right w:val="none" w:sz="0" w:space="0" w:color="auto"/>
      </w:divBdr>
    </w:div>
    <w:div w:id="300572559">
      <w:bodyDiv w:val="1"/>
      <w:marLeft w:val="0"/>
      <w:marRight w:val="0"/>
      <w:marTop w:val="0"/>
      <w:marBottom w:val="0"/>
      <w:divBdr>
        <w:top w:val="none" w:sz="0" w:space="0" w:color="auto"/>
        <w:left w:val="none" w:sz="0" w:space="0" w:color="auto"/>
        <w:bottom w:val="none" w:sz="0" w:space="0" w:color="auto"/>
        <w:right w:val="none" w:sz="0" w:space="0" w:color="auto"/>
      </w:divBdr>
    </w:div>
    <w:div w:id="550727506">
      <w:bodyDiv w:val="1"/>
      <w:marLeft w:val="0"/>
      <w:marRight w:val="0"/>
      <w:marTop w:val="0"/>
      <w:marBottom w:val="0"/>
      <w:divBdr>
        <w:top w:val="none" w:sz="0" w:space="0" w:color="auto"/>
        <w:left w:val="none" w:sz="0" w:space="0" w:color="auto"/>
        <w:bottom w:val="none" w:sz="0" w:space="0" w:color="auto"/>
        <w:right w:val="none" w:sz="0" w:space="0" w:color="auto"/>
      </w:divBdr>
    </w:div>
    <w:div w:id="606040505">
      <w:bodyDiv w:val="1"/>
      <w:marLeft w:val="0"/>
      <w:marRight w:val="0"/>
      <w:marTop w:val="0"/>
      <w:marBottom w:val="0"/>
      <w:divBdr>
        <w:top w:val="none" w:sz="0" w:space="0" w:color="auto"/>
        <w:left w:val="none" w:sz="0" w:space="0" w:color="auto"/>
        <w:bottom w:val="none" w:sz="0" w:space="0" w:color="auto"/>
        <w:right w:val="none" w:sz="0" w:space="0" w:color="auto"/>
      </w:divBdr>
    </w:div>
    <w:div w:id="804927290">
      <w:bodyDiv w:val="1"/>
      <w:marLeft w:val="0"/>
      <w:marRight w:val="0"/>
      <w:marTop w:val="0"/>
      <w:marBottom w:val="0"/>
      <w:divBdr>
        <w:top w:val="none" w:sz="0" w:space="0" w:color="auto"/>
        <w:left w:val="none" w:sz="0" w:space="0" w:color="auto"/>
        <w:bottom w:val="none" w:sz="0" w:space="0" w:color="auto"/>
        <w:right w:val="none" w:sz="0" w:space="0" w:color="auto"/>
      </w:divBdr>
    </w:div>
    <w:div w:id="810169725">
      <w:bodyDiv w:val="1"/>
      <w:marLeft w:val="0"/>
      <w:marRight w:val="0"/>
      <w:marTop w:val="0"/>
      <w:marBottom w:val="0"/>
      <w:divBdr>
        <w:top w:val="none" w:sz="0" w:space="0" w:color="auto"/>
        <w:left w:val="none" w:sz="0" w:space="0" w:color="auto"/>
        <w:bottom w:val="none" w:sz="0" w:space="0" w:color="auto"/>
        <w:right w:val="none" w:sz="0" w:space="0" w:color="auto"/>
      </w:divBdr>
    </w:div>
    <w:div w:id="872766793">
      <w:bodyDiv w:val="1"/>
      <w:marLeft w:val="0"/>
      <w:marRight w:val="0"/>
      <w:marTop w:val="0"/>
      <w:marBottom w:val="0"/>
      <w:divBdr>
        <w:top w:val="none" w:sz="0" w:space="0" w:color="auto"/>
        <w:left w:val="none" w:sz="0" w:space="0" w:color="auto"/>
        <w:bottom w:val="none" w:sz="0" w:space="0" w:color="auto"/>
        <w:right w:val="none" w:sz="0" w:space="0" w:color="auto"/>
      </w:divBdr>
    </w:div>
    <w:div w:id="1116174927">
      <w:bodyDiv w:val="1"/>
      <w:marLeft w:val="0"/>
      <w:marRight w:val="0"/>
      <w:marTop w:val="0"/>
      <w:marBottom w:val="0"/>
      <w:divBdr>
        <w:top w:val="none" w:sz="0" w:space="0" w:color="auto"/>
        <w:left w:val="none" w:sz="0" w:space="0" w:color="auto"/>
        <w:bottom w:val="none" w:sz="0" w:space="0" w:color="auto"/>
        <w:right w:val="none" w:sz="0" w:space="0" w:color="auto"/>
      </w:divBdr>
    </w:div>
    <w:div w:id="1230575669">
      <w:bodyDiv w:val="1"/>
      <w:marLeft w:val="0"/>
      <w:marRight w:val="0"/>
      <w:marTop w:val="0"/>
      <w:marBottom w:val="0"/>
      <w:divBdr>
        <w:top w:val="none" w:sz="0" w:space="0" w:color="auto"/>
        <w:left w:val="none" w:sz="0" w:space="0" w:color="auto"/>
        <w:bottom w:val="none" w:sz="0" w:space="0" w:color="auto"/>
        <w:right w:val="none" w:sz="0" w:space="0" w:color="auto"/>
      </w:divBdr>
    </w:div>
    <w:div w:id="1344283811">
      <w:bodyDiv w:val="1"/>
      <w:marLeft w:val="0"/>
      <w:marRight w:val="0"/>
      <w:marTop w:val="0"/>
      <w:marBottom w:val="0"/>
      <w:divBdr>
        <w:top w:val="none" w:sz="0" w:space="0" w:color="auto"/>
        <w:left w:val="none" w:sz="0" w:space="0" w:color="auto"/>
        <w:bottom w:val="none" w:sz="0" w:space="0" w:color="auto"/>
        <w:right w:val="none" w:sz="0" w:space="0" w:color="auto"/>
      </w:divBdr>
    </w:div>
    <w:div w:id="1347832383">
      <w:bodyDiv w:val="1"/>
      <w:marLeft w:val="0"/>
      <w:marRight w:val="0"/>
      <w:marTop w:val="0"/>
      <w:marBottom w:val="0"/>
      <w:divBdr>
        <w:top w:val="none" w:sz="0" w:space="0" w:color="auto"/>
        <w:left w:val="none" w:sz="0" w:space="0" w:color="auto"/>
        <w:bottom w:val="none" w:sz="0" w:space="0" w:color="auto"/>
        <w:right w:val="none" w:sz="0" w:space="0" w:color="auto"/>
      </w:divBdr>
    </w:div>
    <w:div w:id="1457524252">
      <w:bodyDiv w:val="1"/>
      <w:marLeft w:val="0"/>
      <w:marRight w:val="0"/>
      <w:marTop w:val="0"/>
      <w:marBottom w:val="0"/>
      <w:divBdr>
        <w:top w:val="none" w:sz="0" w:space="0" w:color="auto"/>
        <w:left w:val="none" w:sz="0" w:space="0" w:color="auto"/>
        <w:bottom w:val="none" w:sz="0" w:space="0" w:color="auto"/>
        <w:right w:val="none" w:sz="0" w:space="0" w:color="auto"/>
      </w:divBdr>
    </w:div>
    <w:div w:id="1499148363">
      <w:bodyDiv w:val="1"/>
      <w:marLeft w:val="0"/>
      <w:marRight w:val="0"/>
      <w:marTop w:val="0"/>
      <w:marBottom w:val="0"/>
      <w:divBdr>
        <w:top w:val="none" w:sz="0" w:space="0" w:color="auto"/>
        <w:left w:val="none" w:sz="0" w:space="0" w:color="auto"/>
        <w:bottom w:val="none" w:sz="0" w:space="0" w:color="auto"/>
        <w:right w:val="none" w:sz="0" w:space="0" w:color="auto"/>
      </w:divBdr>
    </w:div>
    <w:div w:id="1566258869">
      <w:bodyDiv w:val="1"/>
      <w:marLeft w:val="0"/>
      <w:marRight w:val="0"/>
      <w:marTop w:val="0"/>
      <w:marBottom w:val="0"/>
      <w:divBdr>
        <w:top w:val="none" w:sz="0" w:space="0" w:color="auto"/>
        <w:left w:val="none" w:sz="0" w:space="0" w:color="auto"/>
        <w:bottom w:val="none" w:sz="0" w:space="0" w:color="auto"/>
        <w:right w:val="none" w:sz="0" w:space="0" w:color="auto"/>
      </w:divBdr>
    </w:div>
    <w:div w:id="1605184491">
      <w:bodyDiv w:val="1"/>
      <w:marLeft w:val="0"/>
      <w:marRight w:val="0"/>
      <w:marTop w:val="0"/>
      <w:marBottom w:val="0"/>
      <w:divBdr>
        <w:top w:val="none" w:sz="0" w:space="0" w:color="auto"/>
        <w:left w:val="none" w:sz="0" w:space="0" w:color="auto"/>
        <w:bottom w:val="none" w:sz="0" w:space="0" w:color="auto"/>
        <w:right w:val="none" w:sz="0" w:space="0" w:color="auto"/>
      </w:divBdr>
    </w:div>
    <w:div w:id="1811708651">
      <w:bodyDiv w:val="1"/>
      <w:marLeft w:val="0"/>
      <w:marRight w:val="0"/>
      <w:marTop w:val="0"/>
      <w:marBottom w:val="0"/>
      <w:divBdr>
        <w:top w:val="none" w:sz="0" w:space="0" w:color="auto"/>
        <w:left w:val="none" w:sz="0" w:space="0" w:color="auto"/>
        <w:bottom w:val="none" w:sz="0" w:space="0" w:color="auto"/>
        <w:right w:val="none" w:sz="0" w:space="0" w:color="auto"/>
      </w:divBdr>
    </w:div>
    <w:div w:id="1811824521">
      <w:bodyDiv w:val="1"/>
      <w:marLeft w:val="0"/>
      <w:marRight w:val="0"/>
      <w:marTop w:val="0"/>
      <w:marBottom w:val="0"/>
      <w:divBdr>
        <w:top w:val="none" w:sz="0" w:space="0" w:color="auto"/>
        <w:left w:val="none" w:sz="0" w:space="0" w:color="auto"/>
        <w:bottom w:val="none" w:sz="0" w:space="0" w:color="auto"/>
        <w:right w:val="none" w:sz="0" w:space="0" w:color="auto"/>
      </w:divBdr>
    </w:div>
    <w:div w:id="2026663327">
      <w:bodyDiv w:val="1"/>
      <w:marLeft w:val="0"/>
      <w:marRight w:val="0"/>
      <w:marTop w:val="0"/>
      <w:marBottom w:val="0"/>
      <w:divBdr>
        <w:top w:val="none" w:sz="0" w:space="0" w:color="auto"/>
        <w:left w:val="none" w:sz="0" w:space="0" w:color="auto"/>
        <w:bottom w:val="none" w:sz="0" w:space="0" w:color="auto"/>
        <w:right w:val="none" w:sz="0" w:space="0" w:color="auto"/>
      </w:divBdr>
    </w:div>
    <w:div w:id="2027753946">
      <w:bodyDiv w:val="1"/>
      <w:marLeft w:val="0"/>
      <w:marRight w:val="0"/>
      <w:marTop w:val="0"/>
      <w:marBottom w:val="0"/>
      <w:divBdr>
        <w:top w:val="none" w:sz="0" w:space="0" w:color="auto"/>
        <w:left w:val="none" w:sz="0" w:space="0" w:color="auto"/>
        <w:bottom w:val="none" w:sz="0" w:space="0" w:color="auto"/>
        <w:right w:val="none" w:sz="0" w:space="0" w:color="auto"/>
      </w:divBdr>
    </w:div>
    <w:div w:id="2136362252">
      <w:bodyDiv w:val="1"/>
      <w:marLeft w:val="0"/>
      <w:marRight w:val="0"/>
      <w:marTop w:val="0"/>
      <w:marBottom w:val="0"/>
      <w:divBdr>
        <w:top w:val="none" w:sz="0" w:space="0" w:color="auto"/>
        <w:left w:val="none" w:sz="0" w:space="0" w:color="auto"/>
        <w:bottom w:val="none" w:sz="0" w:space="0" w:color="auto"/>
        <w:right w:val="none" w:sz="0" w:space="0" w:color="auto"/>
      </w:divBdr>
    </w:div>
    <w:div w:id="2147165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2852</Words>
  <Characters>16258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MSI</dc:creator>
  <cp:keywords/>
  <dc:description/>
  <cp:lastModifiedBy>MSI</cp:lastModifiedBy>
  <cp:revision>3</cp:revision>
  <dcterms:created xsi:type="dcterms:W3CDTF">2023-08-25T20:32:00Z</dcterms:created>
  <dcterms:modified xsi:type="dcterms:W3CDTF">2023-08-25T20:46:00Z</dcterms:modified>
</cp:coreProperties>
</file>