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5CA8C0" w14:textId="77777777" w:rsidR="00471658" w:rsidRPr="00111C3B" w:rsidRDefault="00BA089E" w:rsidP="00471658">
      <w:pPr>
        <w:jc w:val="center"/>
        <w:rPr>
          <w:rFonts w:asciiTheme="majorHAnsi" w:hAnsiTheme="majorHAnsi" w:cstheme="majorHAnsi"/>
        </w:rPr>
      </w:pPr>
      <w:r w:rsidRPr="00111C3B">
        <w:rPr>
          <w:rFonts w:asciiTheme="majorHAnsi" w:hAnsiTheme="majorHAnsi" w:cstheme="majorHAnsi"/>
          <w:b/>
          <w:u w:val="single"/>
        </w:rPr>
        <w:t>A Source Analysis on Political Participation in The Peoples Republic of China</w:t>
      </w:r>
    </w:p>
    <w:p w14:paraId="1BC29323" w14:textId="77777777" w:rsidR="00471658" w:rsidRPr="00111C3B" w:rsidRDefault="00471658" w:rsidP="00471658">
      <w:pPr>
        <w:jc w:val="center"/>
        <w:rPr>
          <w:rFonts w:asciiTheme="majorHAnsi" w:hAnsiTheme="majorHAnsi" w:cstheme="majorHAnsi"/>
        </w:rPr>
      </w:pPr>
    </w:p>
    <w:p w14:paraId="129360D6" w14:textId="61BA4E80" w:rsidR="00471658" w:rsidRPr="00111C3B" w:rsidRDefault="00BA089E" w:rsidP="00471658">
      <w:pPr>
        <w:rPr>
          <w:rFonts w:asciiTheme="majorHAnsi" w:hAnsiTheme="majorHAnsi" w:cstheme="majorHAnsi"/>
        </w:rPr>
      </w:pPr>
      <w:r w:rsidRPr="00111C3B">
        <w:rPr>
          <w:rFonts w:asciiTheme="majorHAnsi" w:hAnsiTheme="majorHAnsi" w:cstheme="majorHAnsi"/>
        </w:rPr>
        <w:t xml:space="preserve">Political participation in China is a debatable issue. The definition of political participation, just what is it? It is the name given to actions taken by somebody to participate in politics within their home nation. </w:t>
      </w:r>
      <w:r w:rsidR="0074636C" w:rsidRPr="00111C3B">
        <w:rPr>
          <w:rFonts w:asciiTheme="majorHAnsi" w:hAnsiTheme="majorHAnsi" w:cstheme="majorHAnsi"/>
        </w:rPr>
        <w:t xml:space="preserve">This can be defined </w:t>
      </w:r>
      <w:r w:rsidRPr="00111C3B">
        <w:rPr>
          <w:rFonts w:asciiTheme="majorHAnsi" w:hAnsiTheme="majorHAnsi" w:cstheme="majorHAnsi"/>
        </w:rPr>
        <w:t>as working for a political party in grassroots areas</w:t>
      </w:r>
      <w:r w:rsidR="0074636C" w:rsidRPr="00111C3B">
        <w:rPr>
          <w:rFonts w:asciiTheme="majorHAnsi" w:hAnsiTheme="majorHAnsi" w:cstheme="majorHAnsi"/>
        </w:rPr>
        <w:t>,</w:t>
      </w:r>
      <w:r w:rsidRPr="00111C3B">
        <w:rPr>
          <w:rFonts w:asciiTheme="majorHAnsi" w:hAnsiTheme="majorHAnsi" w:cstheme="majorHAnsi"/>
        </w:rPr>
        <w:t xml:space="preserve"> but also acting as a representative in the great organs of state,</w:t>
      </w:r>
      <w:r w:rsidR="0074636C" w:rsidRPr="00111C3B">
        <w:rPr>
          <w:rFonts w:asciiTheme="majorHAnsi" w:hAnsiTheme="majorHAnsi" w:cstheme="majorHAnsi"/>
        </w:rPr>
        <w:t xml:space="preserve"> as</w:t>
      </w:r>
      <w:r w:rsidRPr="00111C3B">
        <w:rPr>
          <w:rFonts w:asciiTheme="majorHAnsi" w:hAnsiTheme="majorHAnsi" w:cstheme="majorHAnsi"/>
        </w:rPr>
        <w:t xml:space="preserve"> a member of a legislature or a government committee. However, political participation is different, depending on the political system of the nation or political entity in question. For this piece, the focus will be on the political systems of the Peoples Republic of China, and how her people participate in politics, and the organisations that permit them to do so.</w:t>
      </w:r>
    </w:p>
    <w:p w14:paraId="3AF6B148" w14:textId="18669822" w:rsidR="00471658" w:rsidRPr="00111C3B" w:rsidRDefault="00BA089E" w:rsidP="00471658">
      <w:pPr>
        <w:rPr>
          <w:rFonts w:asciiTheme="majorHAnsi" w:hAnsiTheme="majorHAnsi" w:cstheme="majorHAnsi"/>
          <w:b/>
        </w:rPr>
      </w:pPr>
      <w:r w:rsidRPr="00111C3B">
        <w:rPr>
          <w:rFonts w:asciiTheme="majorHAnsi" w:hAnsiTheme="majorHAnsi" w:cstheme="majorHAnsi"/>
        </w:rPr>
        <w:t>The data to be used was collated by Dr Gang Guo of the University of Michigan</w:t>
      </w:r>
      <w:r w:rsidR="00FE2AEB" w:rsidRPr="00111C3B">
        <w:rPr>
          <w:rStyle w:val="FootnoteReference"/>
          <w:rFonts w:asciiTheme="majorHAnsi" w:hAnsiTheme="majorHAnsi" w:cstheme="majorHAnsi"/>
        </w:rPr>
        <w:footnoteReference w:id="1"/>
      </w:r>
      <w:r w:rsidRPr="00111C3B">
        <w:rPr>
          <w:rFonts w:asciiTheme="majorHAnsi" w:hAnsiTheme="majorHAnsi" w:cstheme="majorHAnsi"/>
        </w:rPr>
        <w:t xml:space="preserve">. Dr Guo in his study has analysed data collected from a sample of </w:t>
      </w:r>
      <w:r w:rsidR="00C73E43" w:rsidRPr="00111C3B">
        <w:rPr>
          <w:rFonts w:asciiTheme="majorHAnsi" w:hAnsiTheme="majorHAnsi" w:cstheme="majorHAnsi"/>
        </w:rPr>
        <w:t xml:space="preserve">3296 </w:t>
      </w:r>
      <w:r w:rsidRPr="00111C3B">
        <w:rPr>
          <w:rFonts w:asciiTheme="majorHAnsi" w:hAnsiTheme="majorHAnsi" w:cstheme="majorHAnsi"/>
        </w:rPr>
        <w:t>respondents, answering specific questions on their political participation</w:t>
      </w:r>
      <w:r w:rsidR="00D77DF2" w:rsidRPr="00111C3B">
        <w:rPr>
          <w:rStyle w:val="FootnoteReference"/>
          <w:rFonts w:asciiTheme="majorHAnsi" w:hAnsiTheme="majorHAnsi" w:cstheme="majorHAnsi"/>
        </w:rPr>
        <w:footnoteReference w:id="2"/>
      </w:r>
      <w:r w:rsidRPr="00111C3B">
        <w:rPr>
          <w:rFonts w:asciiTheme="majorHAnsi" w:hAnsiTheme="majorHAnsi" w:cstheme="majorHAnsi"/>
        </w:rPr>
        <w:t xml:space="preserve">. Such questions relate to their opinions, motives and organisations and how </w:t>
      </w:r>
      <w:r w:rsidR="0074636C" w:rsidRPr="00111C3B">
        <w:rPr>
          <w:rFonts w:asciiTheme="majorHAnsi" w:hAnsiTheme="majorHAnsi" w:cstheme="majorHAnsi"/>
        </w:rPr>
        <w:t xml:space="preserve">they </w:t>
      </w:r>
      <w:r w:rsidRPr="00111C3B">
        <w:rPr>
          <w:rFonts w:asciiTheme="majorHAnsi" w:hAnsiTheme="majorHAnsi" w:cstheme="majorHAnsi"/>
        </w:rPr>
        <w:t xml:space="preserve">as citizens participate in daily political life. The purpose of this study, however, is to understand the relationship </w:t>
      </w:r>
      <w:r w:rsidR="00BD0BA7" w:rsidRPr="00111C3B">
        <w:rPr>
          <w:rFonts w:asciiTheme="majorHAnsi" w:hAnsiTheme="majorHAnsi" w:cstheme="majorHAnsi"/>
        </w:rPr>
        <w:t>of institutions within the People's Republic of China and how they as institutions influence the participation of their members</w:t>
      </w:r>
      <w:r w:rsidR="00D77DF2" w:rsidRPr="00111C3B">
        <w:rPr>
          <w:rStyle w:val="FootnoteReference"/>
          <w:rFonts w:asciiTheme="majorHAnsi" w:hAnsiTheme="majorHAnsi" w:cstheme="majorHAnsi"/>
        </w:rPr>
        <w:footnoteReference w:id="3"/>
      </w:r>
      <w:r w:rsidR="00BD0BA7" w:rsidRPr="00111C3B">
        <w:rPr>
          <w:rFonts w:asciiTheme="majorHAnsi" w:hAnsiTheme="majorHAnsi" w:cstheme="majorHAnsi"/>
        </w:rPr>
        <w:t>. The organisations that are dealt with within the study are the already established political systems, as well as other civilian associations that whilst not part of the state organs, have a relationship with the national government. In the abstract Dr Guo refers to the difference in organisational processes of these various political bodies</w:t>
      </w:r>
      <w:r w:rsidR="00D77DF2" w:rsidRPr="00111C3B">
        <w:rPr>
          <w:rStyle w:val="FootnoteReference"/>
          <w:rFonts w:asciiTheme="majorHAnsi" w:hAnsiTheme="majorHAnsi" w:cstheme="majorHAnsi"/>
        </w:rPr>
        <w:footnoteReference w:id="4"/>
      </w:r>
      <w:r w:rsidR="00BD0BA7" w:rsidRPr="00111C3B">
        <w:rPr>
          <w:rFonts w:asciiTheme="majorHAnsi" w:hAnsiTheme="majorHAnsi" w:cstheme="majorHAnsi"/>
        </w:rPr>
        <w:t>. Consequently, each has a different impact on political participation, either through access to high profile figures in government, or chances for advancement in political careers</w:t>
      </w:r>
      <w:r w:rsidR="00D77DF2" w:rsidRPr="00111C3B">
        <w:rPr>
          <w:rStyle w:val="FootnoteReference"/>
          <w:rFonts w:asciiTheme="majorHAnsi" w:hAnsiTheme="majorHAnsi" w:cstheme="majorHAnsi"/>
        </w:rPr>
        <w:footnoteReference w:id="5"/>
      </w:r>
      <w:r w:rsidR="00BD0BA7" w:rsidRPr="00111C3B">
        <w:rPr>
          <w:rFonts w:asciiTheme="majorHAnsi" w:hAnsiTheme="majorHAnsi" w:cstheme="majorHAnsi"/>
        </w:rPr>
        <w:t>.</w:t>
      </w:r>
      <w:r w:rsidR="00D77DF2" w:rsidRPr="00111C3B">
        <w:rPr>
          <w:rFonts w:asciiTheme="majorHAnsi" w:hAnsiTheme="majorHAnsi" w:cstheme="majorHAnsi"/>
        </w:rPr>
        <w:t xml:space="preserve"> For all references to percentages please refer to </w:t>
      </w:r>
      <w:r w:rsidR="00D77DF2" w:rsidRPr="00111C3B">
        <w:rPr>
          <w:rFonts w:asciiTheme="majorHAnsi" w:hAnsiTheme="majorHAnsi" w:cstheme="majorHAnsi"/>
          <w:b/>
        </w:rPr>
        <w:t>Figure 1.</w:t>
      </w:r>
    </w:p>
    <w:p w14:paraId="24FBF232" w14:textId="77777777" w:rsidR="00FE2AEB" w:rsidRPr="00111C3B" w:rsidRDefault="00FE2AEB" w:rsidP="00471658">
      <w:pPr>
        <w:rPr>
          <w:rFonts w:asciiTheme="majorHAnsi" w:hAnsiTheme="majorHAnsi" w:cstheme="majorHAnsi"/>
          <w:b/>
        </w:rPr>
      </w:pPr>
      <w:r w:rsidRPr="00111C3B">
        <w:rPr>
          <w:rFonts w:asciiTheme="majorHAnsi" w:hAnsiTheme="majorHAnsi" w:cstheme="majorHAnsi"/>
          <w:b/>
        </w:rPr>
        <w:t xml:space="preserve">Fig 1: Table of Results </w:t>
      </w:r>
    </w:p>
    <w:p w14:paraId="7087363D" w14:textId="77777777" w:rsidR="00FE2AEB" w:rsidRPr="00111C3B" w:rsidRDefault="00FE2AEB" w:rsidP="00471658">
      <w:pPr>
        <w:rPr>
          <w:rFonts w:asciiTheme="majorHAnsi" w:hAnsiTheme="majorHAnsi" w:cstheme="majorHAnsi"/>
        </w:rPr>
      </w:pPr>
      <w:r w:rsidRPr="00111C3B">
        <w:rPr>
          <w:rFonts w:asciiTheme="majorHAnsi" w:hAnsiTheme="majorHAnsi" w:cstheme="majorHAnsi"/>
          <w:noProof/>
          <w:lang w:eastAsia="en-GB"/>
        </w:rPr>
        <w:drawing>
          <wp:inline distT="0" distB="0" distL="0" distR="0" wp14:anchorId="7D2AA39C" wp14:editId="7EEC2430">
            <wp:extent cx="465467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856" t="32381" r="26480" b="4882"/>
                    <a:stretch/>
                  </pic:blipFill>
                  <pic:spPr bwMode="auto">
                    <a:xfrm>
                      <a:off x="0" y="0"/>
                      <a:ext cx="4656528" cy="2820525"/>
                    </a:xfrm>
                    <a:prstGeom prst="rect">
                      <a:avLst/>
                    </a:prstGeom>
                    <a:ln>
                      <a:noFill/>
                    </a:ln>
                    <a:extLst>
                      <a:ext uri="{53640926-AAD7-44D8-BBD7-CCE9431645EC}">
                        <a14:shadowObscured xmlns:a14="http://schemas.microsoft.com/office/drawing/2010/main"/>
                      </a:ext>
                    </a:extLst>
                  </pic:spPr>
                </pic:pic>
              </a:graphicData>
            </a:graphic>
          </wp:inline>
        </w:drawing>
      </w:r>
    </w:p>
    <w:p w14:paraId="0E38A658" w14:textId="646FD830" w:rsidR="00480C87" w:rsidRPr="00111C3B" w:rsidRDefault="00BA089E" w:rsidP="00480C87">
      <w:pPr>
        <w:rPr>
          <w:rFonts w:asciiTheme="majorHAnsi" w:hAnsiTheme="majorHAnsi" w:cstheme="majorHAnsi"/>
        </w:rPr>
      </w:pPr>
      <w:r w:rsidRPr="00111C3B">
        <w:rPr>
          <w:rFonts w:asciiTheme="majorHAnsi" w:hAnsiTheme="majorHAnsi" w:cstheme="majorHAnsi"/>
        </w:rPr>
        <w:lastRenderedPageBreak/>
        <w:t>While the study produces fo</w:t>
      </w:r>
      <w:r w:rsidR="00D77DF2" w:rsidRPr="00111C3B">
        <w:rPr>
          <w:rFonts w:asciiTheme="majorHAnsi" w:hAnsiTheme="majorHAnsi" w:cstheme="majorHAnsi"/>
        </w:rPr>
        <w:t>ur</w:t>
      </w:r>
      <w:r w:rsidRPr="00111C3B">
        <w:rPr>
          <w:rFonts w:asciiTheme="majorHAnsi" w:hAnsiTheme="majorHAnsi" w:cstheme="majorHAnsi"/>
        </w:rPr>
        <w:t xml:space="preserve"> sets of data</w:t>
      </w:r>
      <w:r w:rsidR="0074636C" w:rsidRPr="00111C3B">
        <w:rPr>
          <w:rFonts w:asciiTheme="majorHAnsi" w:hAnsiTheme="majorHAnsi" w:cstheme="majorHAnsi"/>
        </w:rPr>
        <w:t>,</w:t>
      </w:r>
      <w:r w:rsidRPr="00111C3B">
        <w:rPr>
          <w:rFonts w:asciiTheme="majorHAnsi" w:hAnsiTheme="majorHAnsi" w:cstheme="majorHAnsi"/>
        </w:rPr>
        <w:t xml:space="preserve"> for this analysis only </w:t>
      </w:r>
      <w:r w:rsidR="00D77DF2" w:rsidRPr="00111C3B">
        <w:rPr>
          <w:rFonts w:asciiTheme="majorHAnsi" w:hAnsiTheme="majorHAnsi" w:cstheme="majorHAnsi"/>
        </w:rPr>
        <w:t>one is</w:t>
      </w:r>
      <w:r w:rsidRPr="00111C3B">
        <w:rPr>
          <w:rFonts w:asciiTheme="majorHAnsi" w:hAnsiTheme="majorHAnsi" w:cstheme="majorHAnsi"/>
        </w:rPr>
        <w:t xml:space="preserve"> of concern. The</w:t>
      </w:r>
      <w:r w:rsidR="00D77DF2" w:rsidRPr="00111C3B">
        <w:rPr>
          <w:rFonts w:asciiTheme="majorHAnsi" w:hAnsiTheme="majorHAnsi" w:cstheme="majorHAnsi"/>
        </w:rPr>
        <w:t xml:space="preserve"> set of </w:t>
      </w:r>
      <w:r w:rsidRPr="00111C3B">
        <w:rPr>
          <w:rFonts w:asciiTheme="majorHAnsi" w:hAnsiTheme="majorHAnsi" w:cstheme="majorHAnsi"/>
        </w:rPr>
        <w:t>results focus directly on political participation. Each member of the sample was shown a list of actions and asked to indicate which actions they undertook</w:t>
      </w:r>
      <w:r w:rsidR="00D77DF2" w:rsidRPr="00111C3B">
        <w:rPr>
          <w:rStyle w:val="FootnoteReference"/>
          <w:rFonts w:asciiTheme="majorHAnsi" w:hAnsiTheme="majorHAnsi" w:cstheme="majorHAnsi"/>
        </w:rPr>
        <w:footnoteReference w:id="6"/>
      </w:r>
      <w:r w:rsidRPr="00111C3B">
        <w:rPr>
          <w:rFonts w:asciiTheme="majorHAnsi" w:hAnsiTheme="majorHAnsi" w:cstheme="majorHAnsi"/>
        </w:rPr>
        <w:t xml:space="preserve">. </w:t>
      </w:r>
      <w:r w:rsidR="0074636C" w:rsidRPr="00111C3B">
        <w:rPr>
          <w:rFonts w:asciiTheme="majorHAnsi" w:hAnsiTheme="majorHAnsi" w:cstheme="majorHAnsi"/>
        </w:rPr>
        <w:t>R</w:t>
      </w:r>
      <w:r w:rsidRPr="00111C3B">
        <w:rPr>
          <w:rFonts w:asciiTheme="majorHAnsi" w:hAnsiTheme="majorHAnsi" w:cstheme="majorHAnsi"/>
        </w:rPr>
        <w:t>espondents have been grouped into the parent organisation of which they belong, the Communist Party, The Youth League, Trade Union and The Women's Federation</w:t>
      </w:r>
      <w:r w:rsidR="0074636C" w:rsidRPr="00111C3B">
        <w:rPr>
          <w:rFonts w:asciiTheme="majorHAnsi" w:hAnsiTheme="majorHAnsi" w:cstheme="majorHAnsi"/>
        </w:rPr>
        <w:t xml:space="preserve"> and f</w:t>
      </w:r>
      <w:r w:rsidRPr="00111C3B">
        <w:rPr>
          <w:rFonts w:asciiTheme="majorHAnsi" w:hAnsiTheme="majorHAnsi" w:cstheme="majorHAnsi"/>
        </w:rPr>
        <w:t>inally, Civic Institutions that exist outside the traditional political institutions of China</w:t>
      </w:r>
      <w:r w:rsidR="00D77DF2" w:rsidRPr="00111C3B">
        <w:rPr>
          <w:rFonts w:asciiTheme="majorHAnsi" w:hAnsiTheme="majorHAnsi" w:cstheme="majorHAnsi"/>
        </w:rPr>
        <w:t xml:space="preserve"> who</w:t>
      </w:r>
      <w:r w:rsidRPr="00111C3B">
        <w:rPr>
          <w:rFonts w:asciiTheme="majorHAnsi" w:hAnsiTheme="majorHAnsi" w:cstheme="majorHAnsi"/>
        </w:rPr>
        <w:t xml:space="preserve"> generally represent certain individuals in the private sector</w:t>
      </w:r>
      <w:r w:rsidR="00D77DF2" w:rsidRPr="00111C3B">
        <w:rPr>
          <w:rStyle w:val="FootnoteReference"/>
          <w:rFonts w:asciiTheme="majorHAnsi" w:hAnsiTheme="majorHAnsi" w:cstheme="majorHAnsi"/>
        </w:rPr>
        <w:footnoteReference w:id="7"/>
      </w:r>
      <w:r w:rsidRPr="00111C3B">
        <w:rPr>
          <w:rFonts w:asciiTheme="majorHAnsi" w:hAnsiTheme="majorHAnsi" w:cstheme="majorHAnsi"/>
        </w:rPr>
        <w:t>. According to the data the sample was split into these groups respectively</w:t>
      </w:r>
      <w:r w:rsidR="00C73E43" w:rsidRPr="00111C3B">
        <w:rPr>
          <w:rFonts w:asciiTheme="majorHAnsi" w:hAnsiTheme="majorHAnsi" w:cstheme="majorHAnsi"/>
        </w:rPr>
        <w:t xml:space="preserve"> with the following number of members in the survey, The Communist Party </w:t>
      </w:r>
      <w:r w:rsidRPr="00111C3B">
        <w:rPr>
          <w:rFonts w:asciiTheme="majorHAnsi" w:hAnsiTheme="majorHAnsi" w:cstheme="majorHAnsi"/>
        </w:rPr>
        <w:t xml:space="preserve">226, </w:t>
      </w:r>
      <w:r w:rsidR="00C73E43" w:rsidRPr="00111C3B">
        <w:rPr>
          <w:rFonts w:asciiTheme="majorHAnsi" w:hAnsiTheme="majorHAnsi" w:cstheme="majorHAnsi"/>
        </w:rPr>
        <w:t xml:space="preserve">Youth League </w:t>
      </w:r>
      <w:r w:rsidRPr="00111C3B">
        <w:rPr>
          <w:rFonts w:asciiTheme="majorHAnsi" w:hAnsiTheme="majorHAnsi" w:cstheme="majorHAnsi"/>
        </w:rPr>
        <w:t xml:space="preserve">411, </w:t>
      </w:r>
      <w:r w:rsidR="00C73E43" w:rsidRPr="00111C3B">
        <w:rPr>
          <w:rFonts w:asciiTheme="majorHAnsi" w:hAnsiTheme="majorHAnsi" w:cstheme="majorHAnsi"/>
        </w:rPr>
        <w:t xml:space="preserve">Trade Union and the Women’s Union </w:t>
      </w:r>
      <w:r w:rsidRPr="00111C3B">
        <w:rPr>
          <w:rFonts w:asciiTheme="majorHAnsi" w:hAnsiTheme="majorHAnsi" w:cstheme="majorHAnsi"/>
        </w:rPr>
        <w:t xml:space="preserve">642 and 103 </w:t>
      </w:r>
      <w:r w:rsidR="00C73E43" w:rsidRPr="00111C3B">
        <w:rPr>
          <w:rFonts w:asciiTheme="majorHAnsi" w:hAnsiTheme="majorHAnsi" w:cstheme="majorHAnsi"/>
        </w:rPr>
        <w:t xml:space="preserve">for the Civic Associations </w:t>
      </w:r>
      <w:r w:rsidRPr="00111C3B">
        <w:rPr>
          <w:rFonts w:asciiTheme="majorHAnsi" w:hAnsiTheme="majorHAnsi" w:cstheme="majorHAnsi"/>
        </w:rPr>
        <w:t>members within the survey</w:t>
      </w:r>
      <w:r w:rsidR="00C73E43" w:rsidRPr="00111C3B">
        <w:rPr>
          <w:rFonts w:asciiTheme="majorHAnsi" w:hAnsiTheme="majorHAnsi" w:cstheme="majorHAnsi"/>
        </w:rPr>
        <w:t xml:space="preserve"> of 3296 respondents</w:t>
      </w:r>
      <w:r w:rsidR="00D77DF2" w:rsidRPr="00111C3B">
        <w:rPr>
          <w:rStyle w:val="FootnoteReference"/>
          <w:rFonts w:asciiTheme="majorHAnsi" w:hAnsiTheme="majorHAnsi" w:cstheme="majorHAnsi"/>
        </w:rPr>
        <w:footnoteReference w:id="8"/>
      </w:r>
      <w:r w:rsidR="00C73E43" w:rsidRPr="00111C3B">
        <w:rPr>
          <w:rFonts w:asciiTheme="majorHAnsi" w:hAnsiTheme="majorHAnsi" w:cstheme="majorHAnsi"/>
        </w:rPr>
        <w:t xml:space="preserve">. </w:t>
      </w:r>
      <w:r w:rsidRPr="00111C3B">
        <w:rPr>
          <w:rFonts w:asciiTheme="majorHAnsi" w:hAnsiTheme="majorHAnsi" w:cstheme="majorHAnsi"/>
        </w:rPr>
        <w:t xml:space="preserve"> </w:t>
      </w:r>
    </w:p>
    <w:p w14:paraId="2E522BE7" w14:textId="77777777" w:rsidR="00A8583F" w:rsidRPr="00111C3B" w:rsidRDefault="00BA089E" w:rsidP="00480C87">
      <w:pPr>
        <w:rPr>
          <w:rFonts w:asciiTheme="majorHAnsi" w:hAnsiTheme="majorHAnsi" w:cstheme="majorHAnsi"/>
        </w:rPr>
      </w:pPr>
      <w:r w:rsidRPr="00111C3B">
        <w:rPr>
          <w:rFonts w:asciiTheme="majorHAnsi" w:hAnsiTheme="majorHAnsi" w:cstheme="majorHAnsi"/>
        </w:rPr>
        <w:t>After defining the makeup of the sample, each participant was presented with a set of actions that they might have perhaps done in the interaction with political organs; the options start with the interactions with leadership, specifically directly talking to a leader within their organisation</w:t>
      </w:r>
      <w:r w:rsidR="00D77DF2" w:rsidRPr="00111C3B">
        <w:rPr>
          <w:rStyle w:val="FootnoteReference"/>
          <w:rFonts w:asciiTheme="majorHAnsi" w:hAnsiTheme="majorHAnsi" w:cstheme="majorHAnsi"/>
        </w:rPr>
        <w:footnoteReference w:id="9"/>
      </w:r>
      <w:r w:rsidRPr="00111C3B">
        <w:rPr>
          <w:rFonts w:asciiTheme="majorHAnsi" w:hAnsiTheme="majorHAnsi" w:cstheme="majorHAnsi"/>
        </w:rPr>
        <w:t xml:space="preserve">. </w:t>
      </w:r>
      <w:r w:rsidR="00C7640F" w:rsidRPr="00111C3B">
        <w:rPr>
          <w:rFonts w:asciiTheme="majorHAnsi" w:hAnsiTheme="majorHAnsi" w:cstheme="majorHAnsi"/>
        </w:rPr>
        <w:t>Specific options regarding leadership are more proactive as asking to ask another leader in the organisation to intervene or ask who might perhaps be able to persuade their leader among other ideas. It would suggest that most members of these organisations are encouraged to interact with their leadership, directly rather than indirectly. According to the survey, 57% of the CCP members voice their concerns directly to their leader</w:t>
      </w:r>
      <w:r w:rsidR="00D77DF2" w:rsidRPr="00111C3B">
        <w:rPr>
          <w:rFonts w:asciiTheme="majorHAnsi" w:hAnsiTheme="majorHAnsi" w:cstheme="majorHAnsi"/>
        </w:rPr>
        <w:t xml:space="preserve"> as well as</w:t>
      </w:r>
      <w:r w:rsidR="00C7640F" w:rsidRPr="00111C3B">
        <w:rPr>
          <w:rFonts w:asciiTheme="majorHAnsi" w:hAnsiTheme="majorHAnsi" w:cstheme="majorHAnsi"/>
        </w:rPr>
        <w:t xml:space="preserve"> </w:t>
      </w:r>
      <w:r w:rsidR="00D77DF2" w:rsidRPr="00111C3B">
        <w:rPr>
          <w:rFonts w:asciiTheme="majorHAnsi" w:hAnsiTheme="majorHAnsi" w:cstheme="majorHAnsi"/>
        </w:rPr>
        <w:t>m</w:t>
      </w:r>
      <w:r w:rsidR="00C7640F" w:rsidRPr="00111C3B">
        <w:rPr>
          <w:rFonts w:asciiTheme="majorHAnsi" w:hAnsiTheme="majorHAnsi" w:cstheme="majorHAnsi"/>
        </w:rPr>
        <w:t xml:space="preserve">embers of the Youth movement </w:t>
      </w:r>
      <w:r w:rsidR="00D77DF2" w:rsidRPr="00111C3B">
        <w:rPr>
          <w:rFonts w:asciiTheme="majorHAnsi" w:hAnsiTheme="majorHAnsi" w:cstheme="majorHAnsi"/>
        </w:rPr>
        <w:t>at</w:t>
      </w:r>
      <w:r w:rsidR="009A5EF9" w:rsidRPr="00111C3B">
        <w:rPr>
          <w:rFonts w:asciiTheme="majorHAnsi" w:hAnsiTheme="majorHAnsi" w:cstheme="majorHAnsi"/>
        </w:rPr>
        <w:t xml:space="preserve"> </w:t>
      </w:r>
      <w:r w:rsidR="00C7640F" w:rsidRPr="00111C3B">
        <w:rPr>
          <w:rFonts w:asciiTheme="majorHAnsi" w:hAnsiTheme="majorHAnsi" w:cstheme="majorHAnsi"/>
        </w:rPr>
        <w:t>42%</w:t>
      </w:r>
      <w:r w:rsidR="00D77DF2" w:rsidRPr="00111C3B">
        <w:rPr>
          <w:rFonts w:asciiTheme="majorHAnsi" w:hAnsiTheme="majorHAnsi" w:cstheme="majorHAnsi"/>
        </w:rPr>
        <w:t>,</w:t>
      </w:r>
      <w:r w:rsidR="00C7640F" w:rsidRPr="00111C3B">
        <w:rPr>
          <w:rFonts w:asciiTheme="majorHAnsi" w:hAnsiTheme="majorHAnsi" w:cstheme="majorHAnsi"/>
        </w:rPr>
        <w:t xml:space="preserve"> and the Trade and Women's Union 49%</w:t>
      </w:r>
      <w:r w:rsidR="00D77DF2" w:rsidRPr="00111C3B">
        <w:rPr>
          <w:rStyle w:val="FootnoteReference"/>
          <w:rFonts w:asciiTheme="majorHAnsi" w:hAnsiTheme="majorHAnsi" w:cstheme="majorHAnsi"/>
        </w:rPr>
        <w:footnoteReference w:id="10"/>
      </w:r>
      <w:r w:rsidR="00C7640F" w:rsidRPr="00111C3B">
        <w:rPr>
          <w:rFonts w:asciiTheme="majorHAnsi" w:hAnsiTheme="majorHAnsi" w:cstheme="majorHAnsi"/>
        </w:rPr>
        <w:t>. What is surprising is that it is the Civic Societies with the highest rate of 71%</w:t>
      </w:r>
      <w:r w:rsidR="00D77DF2" w:rsidRPr="00111C3B">
        <w:rPr>
          <w:rStyle w:val="FootnoteReference"/>
          <w:rFonts w:asciiTheme="majorHAnsi" w:hAnsiTheme="majorHAnsi" w:cstheme="majorHAnsi"/>
        </w:rPr>
        <w:footnoteReference w:id="11"/>
      </w:r>
      <w:r w:rsidR="00C7640F" w:rsidRPr="00111C3B">
        <w:rPr>
          <w:rFonts w:asciiTheme="majorHAnsi" w:hAnsiTheme="majorHAnsi" w:cstheme="majorHAnsi"/>
        </w:rPr>
        <w:t>.</w:t>
      </w:r>
    </w:p>
    <w:p w14:paraId="216AFDA9" w14:textId="05439EB0" w:rsidR="00C7640F" w:rsidRPr="00111C3B" w:rsidRDefault="00BA089E" w:rsidP="00480C87">
      <w:pPr>
        <w:rPr>
          <w:rFonts w:asciiTheme="majorHAnsi" w:hAnsiTheme="majorHAnsi" w:cstheme="majorHAnsi"/>
        </w:rPr>
      </w:pPr>
      <w:r w:rsidRPr="00111C3B">
        <w:rPr>
          <w:rFonts w:asciiTheme="majorHAnsi" w:hAnsiTheme="majorHAnsi" w:cstheme="majorHAnsi"/>
        </w:rPr>
        <w:t xml:space="preserve">In comparison the figure is lower, in terms of asking a leader to intervene, only 26% in the CCP did so, </w:t>
      </w:r>
      <w:r w:rsidR="005F42B0" w:rsidRPr="00111C3B">
        <w:rPr>
          <w:rFonts w:asciiTheme="majorHAnsi" w:hAnsiTheme="majorHAnsi" w:cstheme="majorHAnsi"/>
        </w:rPr>
        <w:t>1</w:t>
      </w:r>
      <w:r w:rsidRPr="00111C3B">
        <w:rPr>
          <w:rFonts w:asciiTheme="majorHAnsi" w:hAnsiTheme="majorHAnsi" w:cstheme="majorHAnsi"/>
        </w:rPr>
        <w:t>9% for the Youth League, 20% for the unions and the Women's Federation 20%</w:t>
      </w:r>
      <w:r w:rsidR="009A5EF9" w:rsidRPr="00111C3B">
        <w:rPr>
          <w:rStyle w:val="FootnoteReference"/>
          <w:rFonts w:asciiTheme="majorHAnsi" w:hAnsiTheme="majorHAnsi" w:cstheme="majorHAnsi"/>
        </w:rPr>
        <w:footnoteReference w:id="12"/>
      </w:r>
      <w:r w:rsidRPr="00111C3B">
        <w:rPr>
          <w:rFonts w:asciiTheme="majorHAnsi" w:hAnsiTheme="majorHAnsi" w:cstheme="majorHAnsi"/>
        </w:rPr>
        <w:t>. Again, the Civic Societies have the highest rate, with 38%</w:t>
      </w:r>
      <w:r w:rsidR="009A5EF9" w:rsidRPr="00111C3B">
        <w:rPr>
          <w:rStyle w:val="FootnoteReference"/>
          <w:rFonts w:asciiTheme="majorHAnsi" w:hAnsiTheme="majorHAnsi" w:cstheme="majorHAnsi"/>
        </w:rPr>
        <w:footnoteReference w:id="13"/>
      </w:r>
      <w:r w:rsidRPr="00111C3B">
        <w:rPr>
          <w:rFonts w:asciiTheme="majorHAnsi" w:hAnsiTheme="majorHAnsi" w:cstheme="majorHAnsi"/>
        </w:rPr>
        <w:t xml:space="preserve">. It indicates that members of these organisations would rather directly deal with their representatives rather than circumnavigate </w:t>
      </w:r>
      <w:r w:rsidR="00DD6A03" w:rsidRPr="00111C3B">
        <w:rPr>
          <w:rFonts w:asciiTheme="majorHAnsi" w:hAnsiTheme="majorHAnsi" w:cstheme="majorHAnsi"/>
        </w:rPr>
        <w:t>the system in favour of another official. Ironically however</w:t>
      </w:r>
      <w:r w:rsidR="0074636C" w:rsidRPr="00111C3B">
        <w:rPr>
          <w:rFonts w:asciiTheme="majorHAnsi" w:hAnsiTheme="majorHAnsi" w:cstheme="majorHAnsi"/>
        </w:rPr>
        <w:t>,</w:t>
      </w:r>
      <w:r w:rsidR="00DD6A03" w:rsidRPr="00111C3B">
        <w:rPr>
          <w:rFonts w:asciiTheme="majorHAnsi" w:hAnsiTheme="majorHAnsi" w:cstheme="majorHAnsi"/>
        </w:rPr>
        <w:t xml:space="preserve"> for example</w:t>
      </w:r>
      <w:r w:rsidR="0074636C" w:rsidRPr="00111C3B">
        <w:rPr>
          <w:rFonts w:asciiTheme="majorHAnsi" w:hAnsiTheme="majorHAnsi" w:cstheme="majorHAnsi"/>
        </w:rPr>
        <w:t>,</w:t>
      </w:r>
      <w:r w:rsidR="00DD6A03" w:rsidRPr="00111C3B">
        <w:rPr>
          <w:rFonts w:asciiTheme="majorHAnsi" w:hAnsiTheme="majorHAnsi" w:cstheme="majorHAnsi"/>
        </w:rPr>
        <w:t xml:space="preserve"> only 20% of the CCP are prepared to try and persuade the leader, with similar figures for the other organisations</w:t>
      </w:r>
      <w:r w:rsidR="009A5EF9" w:rsidRPr="00111C3B">
        <w:rPr>
          <w:rStyle w:val="FootnoteReference"/>
          <w:rFonts w:asciiTheme="majorHAnsi" w:hAnsiTheme="majorHAnsi" w:cstheme="majorHAnsi"/>
        </w:rPr>
        <w:footnoteReference w:id="14"/>
      </w:r>
      <w:r w:rsidR="00DD6A03" w:rsidRPr="00111C3B">
        <w:rPr>
          <w:rFonts w:asciiTheme="majorHAnsi" w:hAnsiTheme="majorHAnsi" w:cstheme="majorHAnsi"/>
        </w:rPr>
        <w:t xml:space="preserve">. This implies that more trust is placed in the direct superior rather than trusting another official within the organisation. </w:t>
      </w:r>
    </w:p>
    <w:p w14:paraId="2091ED7A" w14:textId="5CE9B9DB" w:rsidR="00DD6A03" w:rsidRPr="00111C3B" w:rsidRDefault="00BA089E" w:rsidP="00480C87">
      <w:pPr>
        <w:rPr>
          <w:rFonts w:asciiTheme="majorHAnsi" w:hAnsiTheme="majorHAnsi" w:cstheme="majorHAnsi"/>
        </w:rPr>
      </w:pPr>
      <w:r w:rsidRPr="00111C3B">
        <w:rPr>
          <w:rFonts w:asciiTheme="majorHAnsi" w:hAnsiTheme="majorHAnsi" w:cstheme="majorHAnsi"/>
        </w:rPr>
        <w:t>This g</w:t>
      </w:r>
      <w:r w:rsidR="0074636C" w:rsidRPr="00111C3B">
        <w:rPr>
          <w:rFonts w:asciiTheme="majorHAnsi" w:hAnsiTheme="majorHAnsi" w:cstheme="majorHAnsi"/>
        </w:rPr>
        <w:t>rants</w:t>
      </w:r>
      <w:r w:rsidRPr="00111C3B">
        <w:rPr>
          <w:rFonts w:asciiTheme="majorHAnsi" w:hAnsiTheme="majorHAnsi" w:cstheme="majorHAnsi"/>
        </w:rPr>
        <w:t xml:space="preserve"> explanation as to why the figures for interaction with the hierarchy </w:t>
      </w:r>
      <w:r w:rsidR="0074636C" w:rsidRPr="00111C3B">
        <w:rPr>
          <w:rFonts w:asciiTheme="majorHAnsi" w:hAnsiTheme="majorHAnsi" w:cstheme="majorHAnsi"/>
        </w:rPr>
        <w:t xml:space="preserve">are </w:t>
      </w:r>
      <w:r w:rsidRPr="00111C3B">
        <w:rPr>
          <w:rFonts w:asciiTheme="majorHAnsi" w:hAnsiTheme="majorHAnsi" w:cstheme="majorHAnsi"/>
        </w:rPr>
        <w:t xml:space="preserve">much higher than attempts to </w:t>
      </w:r>
      <w:r w:rsidR="005D0E39" w:rsidRPr="00111C3B">
        <w:rPr>
          <w:rFonts w:asciiTheme="majorHAnsi" w:hAnsiTheme="majorHAnsi" w:cstheme="majorHAnsi"/>
        </w:rPr>
        <w:t xml:space="preserve">deal with either persuading or seeking another to persuade the leader. </w:t>
      </w:r>
      <w:r w:rsidR="00974E88" w:rsidRPr="00111C3B">
        <w:rPr>
          <w:rFonts w:asciiTheme="majorHAnsi" w:hAnsiTheme="majorHAnsi" w:cstheme="majorHAnsi"/>
        </w:rPr>
        <w:t>33% from the CCP, 14% for the Youth</w:t>
      </w:r>
      <w:r w:rsidR="0074636C" w:rsidRPr="00111C3B">
        <w:rPr>
          <w:rFonts w:asciiTheme="majorHAnsi" w:hAnsiTheme="majorHAnsi" w:cstheme="majorHAnsi"/>
        </w:rPr>
        <w:t xml:space="preserve"> League</w:t>
      </w:r>
      <w:r w:rsidR="00974E88" w:rsidRPr="00111C3B">
        <w:rPr>
          <w:rFonts w:asciiTheme="majorHAnsi" w:hAnsiTheme="majorHAnsi" w:cstheme="majorHAnsi"/>
        </w:rPr>
        <w:t xml:space="preserve"> and 15% and 25% for the unions and Civic Associations</w:t>
      </w:r>
      <w:r w:rsidR="009A5EF9" w:rsidRPr="00111C3B">
        <w:rPr>
          <w:rStyle w:val="FootnoteReference"/>
          <w:rFonts w:asciiTheme="majorHAnsi" w:hAnsiTheme="majorHAnsi" w:cstheme="majorHAnsi"/>
        </w:rPr>
        <w:footnoteReference w:id="15"/>
      </w:r>
      <w:r w:rsidR="00974E88" w:rsidRPr="00111C3B">
        <w:rPr>
          <w:rFonts w:asciiTheme="majorHAnsi" w:hAnsiTheme="majorHAnsi" w:cstheme="majorHAnsi"/>
        </w:rPr>
        <w:t>. The outward image presents the view that there is a belief in the hierarchy</w:t>
      </w:r>
      <w:r w:rsidR="0074636C" w:rsidRPr="00111C3B">
        <w:rPr>
          <w:rFonts w:asciiTheme="majorHAnsi" w:hAnsiTheme="majorHAnsi" w:cstheme="majorHAnsi"/>
        </w:rPr>
        <w:t>,</w:t>
      </w:r>
      <w:r w:rsidR="00974E88" w:rsidRPr="00111C3B">
        <w:rPr>
          <w:rFonts w:asciiTheme="majorHAnsi" w:hAnsiTheme="majorHAnsi" w:cstheme="majorHAnsi"/>
        </w:rPr>
        <w:t xml:space="preserve"> or instead that it is the hierarchy that deals with the concerns of the members of the respective organisations. This works hand in hand with the high level of respondents who go directly to the leader</w:t>
      </w:r>
      <w:r w:rsidR="007D4F86" w:rsidRPr="00111C3B">
        <w:rPr>
          <w:rFonts w:asciiTheme="majorHAnsi" w:hAnsiTheme="majorHAnsi" w:cstheme="majorHAnsi"/>
        </w:rPr>
        <w:t xml:space="preserve">. A leader may be a leader but still report to a higher authority, so can be synonymous with the </w:t>
      </w:r>
      <w:r w:rsidR="0087569A" w:rsidRPr="00111C3B">
        <w:rPr>
          <w:rFonts w:asciiTheme="majorHAnsi" w:hAnsiTheme="majorHAnsi" w:cstheme="majorHAnsi"/>
        </w:rPr>
        <w:t>hierarchy</w:t>
      </w:r>
      <w:r w:rsidR="009A5EF9" w:rsidRPr="00111C3B">
        <w:rPr>
          <w:rStyle w:val="FootnoteReference"/>
          <w:rFonts w:asciiTheme="majorHAnsi" w:hAnsiTheme="majorHAnsi" w:cstheme="majorHAnsi"/>
        </w:rPr>
        <w:footnoteReference w:id="16"/>
      </w:r>
      <w:r w:rsidR="0087569A" w:rsidRPr="00111C3B">
        <w:rPr>
          <w:rFonts w:asciiTheme="majorHAnsi" w:hAnsiTheme="majorHAnsi" w:cstheme="majorHAnsi"/>
        </w:rPr>
        <w:t xml:space="preserve">. When a member </w:t>
      </w:r>
      <w:r w:rsidR="00160813" w:rsidRPr="00111C3B">
        <w:rPr>
          <w:rFonts w:asciiTheme="majorHAnsi" w:hAnsiTheme="majorHAnsi" w:cstheme="majorHAnsi"/>
        </w:rPr>
        <w:t>has responded to this with regards to giving opinions, they may have referred to this as part of hierarchy rather than the leader</w:t>
      </w:r>
      <w:r w:rsidR="009A5EF9" w:rsidRPr="00111C3B">
        <w:rPr>
          <w:rStyle w:val="FootnoteReference"/>
          <w:rFonts w:asciiTheme="majorHAnsi" w:hAnsiTheme="majorHAnsi" w:cstheme="majorHAnsi"/>
        </w:rPr>
        <w:footnoteReference w:id="17"/>
      </w:r>
      <w:r w:rsidR="00160813" w:rsidRPr="00111C3B">
        <w:rPr>
          <w:rFonts w:asciiTheme="majorHAnsi" w:hAnsiTheme="majorHAnsi" w:cstheme="majorHAnsi"/>
        </w:rPr>
        <w:t xml:space="preserve">. The study has also </w:t>
      </w:r>
      <w:r w:rsidR="00C33B35" w:rsidRPr="00111C3B">
        <w:rPr>
          <w:rFonts w:asciiTheme="majorHAnsi" w:hAnsiTheme="majorHAnsi" w:cstheme="majorHAnsi"/>
        </w:rPr>
        <w:t>asked</w:t>
      </w:r>
      <w:r w:rsidR="00160813" w:rsidRPr="00111C3B">
        <w:rPr>
          <w:rFonts w:asciiTheme="majorHAnsi" w:hAnsiTheme="majorHAnsi" w:cstheme="majorHAnsi"/>
        </w:rPr>
        <w:t xml:space="preserve"> if they take their concerns to the Peoples Congresses</w:t>
      </w:r>
      <w:r w:rsidR="0074636C" w:rsidRPr="00111C3B">
        <w:rPr>
          <w:rFonts w:asciiTheme="majorHAnsi" w:hAnsiTheme="majorHAnsi" w:cstheme="majorHAnsi"/>
        </w:rPr>
        <w:t>,</w:t>
      </w:r>
      <w:r w:rsidR="00160813" w:rsidRPr="00111C3B">
        <w:rPr>
          <w:rFonts w:asciiTheme="majorHAnsi" w:hAnsiTheme="majorHAnsi" w:cstheme="majorHAnsi"/>
        </w:rPr>
        <w:t xml:space="preserve"> which act </w:t>
      </w:r>
      <w:r w:rsidR="00160813" w:rsidRPr="00111C3B">
        <w:rPr>
          <w:rFonts w:asciiTheme="majorHAnsi" w:hAnsiTheme="majorHAnsi" w:cstheme="majorHAnsi"/>
        </w:rPr>
        <w:lastRenderedPageBreak/>
        <w:t>as the legislative branch of both the CCP and the National Legislature all categories are ranked below ten per cent</w:t>
      </w:r>
      <w:r w:rsidR="009A5EF9" w:rsidRPr="00111C3B">
        <w:rPr>
          <w:rStyle w:val="FootnoteReference"/>
          <w:rFonts w:asciiTheme="majorHAnsi" w:hAnsiTheme="majorHAnsi" w:cstheme="majorHAnsi"/>
        </w:rPr>
        <w:footnoteReference w:id="18"/>
      </w:r>
      <w:r w:rsidR="00160813" w:rsidRPr="00111C3B">
        <w:rPr>
          <w:rFonts w:asciiTheme="majorHAnsi" w:hAnsiTheme="majorHAnsi" w:cstheme="majorHAnsi"/>
        </w:rPr>
        <w:t xml:space="preserve">.   </w:t>
      </w:r>
    </w:p>
    <w:p w14:paraId="195013D3" w14:textId="397CB889" w:rsidR="00C7640F" w:rsidRPr="00111C3B" w:rsidRDefault="00BA089E" w:rsidP="00480C87">
      <w:pPr>
        <w:rPr>
          <w:rFonts w:asciiTheme="majorHAnsi" w:hAnsiTheme="majorHAnsi" w:cstheme="majorHAnsi"/>
        </w:rPr>
      </w:pPr>
      <w:r w:rsidRPr="00111C3B">
        <w:rPr>
          <w:rFonts w:asciiTheme="majorHAnsi" w:hAnsiTheme="majorHAnsi" w:cstheme="majorHAnsi"/>
        </w:rPr>
        <w:t>The rest of the options take the form of protest options against the government</w:t>
      </w:r>
      <w:r w:rsidR="0074636C" w:rsidRPr="00111C3B">
        <w:rPr>
          <w:rFonts w:asciiTheme="majorHAnsi" w:hAnsiTheme="majorHAnsi" w:cstheme="majorHAnsi"/>
        </w:rPr>
        <w:t>,</w:t>
      </w:r>
      <w:r w:rsidRPr="00111C3B">
        <w:rPr>
          <w:rFonts w:asciiTheme="majorHAnsi" w:hAnsiTheme="majorHAnsi" w:cstheme="majorHAnsi"/>
        </w:rPr>
        <w:t xml:space="preserve"> </w:t>
      </w:r>
      <w:r w:rsidR="0074636C" w:rsidRPr="00111C3B">
        <w:rPr>
          <w:rFonts w:asciiTheme="majorHAnsi" w:hAnsiTheme="majorHAnsi" w:cstheme="majorHAnsi"/>
        </w:rPr>
        <w:t>s</w:t>
      </w:r>
      <w:r w:rsidRPr="00111C3B">
        <w:rPr>
          <w:rFonts w:asciiTheme="majorHAnsi" w:hAnsiTheme="majorHAnsi" w:cstheme="majorHAnsi"/>
        </w:rPr>
        <w:t>low down the means of production, resist the bosses, demonstrations and not paying taxes</w:t>
      </w:r>
      <w:r w:rsidR="009A5EF9" w:rsidRPr="00111C3B">
        <w:rPr>
          <w:rStyle w:val="FootnoteReference"/>
          <w:rFonts w:asciiTheme="majorHAnsi" w:hAnsiTheme="majorHAnsi" w:cstheme="majorHAnsi"/>
        </w:rPr>
        <w:footnoteReference w:id="19"/>
      </w:r>
      <w:r w:rsidRPr="00111C3B">
        <w:rPr>
          <w:rFonts w:asciiTheme="majorHAnsi" w:hAnsiTheme="majorHAnsi" w:cstheme="majorHAnsi"/>
        </w:rPr>
        <w:t xml:space="preserve">. </w:t>
      </w:r>
      <w:r w:rsidR="00C33B35" w:rsidRPr="00111C3B">
        <w:rPr>
          <w:rFonts w:asciiTheme="majorHAnsi" w:hAnsiTheme="majorHAnsi" w:cstheme="majorHAnsi"/>
        </w:rPr>
        <w:t>Again,</w:t>
      </w:r>
      <w:r w:rsidRPr="00111C3B">
        <w:rPr>
          <w:rFonts w:asciiTheme="majorHAnsi" w:hAnsiTheme="majorHAnsi" w:cstheme="majorHAnsi"/>
        </w:rPr>
        <w:t xml:space="preserve"> the rates are all below ten per cent. </w:t>
      </w:r>
      <w:r w:rsidR="00911AC3" w:rsidRPr="00111C3B">
        <w:rPr>
          <w:rFonts w:asciiTheme="majorHAnsi" w:hAnsiTheme="majorHAnsi" w:cstheme="majorHAnsi"/>
        </w:rPr>
        <w:t xml:space="preserve">In </w:t>
      </w:r>
      <w:r w:rsidR="00C33B35" w:rsidRPr="00111C3B">
        <w:rPr>
          <w:rFonts w:asciiTheme="majorHAnsi" w:hAnsiTheme="majorHAnsi" w:cstheme="majorHAnsi"/>
        </w:rPr>
        <w:t>fact,</w:t>
      </w:r>
      <w:r w:rsidR="00911AC3" w:rsidRPr="00111C3B">
        <w:rPr>
          <w:rFonts w:asciiTheme="majorHAnsi" w:hAnsiTheme="majorHAnsi" w:cstheme="majorHAnsi"/>
        </w:rPr>
        <w:t xml:space="preserve"> for outright </w:t>
      </w:r>
      <w:r w:rsidR="00C33B35" w:rsidRPr="00111C3B">
        <w:rPr>
          <w:rFonts w:asciiTheme="majorHAnsi" w:hAnsiTheme="majorHAnsi" w:cstheme="majorHAnsi"/>
        </w:rPr>
        <w:t>demonstrations, all organisation represented in the sample is below one per cent. Outright protest and defiance against the bosses are not a viable option</w:t>
      </w:r>
      <w:r w:rsidR="009A5EF9" w:rsidRPr="00111C3B">
        <w:rPr>
          <w:rStyle w:val="FootnoteReference"/>
          <w:rFonts w:asciiTheme="majorHAnsi" w:hAnsiTheme="majorHAnsi" w:cstheme="majorHAnsi"/>
        </w:rPr>
        <w:footnoteReference w:id="20"/>
      </w:r>
      <w:r w:rsidR="00C33B35" w:rsidRPr="00111C3B">
        <w:rPr>
          <w:rFonts w:asciiTheme="majorHAnsi" w:hAnsiTheme="majorHAnsi" w:cstheme="majorHAnsi"/>
        </w:rPr>
        <w:t>. A little surprising</w:t>
      </w:r>
      <w:r w:rsidR="0074636C" w:rsidRPr="00111C3B">
        <w:rPr>
          <w:rFonts w:asciiTheme="majorHAnsi" w:hAnsiTheme="majorHAnsi" w:cstheme="majorHAnsi"/>
        </w:rPr>
        <w:t>,</w:t>
      </w:r>
      <w:r w:rsidR="00C33B35" w:rsidRPr="00111C3B">
        <w:rPr>
          <w:rFonts w:asciiTheme="majorHAnsi" w:hAnsiTheme="majorHAnsi" w:cstheme="majorHAnsi"/>
        </w:rPr>
        <w:t xml:space="preserve"> ranking at an average of five per cent</w:t>
      </w:r>
      <w:r w:rsidR="0074636C" w:rsidRPr="00111C3B">
        <w:rPr>
          <w:rFonts w:asciiTheme="majorHAnsi" w:hAnsiTheme="majorHAnsi" w:cstheme="majorHAnsi"/>
        </w:rPr>
        <w:t>,</w:t>
      </w:r>
      <w:r w:rsidR="00C33B35" w:rsidRPr="00111C3B">
        <w:rPr>
          <w:rFonts w:asciiTheme="majorHAnsi" w:hAnsiTheme="majorHAnsi" w:cstheme="majorHAnsi"/>
        </w:rPr>
        <w:t xml:space="preserve"> </w:t>
      </w:r>
      <w:r w:rsidR="00645AA2" w:rsidRPr="00111C3B">
        <w:rPr>
          <w:rFonts w:asciiTheme="majorHAnsi" w:hAnsiTheme="majorHAnsi" w:cstheme="majorHAnsi"/>
        </w:rPr>
        <w:t xml:space="preserve">is the inviting of bosses to dinner, perhaps an indication of ingratiation of one </w:t>
      </w:r>
      <w:r w:rsidR="005555FE" w:rsidRPr="00111C3B">
        <w:rPr>
          <w:rFonts w:asciiTheme="majorHAnsi" w:hAnsiTheme="majorHAnsi" w:cstheme="majorHAnsi"/>
        </w:rPr>
        <w:t xml:space="preserve">organisation functionary to another with his </w:t>
      </w:r>
      <w:r w:rsidR="0074636C" w:rsidRPr="00111C3B">
        <w:rPr>
          <w:rFonts w:asciiTheme="majorHAnsi" w:hAnsiTheme="majorHAnsi" w:cstheme="majorHAnsi"/>
        </w:rPr>
        <w:t>boss</w:t>
      </w:r>
      <w:r w:rsidR="009A5EF9" w:rsidRPr="00111C3B">
        <w:rPr>
          <w:rStyle w:val="FootnoteReference"/>
          <w:rFonts w:asciiTheme="majorHAnsi" w:hAnsiTheme="majorHAnsi" w:cstheme="majorHAnsi"/>
        </w:rPr>
        <w:footnoteReference w:id="21"/>
      </w:r>
      <w:r w:rsidR="005555FE" w:rsidRPr="00111C3B">
        <w:rPr>
          <w:rFonts w:asciiTheme="majorHAnsi" w:hAnsiTheme="majorHAnsi" w:cstheme="majorHAnsi"/>
        </w:rPr>
        <w:t xml:space="preserve">. </w:t>
      </w:r>
      <w:r w:rsidR="006D037A" w:rsidRPr="00111C3B">
        <w:rPr>
          <w:rFonts w:asciiTheme="majorHAnsi" w:hAnsiTheme="majorHAnsi" w:cstheme="majorHAnsi"/>
        </w:rPr>
        <w:t xml:space="preserve">Within China, this is typically known as </w:t>
      </w:r>
      <w:r w:rsidR="0074636C" w:rsidRPr="00111C3B">
        <w:rPr>
          <w:rFonts w:asciiTheme="majorHAnsi" w:hAnsiTheme="majorHAnsi" w:cstheme="majorHAnsi"/>
          <w:i/>
        </w:rPr>
        <w:t>gu</w:t>
      </w:r>
      <w:r w:rsidR="006D037A" w:rsidRPr="00111C3B">
        <w:rPr>
          <w:rFonts w:asciiTheme="majorHAnsi" w:hAnsiTheme="majorHAnsi" w:cstheme="majorHAnsi"/>
          <w:i/>
        </w:rPr>
        <w:t>anxi,</w:t>
      </w:r>
      <w:r w:rsidR="006D037A" w:rsidRPr="00111C3B">
        <w:rPr>
          <w:rFonts w:asciiTheme="majorHAnsi" w:hAnsiTheme="majorHAnsi" w:cstheme="majorHAnsi"/>
        </w:rPr>
        <w:t xml:space="preserve"> the returning of favours</w:t>
      </w:r>
      <w:r w:rsidR="006259D7" w:rsidRPr="00111C3B">
        <w:rPr>
          <w:rStyle w:val="FootnoteReference"/>
          <w:rFonts w:asciiTheme="majorHAnsi" w:hAnsiTheme="majorHAnsi" w:cstheme="majorHAnsi"/>
        </w:rPr>
        <w:footnoteReference w:id="22"/>
      </w:r>
      <w:r w:rsidR="006D037A" w:rsidRPr="00111C3B">
        <w:rPr>
          <w:rFonts w:asciiTheme="majorHAnsi" w:hAnsiTheme="majorHAnsi" w:cstheme="majorHAnsi"/>
        </w:rPr>
        <w:t>.</w:t>
      </w:r>
    </w:p>
    <w:p w14:paraId="30154977" w14:textId="2DBB4C7F" w:rsidR="001F792B" w:rsidRPr="00111C3B" w:rsidRDefault="00BA089E" w:rsidP="00480C87">
      <w:pPr>
        <w:rPr>
          <w:rFonts w:asciiTheme="majorHAnsi" w:hAnsiTheme="majorHAnsi" w:cstheme="majorHAnsi"/>
        </w:rPr>
      </w:pPr>
      <w:r w:rsidRPr="00111C3B">
        <w:rPr>
          <w:rFonts w:asciiTheme="majorHAnsi" w:hAnsiTheme="majorHAnsi" w:cstheme="majorHAnsi"/>
        </w:rPr>
        <w:t>The statistics</w:t>
      </w:r>
      <w:r w:rsidR="0074636C" w:rsidRPr="00111C3B">
        <w:rPr>
          <w:rFonts w:asciiTheme="majorHAnsi" w:hAnsiTheme="majorHAnsi" w:cstheme="majorHAnsi"/>
        </w:rPr>
        <w:t>,</w:t>
      </w:r>
      <w:r w:rsidRPr="00111C3B">
        <w:rPr>
          <w:rFonts w:asciiTheme="majorHAnsi" w:hAnsiTheme="majorHAnsi" w:cstheme="majorHAnsi"/>
        </w:rPr>
        <w:t xml:space="preserve"> as presented by Gang</w:t>
      </w:r>
      <w:r w:rsidR="0074636C" w:rsidRPr="00111C3B">
        <w:rPr>
          <w:rFonts w:asciiTheme="majorHAnsi" w:hAnsiTheme="majorHAnsi" w:cstheme="majorHAnsi"/>
        </w:rPr>
        <w:t>,</w:t>
      </w:r>
      <w:r w:rsidRPr="00111C3B">
        <w:rPr>
          <w:rFonts w:asciiTheme="majorHAnsi" w:hAnsiTheme="majorHAnsi" w:cstheme="majorHAnsi"/>
        </w:rPr>
        <w:t xml:space="preserve"> demonstrate the hierarchical nature of the Chinese state</w:t>
      </w:r>
      <w:r w:rsidR="000B68F9" w:rsidRPr="00111C3B">
        <w:rPr>
          <w:rStyle w:val="FootnoteReference"/>
          <w:rFonts w:asciiTheme="majorHAnsi" w:hAnsiTheme="majorHAnsi" w:cstheme="majorHAnsi"/>
        </w:rPr>
        <w:footnoteReference w:id="23"/>
      </w:r>
      <w:r w:rsidRPr="00111C3B">
        <w:rPr>
          <w:rFonts w:asciiTheme="majorHAnsi" w:hAnsiTheme="majorHAnsi" w:cstheme="majorHAnsi"/>
        </w:rPr>
        <w:t>. The Communist Party exists at the centre of this state</w:t>
      </w:r>
      <w:r w:rsidR="00E81893" w:rsidRPr="00111C3B">
        <w:rPr>
          <w:rStyle w:val="FootnoteReference"/>
          <w:rFonts w:asciiTheme="majorHAnsi" w:hAnsiTheme="majorHAnsi" w:cstheme="majorHAnsi"/>
        </w:rPr>
        <w:footnoteReference w:id="24"/>
      </w:r>
      <w:r w:rsidRPr="00111C3B">
        <w:rPr>
          <w:rFonts w:asciiTheme="majorHAnsi" w:hAnsiTheme="majorHAnsi" w:cstheme="majorHAnsi"/>
        </w:rPr>
        <w:t>. Through a series of committees f</w:t>
      </w:r>
      <w:r w:rsidR="0074636C" w:rsidRPr="00111C3B">
        <w:rPr>
          <w:rFonts w:asciiTheme="majorHAnsi" w:hAnsiTheme="majorHAnsi" w:cstheme="majorHAnsi"/>
        </w:rPr>
        <w:t>ro</w:t>
      </w:r>
      <w:r w:rsidRPr="00111C3B">
        <w:rPr>
          <w:rFonts w:asciiTheme="majorHAnsi" w:hAnsiTheme="majorHAnsi" w:cstheme="majorHAnsi"/>
        </w:rPr>
        <w:t xml:space="preserve">m local to national level, the party </w:t>
      </w:r>
      <w:r w:rsidR="000B68F9" w:rsidRPr="00111C3B">
        <w:rPr>
          <w:rFonts w:asciiTheme="majorHAnsi" w:hAnsiTheme="majorHAnsi" w:cstheme="majorHAnsi"/>
        </w:rPr>
        <w:t>can</w:t>
      </w:r>
      <w:r w:rsidRPr="00111C3B">
        <w:rPr>
          <w:rFonts w:asciiTheme="majorHAnsi" w:hAnsiTheme="majorHAnsi" w:cstheme="majorHAnsi"/>
        </w:rPr>
        <w:t xml:space="preserve"> dictate policy among all tiers of political life</w:t>
      </w:r>
      <w:r w:rsidR="000B68F9" w:rsidRPr="00111C3B">
        <w:rPr>
          <w:rStyle w:val="FootnoteReference"/>
          <w:rFonts w:asciiTheme="majorHAnsi" w:hAnsiTheme="majorHAnsi" w:cstheme="majorHAnsi"/>
        </w:rPr>
        <w:footnoteReference w:id="25"/>
      </w:r>
      <w:r w:rsidRPr="00111C3B">
        <w:rPr>
          <w:rFonts w:asciiTheme="majorHAnsi" w:hAnsiTheme="majorHAnsi" w:cstheme="majorHAnsi"/>
        </w:rPr>
        <w:t xml:space="preserve">. Party </w:t>
      </w:r>
      <w:r w:rsidR="0074636C" w:rsidRPr="00111C3B">
        <w:rPr>
          <w:rFonts w:asciiTheme="majorHAnsi" w:hAnsiTheme="majorHAnsi" w:cstheme="majorHAnsi"/>
        </w:rPr>
        <w:t>Co</w:t>
      </w:r>
      <w:r w:rsidRPr="00111C3B">
        <w:rPr>
          <w:rFonts w:asciiTheme="majorHAnsi" w:hAnsiTheme="majorHAnsi" w:cstheme="majorHAnsi"/>
        </w:rPr>
        <w:t>mmittees are usually head</w:t>
      </w:r>
      <w:r w:rsidR="0074636C" w:rsidRPr="00111C3B">
        <w:rPr>
          <w:rFonts w:asciiTheme="majorHAnsi" w:hAnsiTheme="majorHAnsi" w:cstheme="majorHAnsi"/>
        </w:rPr>
        <w:t>ed</w:t>
      </w:r>
      <w:r w:rsidRPr="00111C3B">
        <w:rPr>
          <w:rFonts w:asciiTheme="majorHAnsi" w:hAnsiTheme="majorHAnsi" w:cstheme="majorHAnsi"/>
        </w:rPr>
        <w:t xml:space="preserve"> by one official</w:t>
      </w:r>
      <w:r w:rsidR="0074636C" w:rsidRPr="00111C3B">
        <w:rPr>
          <w:rFonts w:asciiTheme="majorHAnsi" w:hAnsiTheme="majorHAnsi" w:cstheme="majorHAnsi"/>
        </w:rPr>
        <w:t>,</w:t>
      </w:r>
      <w:r w:rsidRPr="00111C3B">
        <w:rPr>
          <w:rFonts w:asciiTheme="majorHAnsi" w:hAnsiTheme="majorHAnsi" w:cstheme="majorHAnsi"/>
        </w:rPr>
        <w:t xml:space="preserve"> who is </w:t>
      </w:r>
      <w:r w:rsidR="000B68F9" w:rsidRPr="00111C3B">
        <w:rPr>
          <w:rFonts w:asciiTheme="majorHAnsi" w:hAnsiTheme="majorHAnsi" w:cstheme="majorHAnsi"/>
        </w:rPr>
        <w:t>elected</w:t>
      </w:r>
      <w:r w:rsidRPr="00111C3B">
        <w:rPr>
          <w:rFonts w:asciiTheme="majorHAnsi" w:hAnsiTheme="majorHAnsi" w:cstheme="majorHAnsi"/>
        </w:rPr>
        <w:t xml:space="preserve"> by the committee </w:t>
      </w:r>
      <w:r w:rsidR="000B68F9" w:rsidRPr="00111C3B">
        <w:rPr>
          <w:rFonts w:asciiTheme="majorHAnsi" w:hAnsiTheme="majorHAnsi" w:cstheme="majorHAnsi"/>
        </w:rPr>
        <w:t>upon which he sits</w:t>
      </w:r>
      <w:r w:rsidRPr="00111C3B">
        <w:rPr>
          <w:rFonts w:asciiTheme="majorHAnsi" w:hAnsiTheme="majorHAnsi" w:cstheme="majorHAnsi"/>
        </w:rPr>
        <w:t>, to run the party at his level</w:t>
      </w:r>
      <w:r w:rsidR="000B68F9" w:rsidRPr="00111C3B">
        <w:rPr>
          <w:rFonts w:asciiTheme="majorHAnsi" w:hAnsiTheme="majorHAnsi" w:cstheme="majorHAnsi"/>
        </w:rPr>
        <w:t xml:space="preserve"> or for a specific function</w:t>
      </w:r>
      <w:r w:rsidRPr="00111C3B">
        <w:rPr>
          <w:rFonts w:asciiTheme="majorHAnsi" w:hAnsiTheme="majorHAnsi" w:cstheme="majorHAnsi"/>
        </w:rPr>
        <w:t>. Anything agree</w:t>
      </w:r>
      <w:r w:rsidR="000B68F9" w:rsidRPr="00111C3B">
        <w:rPr>
          <w:rFonts w:asciiTheme="majorHAnsi" w:hAnsiTheme="majorHAnsi" w:cstheme="majorHAnsi"/>
        </w:rPr>
        <w:t>d</w:t>
      </w:r>
      <w:r w:rsidRPr="00111C3B">
        <w:rPr>
          <w:rFonts w:asciiTheme="majorHAnsi" w:hAnsiTheme="majorHAnsi" w:cstheme="majorHAnsi"/>
        </w:rPr>
        <w:t xml:space="preserve"> within the party is then handed over to the </w:t>
      </w:r>
      <w:r w:rsidR="0074636C" w:rsidRPr="00111C3B">
        <w:rPr>
          <w:rFonts w:asciiTheme="majorHAnsi" w:hAnsiTheme="majorHAnsi" w:cstheme="majorHAnsi"/>
        </w:rPr>
        <w:t>P</w:t>
      </w:r>
      <w:r w:rsidRPr="00111C3B">
        <w:rPr>
          <w:rFonts w:asciiTheme="majorHAnsi" w:hAnsiTheme="majorHAnsi" w:cstheme="majorHAnsi"/>
        </w:rPr>
        <w:t xml:space="preserve">eople’s </w:t>
      </w:r>
      <w:r w:rsidR="0074636C" w:rsidRPr="00111C3B">
        <w:rPr>
          <w:rFonts w:asciiTheme="majorHAnsi" w:hAnsiTheme="majorHAnsi" w:cstheme="majorHAnsi"/>
        </w:rPr>
        <w:t>C</w:t>
      </w:r>
      <w:r w:rsidRPr="00111C3B">
        <w:rPr>
          <w:rFonts w:asciiTheme="majorHAnsi" w:hAnsiTheme="majorHAnsi" w:cstheme="majorHAnsi"/>
        </w:rPr>
        <w:t xml:space="preserve">ongress of the equivalent level which acts as the legislature, a unicameral chamber separate </w:t>
      </w:r>
      <w:r w:rsidR="0074636C" w:rsidRPr="00111C3B">
        <w:rPr>
          <w:rFonts w:asciiTheme="majorHAnsi" w:hAnsiTheme="majorHAnsi" w:cstheme="majorHAnsi"/>
        </w:rPr>
        <w:t xml:space="preserve">from </w:t>
      </w:r>
      <w:r w:rsidRPr="00111C3B">
        <w:rPr>
          <w:rFonts w:asciiTheme="majorHAnsi" w:hAnsiTheme="majorHAnsi" w:cstheme="majorHAnsi"/>
        </w:rPr>
        <w:t>the party</w:t>
      </w:r>
      <w:r w:rsidR="000B68F9" w:rsidRPr="00111C3B">
        <w:rPr>
          <w:rStyle w:val="FootnoteReference"/>
          <w:rFonts w:asciiTheme="majorHAnsi" w:hAnsiTheme="majorHAnsi" w:cstheme="majorHAnsi"/>
        </w:rPr>
        <w:footnoteReference w:id="26"/>
      </w:r>
      <w:r w:rsidRPr="00111C3B">
        <w:rPr>
          <w:rFonts w:asciiTheme="majorHAnsi" w:hAnsiTheme="majorHAnsi" w:cstheme="majorHAnsi"/>
        </w:rPr>
        <w:t>. Like the Party, there is a People</w:t>
      </w:r>
      <w:r w:rsidR="0074636C" w:rsidRPr="00111C3B">
        <w:rPr>
          <w:rFonts w:asciiTheme="majorHAnsi" w:hAnsiTheme="majorHAnsi" w:cstheme="majorHAnsi"/>
        </w:rPr>
        <w:t>’</w:t>
      </w:r>
      <w:r w:rsidRPr="00111C3B">
        <w:rPr>
          <w:rFonts w:asciiTheme="majorHAnsi" w:hAnsiTheme="majorHAnsi" w:cstheme="majorHAnsi"/>
        </w:rPr>
        <w:t>s Congress at each level from local to national level</w:t>
      </w:r>
      <w:r w:rsidR="000B68F9" w:rsidRPr="00111C3B">
        <w:rPr>
          <w:rFonts w:asciiTheme="majorHAnsi" w:hAnsiTheme="majorHAnsi" w:cstheme="majorHAnsi"/>
        </w:rPr>
        <w:t>;</w:t>
      </w:r>
      <w:r w:rsidRPr="00111C3B">
        <w:rPr>
          <w:rFonts w:asciiTheme="majorHAnsi" w:hAnsiTheme="majorHAnsi" w:cstheme="majorHAnsi"/>
        </w:rPr>
        <w:t xml:space="preserve"> </w:t>
      </w:r>
      <w:r w:rsidR="000B68F9" w:rsidRPr="00111C3B">
        <w:rPr>
          <w:rFonts w:asciiTheme="majorHAnsi" w:hAnsiTheme="majorHAnsi" w:cstheme="majorHAnsi"/>
        </w:rPr>
        <w:t>t</w:t>
      </w:r>
      <w:r w:rsidRPr="00111C3B">
        <w:rPr>
          <w:rFonts w:asciiTheme="majorHAnsi" w:hAnsiTheme="majorHAnsi" w:cstheme="majorHAnsi"/>
        </w:rPr>
        <w:t xml:space="preserve">he </w:t>
      </w:r>
      <w:r w:rsidR="0074636C" w:rsidRPr="00111C3B">
        <w:rPr>
          <w:rFonts w:asciiTheme="majorHAnsi" w:hAnsiTheme="majorHAnsi" w:cstheme="majorHAnsi"/>
        </w:rPr>
        <w:t>constitution</w:t>
      </w:r>
      <w:r w:rsidRPr="00111C3B">
        <w:rPr>
          <w:rFonts w:asciiTheme="majorHAnsi" w:hAnsiTheme="majorHAnsi" w:cstheme="majorHAnsi"/>
        </w:rPr>
        <w:t xml:space="preserve"> of the CCP and the Constitution of the People</w:t>
      </w:r>
      <w:r w:rsidR="0074636C" w:rsidRPr="00111C3B">
        <w:rPr>
          <w:rFonts w:asciiTheme="majorHAnsi" w:hAnsiTheme="majorHAnsi" w:cstheme="majorHAnsi"/>
        </w:rPr>
        <w:t>’</w:t>
      </w:r>
      <w:r w:rsidRPr="00111C3B">
        <w:rPr>
          <w:rFonts w:asciiTheme="majorHAnsi" w:hAnsiTheme="majorHAnsi" w:cstheme="majorHAnsi"/>
        </w:rPr>
        <w:t>s Republic of China</w:t>
      </w:r>
      <w:r w:rsidR="00D91A49" w:rsidRPr="00111C3B">
        <w:rPr>
          <w:rFonts w:asciiTheme="majorHAnsi" w:hAnsiTheme="majorHAnsi" w:cstheme="majorHAnsi"/>
        </w:rPr>
        <w:t xml:space="preserve"> dictate that if neither unit can come to a decision, then they are to refer it to the next level</w:t>
      </w:r>
      <w:r w:rsidR="000B68F9" w:rsidRPr="00111C3B">
        <w:rPr>
          <w:rStyle w:val="FootnoteReference"/>
          <w:rFonts w:asciiTheme="majorHAnsi" w:hAnsiTheme="majorHAnsi" w:cstheme="majorHAnsi"/>
        </w:rPr>
        <w:footnoteReference w:id="27"/>
      </w:r>
      <w:r w:rsidR="00D91A49" w:rsidRPr="00111C3B">
        <w:rPr>
          <w:rFonts w:asciiTheme="majorHAnsi" w:hAnsiTheme="majorHAnsi" w:cstheme="majorHAnsi"/>
        </w:rPr>
        <w:t>.  Zheng</w:t>
      </w:r>
      <w:r w:rsidR="0074636C" w:rsidRPr="00111C3B">
        <w:rPr>
          <w:rFonts w:asciiTheme="majorHAnsi" w:hAnsiTheme="majorHAnsi" w:cstheme="majorHAnsi"/>
        </w:rPr>
        <w:t>,</w:t>
      </w:r>
      <w:r w:rsidR="00D91A49" w:rsidRPr="00111C3B">
        <w:rPr>
          <w:rFonts w:asciiTheme="majorHAnsi" w:hAnsiTheme="majorHAnsi" w:cstheme="majorHAnsi"/>
        </w:rPr>
        <w:t xml:space="preserve"> writing in 2003 states that in modern times officials are expected to live up to the principle and fulfil their duty as specified in the constitution</w:t>
      </w:r>
      <w:r w:rsidR="006361EE" w:rsidRPr="00111C3B">
        <w:rPr>
          <w:rStyle w:val="FootnoteReference"/>
          <w:rFonts w:asciiTheme="majorHAnsi" w:hAnsiTheme="majorHAnsi" w:cstheme="majorHAnsi"/>
        </w:rPr>
        <w:footnoteReference w:id="28"/>
      </w:r>
      <w:r w:rsidR="00D91A49" w:rsidRPr="00111C3B">
        <w:rPr>
          <w:rFonts w:asciiTheme="majorHAnsi" w:hAnsiTheme="majorHAnsi" w:cstheme="majorHAnsi"/>
        </w:rPr>
        <w:t>. He observes that it is the Chairman of these local committees who hold power and may use it at their discretion</w:t>
      </w:r>
      <w:r w:rsidR="006361EE" w:rsidRPr="00111C3B">
        <w:rPr>
          <w:rStyle w:val="FootnoteReference"/>
          <w:rFonts w:asciiTheme="majorHAnsi" w:hAnsiTheme="majorHAnsi" w:cstheme="majorHAnsi"/>
        </w:rPr>
        <w:footnoteReference w:id="29"/>
      </w:r>
      <w:r w:rsidR="00D91A49" w:rsidRPr="00111C3B">
        <w:rPr>
          <w:rFonts w:asciiTheme="majorHAnsi" w:hAnsiTheme="majorHAnsi" w:cstheme="majorHAnsi"/>
        </w:rPr>
        <w:t xml:space="preserve">.  </w:t>
      </w:r>
    </w:p>
    <w:p w14:paraId="3BB01C78" w14:textId="0D8BDF0D" w:rsidR="00D91A49" w:rsidRPr="00111C3B" w:rsidRDefault="00BA089E" w:rsidP="00480C87">
      <w:pPr>
        <w:rPr>
          <w:rFonts w:asciiTheme="majorHAnsi" w:hAnsiTheme="majorHAnsi" w:cstheme="majorHAnsi"/>
        </w:rPr>
      </w:pPr>
      <w:r w:rsidRPr="00111C3B">
        <w:rPr>
          <w:rFonts w:asciiTheme="majorHAnsi" w:hAnsiTheme="majorHAnsi" w:cstheme="majorHAnsi"/>
        </w:rPr>
        <w:t xml:space="preserve">As indicated in the statistics presented by Gang, </w:t>
      </w:r>
      <w:r w:rsidR="00043B1C" w:rsidRPr="00111C3B">
        <w:rPr>
          <w:rFonts w:asciiTheme="majorHAnsi" w:hAnsiTheme="majorHAnsi" w:cstheme="majorHAnsi"/>
        </w:rPr>
        <w:t>most of</w:t>
      </w:r>
      <w:r w:rsidRPr="00111C3B">
        <w:rPr>
          <w:rFonts w:asciiTheme="majorHAnsi" w:hAnsiTheme="majorHAnsi" w:cstheme="majorHAnsi"/>
        </w:rPr>
        <w:t xml:space="preserve"> the sample who participated went directly to voice their opinions to their organisational leader</w:t>
      </w:r>
      <w:r w:rsidR="006361EE" w:rsidRPr="00111C3B">
        <w:rPr>
          <w:rStyle w:val="FootnoteReference"/>
          <w:rFonts w:asciiTheme="majorHAnsi" w:hAnsiTheme="majorHAnsi" w:cstheme="majorHAnsi"/>
        </w:rPr>
        <w:footnoteReference w:id="30"/>
      </w:r>
      <w:r w:rsidRPr="00111C3B">
        <w:rPr>
          <w:rFonts w:asciiTheme="majorHAnsi" w:hAnsiTheme="majorHAnsi" w:cstheme="majorHAnsi"/>
        </w:rPr>
        <w:t>. Second came asking someone who could persuade a leader and then third, though the hierarchy</w:t>
      </w:r>
      <w:r w:rsidR="006361EE" w:rsidRPr="00111C3B">
        <w:rPr>
          <w:rStyle w:val="FootnoteReference"/>
          <w:rFonts w:asciiTheme="majorHAnsi" w:hAnsiTheme="majorHAnsi" w:cstheme="majorHAnsi"/>
        </w:rPr>
        <w:footnoteReference w:id="31"/>
      </w:r>
      <w:r w:rsidRPr="00111C3B">
        <w:rPr>
          <w:rFonts w:asciiTheme="majorHAnsi" w:hAnsiTheme="majorHAnsi" w:cstheme="majorHAnsi"/>
        </w:rPr>
        <w:t xml:space="preserve">. </w:t>
      </w:r>
      <w:r w:rsidR="00043B1C" w:rsidRPr="00111C3B">
        <w:rPr>
          <w:rFonts w:asciiTheme="majorHAnsi" w:hAnsiTheme="majorHAnsi" w:cstheme="majorHAnsi"/>
        </w:rPr>
        <w:t>Within the various committees</w:t>
      </w:r>
      <w:r w:rsidR="0074636C" w:rsidRPr="00111C3B">
        <w:rPr>
          <w:rFonts w:asciiTheme="majorHAnsi" w:hAnsiTheme="majorHAnsi" w:cstheme="majorHAnsi"/>
        </w:rPr>
        <w:t>,</w:t>
      </w:r>
      <w:r w:rsidR="00043B1C" w:rsidRPr="00111C3B">
        <w:rPr>
          <w:rFonts w:asciiTheme="majorHAnsi" w:hAnsiTheme="majorHAnsi" w:cstheme="majorHAnsi"/>
        </w:rPr>
        <w:t xml:space="preserve"> as stated before</w:t>
      </w:r>
      <w:r w:rsidR="0074636C" w:rsidRPr="00111C3B">
        <w:rPr>
          <w:rFonts w:asciiTheme="majorHAnsi" w:hAnsiTheme="majorHAnsi" w:cstheme="majorHAnsi"/>
        </w:rPr>
        <w:t>,</w:t>
      </w:r>
      <w:r w:rsidR="00043B1C" w:rsidRPr="00111C3B">
        <w:rPr>
          <w:rFonts w:asciiTheme="majorHAnsi" w:hAnsiTheme="majorHAnsi" w:cstheme="majorHAnsi"/>
        </w:rPr>
        <w:t xml:space="preserve"> it is the chairman of each committee who has the final say in most things</w:t>
      </w:r>
      <w:r w:rsidR="00DD25CD" w:rsidRPr="00111C3B">
        <w:rPr>
          <w:rStyle w:val="FootnoteReference"/>
          <w:rFonts w:asciiTheme="majorHAnsi" w:hAnsiTheme="majorHAnsi" w:cstheme="majorHAnsi"/>
        </w:rPr>
        <w:footnoteReference w:id="32"/>
      </w:r>
      <w:r w:rsidR="00043B1C" w:rsidRPr="00111C3B">
        <w:rPr>
          <w:rFonts w:asciiTheme="majorHAnsi" w:hAnsiTheme="majorHAnsi" w:cstheme="majorHAnsi"/>
        </w:rPr>
        <w:t>. Mertha in 2008 notes that</w:t>
      </w:r>
      <w:r w:rsidR="0074636C" w:rsidRPr="00111C3B">
        <w:rPr>
          <w:rFonts w:asciiTheme="majorHAnsi" w:hAnsiTheme="majorHAnsi" w:cstheme="majorHAnsi"/>
        </w:rPr>
        <w:t>,</w:t>
      </w:r>
      <w:r w:rsidR="00043B1C" w:rsidRPr="00111C3B">
        <w:rPr>
          <w:rFonts w:asciiTheme="majorHAnsi" w:hAnsiTheme="majorHAnsi" w:cstheme="majorHAnsi"/>
        </w:rPr>
        <w:t xml:space="preserve"> despite a robust unitary government, certain areas of state power have been </w:t>
      </w:r>
      <w:r w:rsidR="0074636C" w:rsidRPr="00111C3B">
        <w:rPr>
          <w:rFonts w:asciiTheme="majorHAnsi" w:hAnsiTheme="majorHAnsi" w:cstheme="majorHAnsi"/>
        </w:rPr>
        <w:t>diffused</w:t>
      </w:r>
      <w:r w:rsidR="00043B1C" w:rsidRPr="00111C3B">
        <w:rPr>
          <w:rFonts w:asciiTheme="majorHAnsi" w:hAnsiTheme="majorHAnsi" w:cstheme="majorHAnsi"/>
        </w:rPr>
        <w:t xml:space="preserve"> to lower level organisation</w:t>
      </w:r>
      <w:r w:rsidR="00DD25CD" w:rsidRPr="00111C3B">
        <w:rPr>
          <w:rStyle w:val="FootnoteReference"/>
          <w:rFonts w:asciiTheme="majorHAnsi" w:hAnsiTheme="majorHAnsi" w:cstheme="majorHAnsi"/>
        </w:rPr>
        <w:footnoteReference w:id="33"/>
      </w:r>
      <w:r w:rsidR="00043B1C" w:rsidRPr="00111C3B">
        <w:rPr>
          <w:rFonts w:asciiTheme="majorHAnsi" w:hAnsiTheme="majorHAnsi" w:cstheme="majorHAnsi"/>
        </w:rPr>
        <w:t xml:space="preserve">. In an article by Sebastien Heilman regarding local development projects, </w:t>
      </w:r>
      <w:r w:rsidR="00043B1C" w:rsidRPr="00111C3B">
        <w:rPr>
          <w:rFonts w:asciiTheme="majorHAnsi" w:hAnsiTheme="majorHAnsi" w:cstheme="majorHAnsi"/>
        </w:rPr>
        <w:lastRenderedPageBreak/>
        <w:t>the local authorities within the localities</w:t>
      </w:r>
      <w:r w:rsidR="0074636C" w:rsidRPr="00111C3B">
        <w:rPr>
          <w:rFonts w:asciiTheme="majorHAnsi" w:hAnsiTheme="majorHAnsi" w:cstheme="majorHAnsi"/>
        </w:rPr>
        <w:t>,</w:t>
      </w:r>
      <w:r w:rsidR="00043B1C" w:rsidRPr="00111C3B">
        <w:rPr>
          <w:rFonts w:asciiTheme="majorHAnsi" w:hAnsiTheme="majorHAnsi" w:cstheme="majorHAnsi"/>
        </w:rPr>
        <w:t xml:space="preserve"> and the party at various times</w:t>
      </w:r>
      <w:r w:rsidR="0074636C" w:rsidRPr="00111C3B">
        <w:rPr>
          <w:rFonts w:asciiTheme="majorHAnsi" w:hAnsiTheme="majorHAnsi" w:cstheme="majorHAnsi"/>
        </w:rPr>
        <w:t>,</w:t>
      </w:r>
      <w:r w:rsidR="00043B1C" w:rsidRPr="00111C3B">
        <w:rPr>
          <w:rFonts w:asciiTheme="majorHAnsi" w:hAnsiTheme="majorHAnsi" w:cstheme="majorHAnsi"/>
        </w:rPr>
        <w:t xml:space="preserve"> have been encouraged to act on their conscience to develop their lands</w:t>
      </w:r>
      <w:r w:rsidR="00DD25CD" w:rsidRPr="00111C3B">
        <w:rPr>
          <w:rStyle w:val="FootnoteReference"/>
          <w:rFonts w:asciiTheme="majorHAnsi" w:hAnsiTheme="majorHAnsi" w:cstheme="majorHAnsi"/>
        </w:rPr>
        <w:footnoteReference w:id="34"/>
      </w:r>
      <w:r w:rsidR="00043B1C" w:rsidRPr="00111C3B">
        <w:rPr>
          <w:rFonts w:asciiTheme="majorHAnsi" w:hAnsiTheme="majorHAnsi" w:cstheme="majorHAnsi"/>
        </w:rPr>
        <w:t>. Arguably this can be extended to matters and concerns presented by the party rank and file. With regards to dealing with cases that demonstrate autonomy within organisations, it is the leadership, that hold power, usually ending with the ordinary members following their chosen leader</w:t>
      </w:r>
      <w:r w:rsidR="00F04D7F" w:rsidRPr="00111C3B">
        <w:rPr>
          <w:rStyle w:val="FootnoteReference"/>
          <w:rFonts w:asciiTheme="majorHAnsi" w:hAnsiTheme="majorHAnsi" w:cstheme="majorHAnsi"/>
        </w:rPr>
        <w:footnoteReference w:id="35"/>
      </w:r>
      <w:r w:rsidR="00043B1C" w:rsidRPr="00111C3B">
        <w:rPr>
          <w:rFonts w:asciiTheme="majorHAnsi" w:hAnsiTheme="majorHAnsi" w:cstheme="majorHAnsi"/>
        </w:rPr>
        <w:t>. As such</w:t>
      </w:r>
      <w:r w:rsidR="0074636C" w:rsidRPr="00111C3B">
        <w:rPr>
          <w:rFonts w:asciiTheme="majorHAnsi" w:hAnsiTheme="majorHAnsi" w:cstheme="majorHAnsi"/>
        </w:rPr>
        <w:t>,</w:t>
      </w:r>
      <w:r w:rsidR="00043B1C" w:rsidRPr="00111C3B">
        <w:rPr>
          <w:rFonts w:asciiTheme="majorHAnsi" w:hAnsiTheme="majorHAnsi" w:cstheme="majorHAnsi"/>
        </w:rPr>
        <w:t xml:space="preserve"> the need to solicit external persuasion may be needed in certain circumstances. As Heilman eloquently states, bosses will not generally budge without some incentive</w:t>
      </w:r>
      <w:r w:rsidR="00F04D7F" w:rsidRPr="00111C3B">
        <w:rPr>
          <w:rStyle w:val="FootnoteReference"/>
          <w:rFonts w:asciiTheme="majorHAnsi" w:hAnsiTheme="majorHAnsi" w:cstheme="majorHAnsi"/>
        </w:rPr>
        <w:footnoteReference w:id="36"/>
      </w:r>
      <w:r w:rsidR="00043B1C" w:rsidRPr="00111C3B">
        <w:rPr>
          <w:rFonts w:asciiTheme="majorHAnsi" w:hAnsiTheme="majorHAnsi" w:cstheme="majorHAnsi"/>
        </w:rPr>
        <w:t>.</w:t>
      </w:r>
    </w:p>
    <w:p w14:paraId="6E40F0F2" w14:textId="504613C3" w:rsidR="00043B1C" w:rsidRPr="00111C3B" w:rsidRDefault="00BA089E" w:rsidP="00480C87">
      <w:pPr>
        <w:rPr>
          <w:rFonts w:asciiTheme="majorHAnsi" w:hAnsiTheme="majorHAnsi" w:cstheme="majorHAnsi"/>
        </w:rPr>
      </w:pPr>
      <w:r w:rsidRPr="00111C3B">
        <w:rPr>
          <w:rFonts w:asciiTheme="majorHAnsi" w:hAnsiTheme="majorHAnsi" w:cstheme="majorHAnsi"/>
        </w:rPr>
        <w:t xml:space="preserve">The above however mainly concerns the Communist Party. In the case of the Youth league, </w:t>
      </w:r>
      <w:r w:rsidR="00896D0A" w:rsidRPr="00111C3B">
        <w:rPr>
          <w:rFonts w:asciiTheme="majorHAnsi" w:hAnsiTheme="majorHAnsi" w:cstheme="majorHAnsi"/>
        </w:rPr>
        <w:t>on the other hand, is more problematic. The primary function of the Youth League is to educate the young on Marxist</w:t>
      </w:r>
      <w:r w:rsidR="00AD41A3" w:rsidRPr="00111C3B">
        <w:rPr>
          <w:rFonts w:asciiTheme="majorHAnsi" w:hAnsiTheme="majorHAnsi" w:cstheme="majorHAnsi"/>
        </w:rPr>
        <w:t>-L</w:t>
      </w:r>
      <w:r w:rsidR="00896D0A" w:rsidRPr="00111C3B">
        <w:rPr>
          <w:rFonts w:asciiTheme="majorHAnsi" w:hAnsiTheme="majorHAnsi" w:cstheme="majorHAnsi"/>
        </w:rPr>
        <w:t>eninist principles and promote the ideals and image of the Communist Party</w:t>
      </w:r>
      <w:r w:rsidR="00223DAE" w:rsidRPr="00111C3B">
        <w:rPr>
          <w:rStyle w:val="FootnoteReference"/>
          <w:rFonts w:asciiTheme="majorHAnsi" w:hAnsiTheme="majorHAnsi" w:cstheme="majorHAnsi"/>
        </w:rPr>
        <w:footnoteReference w:id="37"/>
      </w:r>
      <w:r w:rsidR="00896D0A" w:rsidRPr="00111C3B">
        <w:rPr>
          <w:rFonts w:asciiTheme="majorHAnsi" w:hAnsiTheme="majorHAnsi" w:cstheme="majorHAnsi"/>
        </w:rPr>
        <w:t xml:space="preserve">. </w:t>
      </w:r>
      <w:r w:rsidR="00A9203A" w:rsidRPr="00111C3B">
        <w:rPr>
          <w:rFonts w:asciiTheme="majorHAnsi" w:hAnsiTheme="majorHAnsi" w:cstheme="majorHAnsi"/>
        </w:rPr>
        <w:t xml:space="preserve">Alan and </w:t>
      </w:r>
      <w:r w:rsidR="00896D0A" w:rsidRPr="00111C3B">
        <w:rPr>
          <w:rFonts w:asciiTheme="majorHAnsi" w:hAnsiTheme="majorHAnsi" w:cstheme="majorHAnsi"/>
        </w:rPr>
        <w:t>Liu in 1984</w:t>
      </w:r>
      <w:r w:rsidR="00AD41A3" w:rsidRPr="00111C3B">
        <w:rPr>
          <w:rFonts w:asciiTheme="majorHAnsi" w:hAnsiTheme="majorHAnsi" w:cstheme="majorHAnsi"/>
        </w:rPr>
        <w:t>,</w:t>
      </w:r>
      <w:r w:rsidR="00896D0A" w:rsidRPr="00111C3B">
        <w:rPr>
          <w:rFonts w:asciiTheme="majorHAnsi" w:hAnsiTheme="majorHAnsi" w:cstheme="majorHAnsi"/>
        </w:rPr>
        <w:t xml:space="preserve"> when discussing the political disposition of Chinese youth of the 1980s, </w:t>
      </w:r>
      <w:r w:rsidR="00AD41A3" w:rsidRPr="00111C3B">
        <w:rPr>
          <w:rFonts w:asciiTheme="majorHAnsi" w:hAnsiTheme="majorHAnsi" w:cstheme="majorHAnsi"/>
        </w:rPr>
        <w:t>o</w:t>
      </w:r>
      <w:r w:rsidR="00896D0A" w:rsidRPr="00111C3B">
        <w:rPr>
          <w:rFonts w:asciiTheme="majorHAnsi" w:hAnsiTheme="majorHAnsi" w:cstheme="majorHAnsi"/>
        </w:rPr>
        <w:t>bserv</w:t>
      </w:r>
      <w:r w:rsidR="00A9203A" w:rsidRPr="00111C3B">
        <w:rPr>
          <w:rFonts w:asciiTheme="majorHAnsi" w:hAnsiTheme="majorHAnsi" w:cstheme="majorHAnsi"/>
        </w:rPr>
        <w:t>e</w:t>
      </w:r>
      <w:r w:rsidR="00896D0A" w:rsidRPr="00111C3B">
        <w:rPr>
          <w:rFonts w:asciiTheme="majorHAnsi" w:hAnsiTheme="majorHAnsi" w:cstheme="majorHAnsi"/>
        </w:rPr>
        <w:t xml:space="preserve"> that many were apathetic to communist ideals and optimism</w:t>
      </w:r>
      <w:r w:rsidR="00A9203A" w:rsidRPr="00111C3B">
        <w:rPr>
          <w:rStyle w:val="FootnoteReference"/>
          <w:rFonts w:asciiTheme="majorHAnsi" w:hAnsiTheme="majorHAnsi" w:cstheme="majorHAnsi"/>
        </w:rPr>
        <w:footnoteReference w:id="38"/>
      </w:r>
      <w:r w:rsidR="00A9203A" w:rsidRPr="00111C3B">
        <w:rPr>
          <w:rFonts w:asciiTheme="majorHAnsi" w:hAnsiTheme="majorHAnsi" w:cstheme="majorHAnsi"/>
        </w:rPr>
        <w:t>.</w:t>
      </w:r>
      <w:r w:rsidR="00896D0A" w:rsidRPr="00111C3B">
        <w:rPr>
          <w:rFonts w:asciiTheme="majorHAnsi" w:hAnsiTheme="majorHAnsi" w:cstheme="majorHAnsi"/>
        </w:rPr>
        <w:t xml:space="preserve"> Instead, it was the most die-hard or dedicated youth who joined the party, so it is difficult to gauge the accuracy of interest in participation</w:t>
      </w:r>
      <w:r w:rsidR="00A9203A" w:rsidRPr="00111C3B">
        <w:rPr>
          <w:rStyle w:val="FootnoteReference"/>
          <w:rFonts w:asciiTheme="majorHAnsi" w:hAnsiTheme="majorHAnsi" w:cstheme="majorHAnsi"/>
        </w:rPr>
        <w:footnoteReference w:id="39"/>
      </w:r>
      <w:r w:rsidR="00896D0A" w:rsidRPr="00111C3B">
        <w:rPr>
          <w:rFonts w:asciiTheme="majorHAnsi" w:hAnsiTheme="majorHAnsi" w:cstheme="majorHAnsi"/>
        </w:rPr>
        <w:t>. However</w:t>
      </w:r>
      <w:r w:rsidR="00144F04" w:rsidRPr="00111C3B">
        <w:rPr>
          <w:rFonts w:asciiTheme="majorHAnsi" w:hAnsiTheme="majorHAnsi" w:cstheme="majorHAnsi"/>
        </w:rPr>
        <w:t>,</w:t>
      </w:r>
      <w:r w:rsidR="00896D0A" w:rsidRPr="00111C3B">
        <w:rPr>
          <w:rFonts w:asciiTheme="majorHAnsi" w:hAnsiTheme="majorHAnsi" w:cstheme="majorHAnsi"/>
        </w:rPr>
        <w:t xml:space="preserve"> the Youth League</w:t>
      </w:r>
      <w:r w:rsidR="00AD41A3" w:rsidRPr="00111C3B">
        <w:rPr>
          <w:rFonts w:asciiTheme="majorHAnsi" w:hAnsiTheme="majorHAnsi" w:cstheme="majorHAnsi"/>
        </w:rPr>
        <w:t>,</w:t>
      </w:r>
      <w:r w:rsidR="00896D0A" w:rsidRPr="00111C3B">
        <w:rPr>
          <w:rFonts w:asciiTheme="majorHAnsi" w:hAnsiTheme="majorHAnsi" w:cstheme="majorHAnsi"/>
        </w:rPr>
        <w:t xml:space="preserve"> in terms of structure</w:t>
      </w:r>
      <w:r w:rsidR="00AD41A3" w:rsidRPr="00111C3B">
        <w:rPr>
          <w:rFonts w:asciiTheme="majorHAnsi" w:hAnsiTheme="majorHAnsi" w:cstheme="majorHAnsi"/>
        </w:rPr>
        <w:t>,</w:t>
      </w:r>
      <w:r w:rsidR="00896D0A" w:rsidRPr="00111C3B">
        <w:rPr>
          <w:rFonts w:asciiTheme="majorHAnsi" w:hAnsiTheme="majorHAnsi" w:cstheme="majorHAnsi"/>
        </w:rPr>
        <w:t xml:space="preserve"> mirrors that of the party</w:t>
      </w:r>
      <w:r w:rsidR="00AD41A3" w:rsidRPr="00111C3B">
        <w:rPr>
          <w:rFonts w:asciiTheme="majorHAnsi" w:hAnsiTheme="majorHAnsi" w:cstheme="majorHAnsi"/>
        </w:rPr>
        <w:t xml:space="preserve"> and</w:t>
      </w:r>
      <w:r w:rsidR="00896D0A" w:rsidRPr="00111C3B">
        <w:rPr>
          <w:rFonts w:asciiTheme="majorHAnsi" w:hAnsiTheme="majorHAnsi" w:cstheme="majorHAnsi"/>
        </w:rPr>
        <w:t xml:space="preserve"> so in certain respects as the results show, members act just like their adult counterparts in the main party</w:t>
      </w:r>
      <w:r w:rsidR="00C87070" w:rsidRPr="00111C3B">
        <w:rPr>
          <w:rStyle w:val="FootnoteReference"/>
          <w:rFonts w:asciiTheme="majorHAnsi" w:hAnsiTheme="majorHAnsi" w:cstheme="majorHAnsi"/>
        </w:rPr>
        <w:footnoteReference w:id="40"/>
      </w:r>
      <w:r w:rsidR="00896D0A" w:rsidRPr="00111C3B">
        <w:rPr>
          <w:rFonts w:asciiTheme="majorHAnsi" w:hAnsiTheme="majorHAnsi" w:cstheme="majorHAnsi"/>
        </w:rPr>
        <w:t>.</w:t>
      </w:r>
      <w:r w:rsidR="003159D7" w:rsidRPr="00111C3B">
        <w:rPr>
          <w:rFonts w:asciiTheme="majorHAnsi" w:hAnsiTheme="majorHAnsi" w:cstheme="majorHAnsi"/>
        </w:rPr>
        <w:t xml:space="preserve"> </w:t>
      </w:r>
      <w:r w:rsidR="00417630" w:rsidRPr="00111C3B">
        <w:rPr>
          <w:rFonts w:asciiTheme="majorHAnsi" w:hAnsiTheme="majorHAnsi" w:cstheme="majorHAnsi"/>
        </w:rPr>
        <w:t>Although the Youth</w:t>
      </w:r>
      <w:r w:rsidR="00AD41A3" w:rsidRPr="00111C3B">
        <w:rPr>
          <w:rFonts w:asciiTheme="majorHAnsi" w:hAnsiTheme="majorHAnsi" w:cstheme="majorHAnsi"/>
        </w:rPr>
        <w:t xml:space="preserve"> League</w:t>
      </w:r>
      <w:r w:rsidR="00417630" w:rsidRPr="00111C3B">
        <w:rPr>
          <w:rFonts w:asciiTheme="majorHAnsi" w:hAnsiTheme="majorHAnsi" w:cstheme="majorHAnsi"/>
        </w:rPr>
        <w:t xml:space="preserve"> is to all intents and purposes independent,</w:t>
      </w:r>
      <w:r w:rsidR="00AD41A3" w:rsidRPr="00111C3B">
        <w:rPr>
          <w:rFonts w:asciiTheme="majorHAnsi" w:hAnsiTheme="majorHAnsi" w:cstheme="majorHAnsi"/>
        </w:rPr>
        <w:t xml:space="preserve"> through</w:t>
      </w:r>
      <w:r w:rsidR="00417630" w:rsidRPr="00111C3B">
        <w:rPr>
          <w:rFonts w:asciiTheme="majorHAnsi" w:hAnsiTheme="majorHAnsi" w:cstheme="majorHAnsi"/>
        </w:rPr>
        <w:t xml:space="preserve"> the control exerted by the Central Committee of the Communist Party, it is forced to adhere to party directions and policy</w:t>
      </w:r>
      <w:r w:rsidR="00417630" w:rsidRPr="00111C3B">
        <w:rPr>
          <w:rStyle w:val="FootnoteReference"/>
          <w:rFonts w:asciiTheme="majorHAnsi" w:hAnsiTheme="majorHAnsi" w:cstheme="majorHAnsi"/>
        </w:rPr>
        <w:footnoteReference w:id="41"/>
      </w:r>
      <w:r w:rsidR="00417630" w:rsidRPr="00111C3B">
        <w:rPr>
          <w:rFonts w:asciiTheme="majorHAnsi" w:hAnsiTheme="majorHAnsi" w:cstheme="majorHAnsi"/>
        </w:rPr>
        <w:t xml:space="preserve">. </w:t>
      </w:r>
    </w:p>
    <w:p w14:paraId="4C686D73" w14:textId="6867AAB8" w:rsidR="00CA5E0E" w:rsidRPr="00111C3B" w:rsidRDefault="00BA089E" w:rsidP="00480C87">
      <w:pPr>
        <w:rPr>
          <w:rFonts w:asciiTheme="majorHAnsi" w:hAnsiTheme="majorHAnsi" w:cstheme="majorHAnsi"/>
        </w:rPr>
      </w:pPr>
      <w:r w:rsidRPr="00111C3B">
        <w:rPr>
          <w:rFonts w:asciiTheme="majorHAnsi" w:hAnsiTheme="majorHAnsi" w:cstheme="majorHAnsi"/>
        </w:rPr>
        <w:t>The trade unions within China</w:t>
      </w:r>
      <w:r w:rsidR="00AD41A3" w:rsidRPr="00111C3B">
        <w:rPr>
          <w:rFonts w:asciiTheme="majorHAnsi" w:hAnsiTheme="majorHAnsi" w:cstheme="majorHAnsi"/>
        </w:rPr>
        <w:t>,</w:t>
      </w:r>
      <w:r w:rsidRPr="00111C3B">
        <w:rPr>
          <w:rFonts w:asciiTheme="majorHAnsi" w:hAnsiTheme="majorHAnsi" w:cstheme="majorHAnsi"/>
        </w:rPr>
        <w:t xml:space="preserve"> much like the </w:t>
      </w:r>
      <w:r w:rsidR="00AD41A3" w:rsidRPr="00111C3B">
        <w:rPr>
          <w:rFonts w:asciiTheme="majorHAnsi" w:hAnsiTheme="majorHAnsi" w:cstheme="majorHAnsi"/>
        </w:rPr>
        <w:t>Y</w:t>
      </w:r>
      <w:r w:rsidRPr="00111C3B">
        <w:rPr>
          <w:rFonts w:asciiTheme="majorHAnsi" w:hAnsiTheme="majorHAnsi" w:cstheme="majorHAnsi"/>
        </w:rPr>
        <w:t xml:space="preserve">outh </w:t>
      </w:r>
      <w:r w:rsidR="00AD41A3" w:rsidRPr="00111C3B">
        <w:rPr>
          <w:rFonts w:asciiTheme="majorHAnsi" w:hAnsiTheme="majorHAnsi" w:cstheme="majorHAnsi"/>
        </w:rPr>
        <w:t>L</w:t>
      </w:r>
      <w:r w:rsidRPr="00111C3B">
        <w:rPr>
          <w:rFonts w:asciiTheme="majorHAnsi" w:hAnsiTheme="majorHAnsi" w:cstheme="majorHAnsi"/>
        </w:rPr>
        <w:t xml:space="preserve">eague are under the direct supervision of the state. Unlike the Civic </w:t>
      </w:r>
      <w:r w:rsidR="00AD41A3" w:rsidRPr="00111C3B">
        <w:rPr>
          <w:rFonts w:asciiTheme="majorHAnsi" w:hAnsiTheme="majorHAnsi" w:cstheme="majorHAnsi"/>
        </w:rPr>
        <w:t>Associations</w:t>
      </w:r>
      <w:r w:rsidRPr="00111C3B">
        <w:rPr>
          <w:rFonts w:asciiTheme="majorHAnsi" w:hAnsiTheme="majorHAnsi" w:cstheme="majorHAnsi"/>
        </w:rPr>
        <w:t xml:space="preserve"> that enjoy some freedom away from the </w:t>
      </w:r>
      <w:r w:rsidR="00AD41A3" w:rsidRPr="00111C3B">
        <w:rPr>
          <w:rFonts w:asciiTheme="majorHAnsi" w:hAnsiTheme="majorHAnsi" w:cstheme="majorHAnsi"/>
        </w:rPr>
        <w:t>c</w:t>
      </w:r>
      <w:r w:rsidRPr="00111C3B">
        <w:rPr>
          <w:rFonts w:asciiTheme="majorHAnsi" w:hAnsiTheme="majorHAnsi" w:cstheme="majorHAnsi"/>
        </w:rPr>
        <w:t xml:space="preserve">entral </w:t>
      </w:r>
      <w:r w:rsidR="00AD41A3" w:rsidRPr="00111C3B">
        <w:rPr>
          <w:rFonts w:asciiTheme="majorHAnsi" w:hAnsiTheme="majorHAnsi" w:cstheme="majorHAnsi"/>
        </w:rPr>
        <w:t>g</w:t>
      </w:r>
      <w:r w:rsidRPr="00111C3B">
        <w:rPr>
          <w:rFonts w:asciiTheme="majorHAnsi" w:hAnsiTheme="majorHAnsi" w:cstheme="majorHAnsi"/>
        </w:rPr>
        <w:t>overnment, trade unions do not. Various laws</w:t>
      </w:r>
      <w:r w:rsidR="00AD41A3" w:rsidRPr="00111C3B">
        <w:rPr>
          <w:rFonts w:asciiTheme="majorHAnsi" w:hAnsiTheme="majorHAnsi" w:cstheme="majorHAnsi"/>
        </w:rPr>
        <w:t>,</w:t>
      </w:r>
      <w:r w:rsidRPr="00111C3B">
        <w:rPr>
          <w:rFonts w:asciiTheme="majorHAnsi" w:hAnsiTheme="majorHAnsi" w:cstheme="majorHAnsi"/>
        </w:rPr>
        <w:t xml:space="preserve"> such as the Trade Union Law of 1992 and the Labour Law of 1995</w:t>
      </w:r>
      <w:r w:rsidR="00AD41A3" w:rsidRPr="00111C3B">
        <w:rPr>
          <w:rFonts w:asciiTheme="majorHAnsi" w:hAnsiTheme="majorHAnsi" w:cstheme="majorHAnsi"/>
        </w:rPr>
        <w:t>,</w:t>
      </w:r>
      <w:r w:rsidRPr="00111C3B">
        <w:rPr>
          <w:rFonts w:asciiTheme="majorHAnsi" w:hAnsiTheme="majorHAnsi" w:cstheme="majorHAnsi"/>
        </w:rPr>
        <w:t xml:space="preserve"> demand that all trade unions</w:t>
      </w:r>
      <w:r w:rsidR="00AD41A3" w:rsidRPr="00111C3B">
        <w:rPr>
          <w:rFonts w:asciiTheme="majorHAnsi" w:hAnsiTheme="majorHAnsi" w:cstheme="majorHAnsi"/>
        </w:rPr>
        <w:t>,</w:t>
      </w:r>
      <w:r w:rsidRPr="00111C3B">
        <w:rPr>
          <w:rFonts w:asciiTheme="majorHAnsi" w:hAnsiTheme="majorHAnsi" w:cstheme="majorHAnsi"/>
        </w:rPr>
        <w:t xml:space="preserve"> while representing the rights of the worker</w:t>
      </w:r>
      <w:r w:rsidR="00AD41A3" w:rsidRPr="00111C3B">
        <w:rPr>
          <w:rFonts w:asciiTheme="majorHAnsi" w:hAnsiTheme="majorHAnsi" w:cstheme="majorHAnsi"/>
        </w:rPr>
        <w:t>,</w:t>
      </w:r>
      <w:r w:rsidRPr="00111C3B">
        <w:rPr>
          <w:rFonts w:asciiTheme="majorHAnsi" w:hAnsiTheme="majorHAnsi" w:cstheme="majorHAnsi"/>
        </w:rPr>
        <w:t xml:space="preserve"> must always work harmoniously with the party</w:t>
      </w:r>
      <w:r w:rsidR="00CB7450" w:rsidRPr="00111C3B">
        <w:rPr>
          <w:rStyle w:val="FootnoteReference"/>
          <w:rFonts w:asciiTheme="majorHAnsi" w:hAnsiTheme="majorHAnsi" w:cstheme="majorHAnsi"/>
        </w:rPr>
        <w:footnoteReference w:id="42"/>
      </w:r>
      <w:r w:rsidRPr="00111C3B">
        <w:rPr>
          <w:rFonts w:asciiTheme="majorHAnsi" w:hAnsiTheme="majorHAnsi" w:cstheme="majorHAnsi"/>
        </w:rPr>
        <w:t xml:space="preserve">. </w:t>
      </w:r>
      <w:r w:rsidR="00CB7450" w:rsidRPr="00111C3B">
        <w:rPr>
          <w:rFonts w:asciiTheme="majorHAnsi" w:hAnsiTheme="majorHAnsi" w:cstheme="majorHAnsi"/>
        </w:rPr>
        <w:t xml:space="preserve">Feng Chen </w:t>
      </w:r>
      <w:r w:rsidRPr="00111C3B">
        <w:rPr>
          <w:rFonts w:asciiTheme="majorHAnsi" w:hAnsiTheme="majorHAnsi" w:cstheme="majorHAnsi"/>
        </w:rPr>
        <w:t>note</w:t>
      </w:r>
      <w:r w:rsidR="00CB7450" w:rsidRPr="00111C3B">
        <w:rPr>
          <w:rFonts w:asciiTheme="majorHAnsi" w:hAnsiTheme="majorHAnsi" w:cstheme="majorHAnsi"/>
        </w:rPr>
        <w:t>s</w:t>
      </w:r>
      <w:r w:rsidRPr="00111C3B">
        <w:rPr>
          <w:rFonts w:asciiTheme="majorHAnsi" w:hAnsiTheme="majorHAnsi" w:cstheme="majorHAnsi"/>
        </w:rPr>
        <w:t xml:space="preserve"> that the unions acting under the umbrella of All-China Federation of Trade Unions, do not favour direct means of protest so that they do </w:t>
      </w:r>
      <w:r w:rsidR="00AD41A3" w:rsidRPr="00111C3B">
        <w:rPr>
          <w:rFonts w:asciiTheme="majorHAnsi" w:hAnsiTheme="majorHAnsi" w:cstheme="majorHAnsi"/>
        </w:rPr>
        <w:t xml:space="preserve">not </w:t>
      </w:r>
      <w:r w:rsidRPr="00111C3B">
        <w:rPr>
          <w:rFonts w:asciiTheme="majorHAnsi" w:hAnsiTheme="majorHAnsi" w:cstheme="majorHAnsi"/>
        </w:rPr>
        <w:t>scare off possible investment</w:t>
      </w:r>
      <w:r w:rsidR="00CB7450" w:rsidRPr="00111C3B">
        <w:rPr>
          <w:rStyle w:val="FootnoteReference"/>
          <w:rFonts w:asciiTheme="majorHAnsi" w:hAnsiTheme="majorHAnsi" w:cstheme="majorHAnsi"/>
        </w:rPr>
        <w:footnoteReference w:id="43"/>
      </w:r>
      <w:r w:rsidRPr="00111C3B">
        <w:rPr>
          <w:rFonts w:asciiTheme="majorHAnsi" w:hAnsiTheme="majorHAnsi" w:cstheme="majorHAnsi"/>
        </w:rPr>
        <w:t>. Besides representing the workers, unions must also contribute to the progression of society, as any opposition to this may imply opposition to the political system</w:t>
      </w:r>
      <w:r w:rsidR="0063393A" w:rsidRPr="00111C3B">
        <w:rPr>
          <w:rStyle w:val="FootnoteReference"/>
          <w:rFonts w:asciiTheme="majorHAnsi" w:hAnsiTheme="majorHAnsi" w:cstheme="majorHAnsi"/>
        </w:rPr>
        <w:footnoteReference w:id="44"/>
      </w:r>
      <w:r w:rsidRPr="00111C3B">
        <w:rPr>
          <w:rFonts w:asciiTheme="majorHAnsi" w:hAnsiTheme="majorHAnsi" w:cstheme="majorHAnsi"/>
        </w:rPr>
        <w:t>.</w:t>
      </w:r>
      <w:r w:rsidR="00F04D7F" w:rsidRPr="00111C3B">
        <w:rPr>
          <w:rFonts w:asciiTheme="majorHAnsi" w:hAnsiTheme="majorHAnsi" w:cstheme="majorHAnsi"/>
        </w:rPr>
        <w:t xml:space="preserve"> </w:t>
      </w:r>
      <w:r w:rsidR="004C04AF" w:rsidRPr="00111C3B">
        <w:rPr>
          <w:rFonts w:asciiTheme="majorHAnsi" w:hAnsiTheme="majorHAnsi" w:cstheme="majorHAnsi"/>
        </w:rPr>
        <w:t>Consequently, as the figures suggest this may suggest why the trade unions do not strike but work intrinsically with the leadership to find a solution. Only through interaction with the leadership will anything be accomplished</w:t>
      </w:r>
      <w:r w:rsidR="0063393A" w:rsidRPr="00111C3B">
        <w:rPr>
          <w:rStyle w:val="FootnoteReference"/>
          <w:rFonts w:asciiTheme="majorHAnsi" w:hAnsiTheme="majorHAnsi" w:cstheme="majorHAnsi"/>
        </w:rPr>
        <w:footnoteReference w:id="45"/>
      </w:r>
      <w:r w:rsidR="004C04AF" w:rsidRPr="00111C3B">
        <w:rPr>
          <w:rFonts w:asciiTheme="majorHAnsi" w:hAnsiTheme="majorHAnsi" w:cstheme="majorHAnsi"/>
        </w:rPr>
        <w:t xml:space="preserve">. Richard Morris notes that after the restoration of the trade unions, their primary function was to promote the ideal worker; however, had a dual reality of worker </w:t>
      </w:r>
      <w:bookmarkStart w:id="6" w:name="_GoBack"/>
      <w:bookmarkEnd w:id="6"/>
      <w:r w:rsidR="004C04AF" w:rsidRPr="00111C3B">
        <w:rPr>
          <w:rFonts w:asciiTheme="majorHAnsi" w:hAnsiTheme="majorHAnsi" w:cstheme="majorHAnsi"/>
        </w:rPr>
        <w:lastRenderedPageBreak/>
        <w:t>representation</w:t>
      </w:r>
      <w:r w:rsidR="0063393A" w:rsidRPr="00111C3B">
        <w:rPr>
          <w:rStyle w:val="FootnoteReference"/>
          <w:rFonts w:asciiTheme="majorHAnsi" w:hAnsiTheme="majorHAnsi" w:cstheme="majorHAnsi"/>
        </w:rPr>
        <w:footnoteReference w:id="46"/>
      </w:r>
      <w:r w:rsidR="004C04AF" w:rsidRPr="00111C3B">
        <w:rPr>
          <w:rFonts w:asciiTheme="majorHAnsi" w:hAnsiTheme="majorHAnsi" w:cstheme="majorHAnsi"/>
        </w:rPr>
        <w:t>. As such it forced the membership to rely on the party leadership for solutions rather than any forms of protest</w:t>
      </w:r>
      <w:r w:rsidR="0063393A" w:rsidRPr="00111C3B">
        <w:rPr>
          <w:rStyle w:val="FootnoteReference"/>
          <w:rFonts w:asciiTheme="majorHAnsi" w:hAnsiTheme="majorHAnsi" w:cstheme="majorHAnsi"/>
        </w:rPr>
        <w:footnoteReference w:id="47"/>
      </w:r>
      <w:r w:rsidR="004C04AF" w:rsidRPr="00111C3B">
        <w:rPr>
          <w:rFonts w:asciiTheme="majorHAnsi" w:hAnsiTheme="majorHAnsi" w:cstheme="majorHAnsi"/>
        </w:rPr>
        <w:t xml:space="preserve">. </w:t>
      </w:r>
    </w:p>
    <w:p w14:paraId="5D3BA03B" w14:textId="29C71712" w:rsidR="004C04AF" w:rsidRPr="00111C3B" w:rsidRDefault="00BA089E" w:rsidP="00480C87">
      <w:pPr>
        <w:rPr>
          <w:rFonts w:asciiTheme="majorHAnsi" w:hAnsiTheme="majorHAnsi" w:cstheme="majorHAnsi"/>
        </w:rPr>
      </w:pPr>
      <w:r w:rsidRPr="00111C3B">
        <w:rPr>
          <w:rFonts w:asciiTheme="majorHAnsi" w:hAnsiTheme="majorHAnsi" w:cstheme="majorHAnsi"/>
        </w:rPr>
        <w:t>F</w:t>
      </w:r>
      <w:r w:rsidR="00CC23A8" w:rsidRPr="00111C3B">
        <w:rPr>
          <w:rFonts w:asciiTheme="majorHAnsi" w:hAnsiTheme="majorHAnsi" w:cstheme="majorHAnsi"/>
        </w:rPr>
        <w:t>ro</w:t>
      </w:r>
      <w:r w:rsidRPr="00111C3B">
        <w:rPr>
          <w:rFonts w:asciiTheme="majorHAnsi" w:hAnsiTheme="majorHAnsi" w:cstheme="majorHAnsi"/>
        </w:rPr>
        <w:t>m an organisational perspective</w:t>
      </w:r>
      <w:r w:rsidR="00106D08" w:rsidRPr="00111C3B">
        <w:rPr>
          <w:rFonts w:asciiTheme="majorHAnsi" w:hAnsiTheme="majorHAnsi" w:cstheme="majorHAnsi"/>
        </w:rPr>
        <w:t>,</w:t>
      </w:r>
      <w:r w:rsidRPr="00111C3B">
        <w:rPr>
          <w:rFonts w:asciiTheme="majorHAnsi" w:hAnsiTheme="majorHAnsi" w:cstheme="majorHAnsi"/>
        </w:rPr>
        <w:t xml:space="preserve"> the entity that enjoys the most freedom is the Civic Associations which exist within the People</w:t>
      </w:r>
      <w:r w:rsidR="00106D08" w:rsidRPr="00111C3B">
        <w:rPr>
          <w:rFonts w:asciiTheme="majorHAnsi" w:hAnsiTheme="majorHAnsi" w:cstheme="majorHAnsi"/>
        </w:rPr>
        <w:t>’s</w:t>
      </w:r>
      <w:r w:rsidRPr="00111C3B">
        <w:rPr>
          <w:rFonts w:asciiTheme="majorHAnsi" w:hAnsiTheme="majorHAnsi" w:cstheme="majorHAnsi"/>
        </w:rPr>
        <w:t xml:space="preserve"> Republic of China</w:t>
      </w:r>
      <w:r w:rsidR="00106D08" w:rsidRPr="00111C3B">
        <w:rPr>
          <w:rFonts w:asciiTheme="majorHAnsi" w:hAnsiTheme="majorHAnsi" w:cstheme="majorHAnsi"/>
        </w:rPr>
        <w:t>. S</w:t>
      </w:r>
      <w:r w:rsidRPr="00111C3B">
        <w:rPr>
          <w:rFonts w:asciiTheme="majorHAnsi" w:hAnsiTheme="majorHAnsi" w:cstheme="majorHAnsi"/>
        </w:rPr>
        <w:t>uch organisations are part of the state structure but are controlled to a degree by the state organisations</w:t>
      </w:r>
      <w:r w:rsidR="00C15C43" w:rsidRPr="00111C3B">
        <w:rPr>
          <w:rStyle w:val="FootnoteReference"/>
          <w:rFonts w:asciiTheme="majorHAnsi" w:hAnsiTheme="majorHAnsi" w:cstheme="majorHAnsi"/>
        </w:rPr>
        <w:footnoteReference w:id="48"/>
      </w:r>
      <w:r w:rsidRPr="00111C3B">
        <w:rPr>
          <w:rFonts w:asciiTheme="majorHAnsi" w:hAnsiTheme="majorHAnsi" w:cstheme="majorHAnsi"/>
        </w:rPr>
        <w:t xml:space="preserve">.  After 1989 the state established </w:t>
      </w:r>
      <w:r w:rsidR="00106D08" w:rsidRPr="00111C3B">
        <w:rPr>
          <w:rFonts w:asciiTheme="majorHAnsi" w:hAnsiTheme="majorHAnsi" w:cstheme="majorHAnsi"/>
        </w:rPr>
        <w:t xml:space="preserve">these associations </w:t>
      </w:r>
      <w:r w:rsidRPr="00111C3B">
        <w:rPr>
          <w:rFonts w:asciiTheme="majorHAnsi" w:hAnsiTheme="majorHAnsi" w:cstheme="majorHAnsi"/>
        </w:rPr>
        <w:t>as part of a corporate approach to suppress associations or societies that undermine the Communist Part</w:t>
      </w:r>
      <w:r w:rsidR="00C15C43" w:rsidRPr="00111C3B">
        <w:rPr>
          <w:rFonts w:asciiTheme="majorHAnsi" w:hAnsiTheme="majorHAnsi" w:cstheme="majorHAnsi"/>
        </w:rPr>
        <w:t>y and State</w:t>
      </w:r>
      <w:r w:rsidR="00C15C43" w:rsidRPr="00111C3B">
        <w:rPr>
          <w:rStyle w:val="FootnoteReference"/>
          <w:rFonts w:asciiTheme="majorHAnsi" w:hAnsiTheme="majorHAnsi" w:cstheme="majorHAnsi"/>
        </w:rPr>
        <w:footnoteReference w:id="49"/>
      </w:r>
      <w:r w:rsidRPr="00111C3B">
        <w:rPr>
          <w:rFonts w:asciiTheme="majorHAnsi" w:hAnsiTheme="majorHAnsi" w:cstheme="majorHAnsi"/>
        </w:rPr>
        <w:t>. Others were however indeed permitted in other fields of non-contentio</w:t>
      </w:r>
      <w:r w:rsidR="00C15C43" w:rsidRPr="00111C3B">
        <w:rPr>
          <w:rFonts w:asciiTheme="majorHAnsi" w:hAnsiTheme="majorHAnsi" w:cstheme="majorHAnsi"/>
        </w:rPr>
        <w:t>us issues</w:t>
      </w:r>
      <w:r w:rsidR="00C15C43" w:rsidRPr="00111C3B">
        <w:rPr>
          <w:rStyle w:val="FootnoteReference"/>
          <w:rFonts w:asciiTheme="majorHAnsi" w:hAnsiTheme="majorHAnsi" w:cstheme="majorHAnsi"/>
        </w:rPr>
        <w:footnoteReference w:id="50"/>
      </w:r>
      <w:r w:rsidRPr="00111C3B">
        <w:rPr>
          <w:rFonts w:asciiTheme="majorHAnsi" w:hAnsiTheme="majorHAnsi" w:cstheme="majorHAnsi"/>
        </w:rPr>
        <w:t xml:space="preserve">. Such organisations do not have direct access to the political system but can represent </w:t>
      </w:r>
      <w:r w:rsidR="00C15C43" w:rsidRPr="00111C3B">
        <w:rPr>
          <w:rFonts w:asciiTheme="majorHAnsi" w:hAnsiTheme="majorHAnsi" w:cstheme="majorHAnsi"/>
        </w:rPr>
        <w:t>areas</w:t>
      </w:r>
      <w:r w:rsidRPr="00111C3B">
        <w:rPr>
          <w:rFonts w:asciiTheme="majorHAnsi" w:hAnsiTheme="majorHAnsi" w:cstheme="majorHAnsi"/>
        </w:rPr>
        <w:t xml:space="preserve"> of society within the political system</w:t>
      </w:r>
      <w:r w:rsidR="00C15C43" w:rsidRPr="00111C3B">
        <w:rPr>
          <w:rStyle w:val="FootnoteReference"/>
          <w:rFonts w:asciiTheme="majorHAnsi" w:hAnsiTheme="majorHAnsi" w:cstheme="majorHAnsi"/>
        </w:rPr>
        <w:footnoteReference w:id="51"/>
      </w:r>
      <w:r w:rsidRPr="00111C3B">
        <w:rPr>
          <w:rFonts w:asciiTheme="majorHAnsi" w:hAnsiTheme="majorHAnsi" w:cstheme="majorHAnsi"/>
        </w:rPr>
        <w:t>. Even after Deng Xiaoping opened the Chinese economy to market forces, private businesses did not have administrative access</w:t>
      </w:r>
      <w:r w:rsidR="00C15C43" w:rsidRPr="00111C3B">
        <w:rPr>
          <w:rStyle w:val="FootnoteReference"/>
          <w:rFonts w:asciiTheme="majorHAnsi" w:hAnsiTheme="majorHAnsi" w:cstheme="majorHAnsi"/>
        </w:rPr>
        <w:footnoteReference w:id="52"/>
      </w:r>
      <w:r w:rsidRPr="00111C3B">
        <w:rPr>
          <w:rFonts w:asciiTheme="majorHAnsi" w:hAnsiTheme="majorHAnsi" w:cstheme="majorHAnsi"/>
        </w:rPr>
        <w:t xml:space="preserve">. Instead, they belonged to associations </w:t>
      </w:r>
      <w:r w:rsidR="00104620" w:rsidRPr="00111C3B">
        <w:rPr>
          <w:rFonts w:asciiTheme="majorHAnsi" w:hAnsiTheme="majorHAnsi" w:cstheme="majorHAnsi"/>
        </w:rPr>
        <w:t xml:space="preserve">which represented their interests </w:t>
      </w:r>
      <w:r w:rsidR="00106D08" w:rsidRPr="00111C3B">
        <w:rPr>
          <w:rFonts w:asciiTheme="majorHAnsi" w:hAnsiTheme="majorHAnsi" w:cstheme="majorHAnsi"/>
        </w:rPr>
        <w:t>t</w:t>
      </w:r>
      <w:r w:rsidR="00104620" w:rsidRPr="00111C3B">
        <w:rPr>
          <w:rFonts w:asciiTheme="majorHAnsi" w:hAnsiTheme="majorHAnsi" w:cstheme="majorHAnsi"/>
        </w:rPr>
        <w:t>o the government</w:t>
      </w:r>
      <w:r w:rsidR="007209FB" w:rsidRPr="00111C3B">
        <w:rPr>
          <w:rStyle w:val="FootnoteReference"/>
          <w:rFonts w:asciiTheme="majorHAnsi" w:hAnsiTheme="majorHAnsi" w:cstheme="majorHAnsi"/>
        </w:rPr>
        <w:footnoteReference w:id="53"/>
      </w:r>
      <w:r w:rsidR="00104620" w:rsidRPr="00111C3B">
        <w:rPr>
          <w:rFonts w:asciiTheme="majorHAnsi" w:hAnsiTheme="majorHAnsi" w:cstheme="majorHAnsi"/>
        </w:rPr>
        <w:t xml:space="preserve">. </w:t>
      </w:r>
      <w:r w:rsidR="007209FB" w:rsidRPr="00111C3B">
        <w:rPr>
          <w:rFonts w:asciiTheme="majorHAnsi" w:hAnsiTheme="majorHAnsi" w:cstheme="majorHAnsi"/>
        </w:rPr>
        <w:t xml:space="preserve"> </w:t>
      </w:r>
      <w:r w:rsidR="008062BC" w:rsidRPr="00111C3B">
        <w:rPr>
          <w:rFonts w:asciiTheme="majorHAnsi" w:hAnsiTheme="majorHAnsi" w:cstheme="majorHAnsi"/>
        </w:rPr>
        <w:t>As we can see most respondents from the Civil Associations in some way go directly to the leadership, but a lower rate deal with political organs of state</w:t>
      </w:r>
      <w:r w:rsidR="007209FB" w:rsidRPr="00111C3B">
        <w:rPr>
          <w:rStyle w:val="FootnoteReference"/>
          <w:rFonts w:asciiTheme="majorHAnsi" w:hAnsiTheme="majorHAnsi" w:cstheme="majorHAnsi"/>
        </w:rPr>
        <w:footnoteReference w:id="54"/>
      </w:r>
      <w:r w:rsidR="008062BC" w:rsidRPr="00111C3B">
        <w:rPr>
          <w:rFonts w:asciiTheme="majorHAnsi" w:hAnsiTheme="majorHAnsi" w:cstheme="majorHAnsi"/>
        </w:rPr>
        <w:t>. Jessica</w:t>
      </w:r>
      <w:r w:rsidR="007209FB" w:rsidRPr="00111C3B">
        <w:rPr>
          <w:rFonts w:asciiTheme="majorHAnsi" w:hAnsiTheme="majorHAnsi" w:cstheme="majorHAnsi"/>
        </w:rPr>
        <w:t xml:space="preserve"> Teets </w:t>
      </w:r>
      <w:r w:rsidR="008062BC" w:rsidRPr="00111C3B">
        <w:rPr>
          <w:rFonts w:asciiTheme="majorHAnsi" w:hAnsiTheme="majorHAnsi" w:cstheme="majorHAnsi"/>
        </w:rPr>
        <w:t>in her analysis of the development of Civil Society contends that these civil organisations act as the consultative ombudsmen of the Chinese State</w:t>
      </w:r>
      <w:r w:rsidR="007209FB" w:rsidRPr="00111C3B">
        <w:rPr>
          <w:rStyle w:val="FootnoteReference"/>
          <w:rFonts w:asciiTheme="majorHAnsi" w:hAnsiTheme="majorHAnsi" w:cstheme="majorHAnsi"/>
        </w:rPr>
        <w:footnoteReference w:id="55"/>
      </w:r>
      <w:r w:rsidR="008062BC" w:rsidRPr="00111C3B">
        <w:rPr>
          <w:rFonts w:asciiTheme="majorHAnsi" w:hAnsiTheme="majorHAnsi" w:cstheme="majorHAnsi"/>
        </w:rPr>
        <w:t>. Such organisations may be used by the government to consult on policy</w:t>
      </w:r>
      <w:r w:rsidR="00106D08" w:rsidRPr="00111C3B">
        <w:rPr>
          <w:rFonts w:asciiTheme="majorHAnsi" w:hAnsiTheme="majorHAnsi" w:cstheme="majorHAnsi"/>
        </w:rPr>
        <w:t>,</w:t>
      </w:r>
      <w:r w:rsidR="008062BC" w:rsidRPr="00111C3B">
        <w:rPr>
          <w:rFonts w:asciiTheme="majorHAnsi" w:hAnsiTheme="majorHAnsi" w:cstheme="majorHAnsi"/>
        </w:rPr>
        <w:t xml:space="preserve"> as well as other initiatives</w:t>
      </w:r>
      <w:r w:rsidR="007209FB" w:rsidRPr="00111C3B">
        <w:rPr>
          <w:rStyle w:val="FootnoteReference"/>
          <w:rFonts w:asciiTheme="majorHAnsi" w:hAnsiTheme="majorHAnsi" w:cstheme="majorHAnsi"/>
        </w:rPr>
        <w:footnoteReference w:id="56"/>
      </w:r>
      <w:r w:rsidR="008062BC" w:rsidRPr="00111C3B">
        <w:rPr>
          <w:rFonts w:asciiTheme="majorHAnsi" w:hAnsiTheme="majorHAnsi" w:cstheme="majorHAnsi"/>
        </w:rPr>
        <w:t>. This can also include the delivering of specific services that the state may not provide directly</w:t>
      </w:r>
      <w:r w:rsidR="007209FB" w:rsidRPr="00111C3B">
        <w:rPr>
          <w:rStyle w:val="FootnoteReference"/>
          <w:rFonts w:asciiTheme="majorHAnsi" w:hAnsiTheme="majorHAnsi" w:cstheme="majorHAnsi"/>
        </w:rPr>
        <w:footnoteReference w:id="57"/>
      </w:r>
      <w:r w:rsidR="008062BC" w:rsidRPr="00111C3B">
        <w:rPr>
          <w:rFonts w:asciiTheme="majorHAnsi" w:hAnsiTheme="majorHAnsi" w:cstheme="majorHAnsi"/>
        </w:rPr>
        <w:t>.</w:t>
      </w:r>
    </w:p>
    <w:p w14:paraId="537ECDE6" w14:textId="2F621969" w:rsidR="00D91A49" w:rsidRPr="00111C3B" w:rsidRDefault="00BA089E" w:rsidP="00480C87">
      <w:pPr>
        <w:rPr>
          <w:rFonts w:asciiTheme="majorHAnsi" w:hAnsiTheme="majorHAnsi" w:cstheme="majorHAnsi"/>
        </w:rPr>
      </w:pPr>
      <w:r w:rsidRPr="00111C3B">
        <w:rPr>
          <w:rFonts w:asciiTheme="majorHAnsi" w:hAnsiTheme="majorHAnsi" w:cstheme="majorHAnsi"/>
        </w:rPr>
        <w:t>All respondents with regards to the issue of protest are involved very little with the mentioned tactics. Interestingly</w:t>
      </w:r>
      <w:r w:rsidR="00106D08" w:rsidRPr="00111C3B">
        <w:rPr>
          <w:rFonts w:asciiTheme="majorHAnsi" w:hAnsiTheme="majorHAnsi" w:cstheme="majorHAnsi"/>
        </w:rPr>
        <w:t xml:space="preserve"> </w:t>
      </w:r>
      <w:r w:rsidRPr="00111C3B">
        <w:rPr>
          <w:rFonts w:asciiTheme="majorHAnsi" w:hAnsiTheme="majorHAnsi" w:cstheme="majorHAnsi"/>
        </w:rPr>
        <w:t>respondents invited their leaders to dinner instead; than protest, they are against them</w:t>
      </w:r>
      <w:r w:rsidR="00CC23A8" w:rsidRPr="00111C3B">
        <w:rPr>
          <w:rStyle w:val="FootnoteReference"/>
          <w:rFonts w:asciiTheme="majorHAnsi" w:hAnsiTheme="majorHAnsi" w:cstheme="majorHAnsi"/>
        </w:rPr>
        <w:footnoteReference w:id="58"/>
      </w:r>
      <w:r w:rsidRPr="00111C3B">
        <w:rPr>
          <w:rFonts w:asciiTheme="majorHAnsi" w:hAnsiTheme="majorHAnsi" w:cstheme="majorHAnsi"/>
        </w:rPr>
        <w:t>.</w:t>
      </w:r>
      <w:r w:rsidR="00106D08" w:rsidRPr="00111C3B">
        <w:rPr>
          <w:rFonts w:asciiTheme="majorHAnsi" w:hAnsiTheme="majorHAnsi" w:cstheme="majorHAnsi"/>
        </w:rPr>
        <w:t xml:space="preserve"> </w:t>
      </w:r>
      <w:r w:rsidRPr="00111C3B">
        <w:rPr>
          <w:rFonts w:asciiTheme="majorHAnsi" w:hAnsiTheme="majorHAnsi" w:cstheme="majorHAnsi"/>
        </w:rPr>
        <w:t>Ying Fang defines this as a reciprocal benefit between individuals who are prepared to offer and give favours to one another</w:t>
      </w:r>
      <w:r w:rsidR="00CC23A8" w:rsidRPr="00111C3B">
        <w:rPr>
          <w:rStyle w:val="FootnoteReference"/>
          <w:rFonts w:asciiTheme="majorHAnsi" w:hAnsiTheme="majorHAnsi" w:cstheme="majorHAnsi"/>
        </w:rPr>
        <w:footnoteReference w:id="59"/>
      </w:r>
      <w:r w:rsidRPr="00111C3B">
        <w:rPr>
          <w:rFonts w:asciiTheme="majorHAnsi" w:hAnsiTheme="majorHAnsi" w:cstheme="majorHAnsi"/>
        </w:rPr>
        <w:t>. In the context of Ying's observation, it firmly stands in the realm of business rather than politics</w:t>
      </w:r>
      <w:r w:rsidR="00CC23A8" w:rsidRPr="00111C3B">
        <w:rPr>
          <w:rStyle w:val="FootnoteReference"/>
          <w:rFonts w:asciiTheme="majorHAnsi" w:hAnsiTheme="majorHAnsi" w:cstheme="majorHAnsi"/>
        </w:rPr>
        <w:footnoteReference w:id="60"/>
      </w:r>
      <w:r w:rsidRPr="00111C3B">
        <w:rPr>
          <w:rFonts w:asciiTheme="majorHAnsi" w:hAnsiTheme="majorHAnsi" w:cstheme="majorHAnsi"/>
        </w:rPr>
        <w:t xml:space="preserve">. Morgan and Hunt in 1994, in the same period of this data, sets </w:t>
      </w:r>
      <w:r w:rsidRPr="00111C3B">
        <w:rPr>
          <w:rFonts w:asciiTheme="majorHAnsi" w:hAnsiTheme="majorHAnsi" w:cstheme="majorHAnsi"/>
          <w:i/>
        </w:rPr>
        <w:t xml:space="preserve">guanxi </w:t>
      </w:r>
      <w:r w:rsidRPr="00111C3B">
        <w:rPr>
          <w:rFonts w:asciiTheme="majorHAnsi" w:hAnsiTheme="majorHAnsi" w:cstheme="majorHAnsi"/>
        </w:rPr>
        <w:t xml:space="preserve">as something that is </w:t>
      </w:r>
      <w:r w:rsidR="00CB6E7A" w:rsidRPr="00111C3B">
        <w:rPr>
          <w:rFonts w:asciiTheme="majorHAnsi" w:hAnsiTheme="majorHAnsi" w:cstheme="majorHAnsi"/>
        </w:rPr>
        <w:t>personal</w:t>
      </w:r>
      <w:r w:rsidRPr="00111C3B">
        <w:rPr>
          <w:rFonts w:asciiTheme="majorHAnsi" w:hAnsiTheme="majorHAnsi" w:cstheme="majorHAnsi"/>
        </w:rPr>
        <w:t xml:space="preserve"> to the individual that can be </w:t>
      </w:r>
      <w:r w:rsidR="00CB6E7A" w:rsidRPr="00111C3B">
        <w:rPr>
          <w:rFonts w:asciiTheme="majorHAnsi" w:hAnsiTheme="majorHAnsi" w:cstheme="majorHAnsi"/>
        </w:rPr>
        <w:t>used significantly to benefit that individual or the business or person that the individual worked for as an employee</w:t>
      </w:r>
      <w:r w:rsidR="00CC23A8" w:rsidRPr="00111C3B">
        <w:rPr>
          <w:rStyle w:val="FootnoteReference"/>
          <w:rFonts w:asciiTheme="majorHAnsi" w:hAnsiTheme="majorHAnsi" w:cstheme="majorHAnsi"/>
        </w:rPr>
        <w:footnoteReference w:id="61"/>
      </w:r>
      <w:r w:rsidR="00CB6E7A" w:rsidRPr="00111C3B">
        <w:rPr>
          <w:rFonts w:asciiTheme="majorHAnsi" w:hAnsiTheme="majorHAnsi" w:cstheme="majorHAnsi"/>
        </w:rPr>
        <w:t xml:space="preserve">. By extension Ying points out that </w:t>
      </w:r>
      <w:r w:rsidR="00CB6E7A" w:rsidRPr="00111C3B">
        <w:rPr>
          <w:rFonts w:asciiTheme="majorHAnsi" w:hAnsiTheme="majorHAnsi" w:cstheme="majorHAnsi"/>
          <w:i/>
        </w:rPr>
        <w:t xml:space="preserve">guanxi </w:t>
      </w:r>
      <w:r w:rsidR="00CB6E7A" w:rsidRPr="00111C3B">
        <w:rPr>
          <w:rFonts w:asciiTheme="majorHAnsi" w:hAnsiTheme="majorHAnsi" w:cstheme="majorHAnsi"/>
        </w:rPr>
        <w:t>with relation to politics is carried out in actions that may be clandestine</w:t>
      </w:r>
      <w:r w:rsidR="00EB22B3" w:rsidRPr="00111C3B">
        <w:rPr>
          <w:rStyle w:val="FootnoteReference"/>
          <w:rFonts w:asciiTheme="majorHAnsi" w:hAnsiTheme="majorHAnsi" w:cstheme="majorHAnsi"/>
        </w:rPr>
        <w:footnoteReference w:id="62"/>
      </w:r>
      <w:r w:rsidR="00CB6E7A" w:rsidRPr="00111C3B">
        <w:rPr>
          <w:rFonts w:asciiTheme="majorHAnsi" w:hAnsiTheme="majorHAnsi" w:cstheme="majorHAnsi"/>
        </w:rPr>
        <w:t>. Usually, in this manner it is exercised through personal contacts and friends outside of an established hierarchy</w:t>
      </w:r>
      <w:r w:rsidR="00EB22B3" w:rsidRPr="00111C3B">
        <w:rPr>
          <w:rStyle w:val="FootnoteReference"/>
          <w:rFonts w:asciiTheme="majorHAnsi" w:hAnsiTheme="majorHAnsi" w:cstheme="majorHAnsi"/>
        </w:rPr>
        <w:footnoteReference w:id="63"/>
      </w:r>
      <w:r w:rsidR="00CB6E7A" w:rsidRPr="00111C3B">
        <w:rPr>
          <w:rFonts w:asciiTheme="majorHAnsi" w:hAnsiTheme="majorHAnsi" w:cstheme="majorHAnsi"/>
        </w:rPr>
        <w:t xml:space="preserve">. This might explain to some degree as to why the option for dinner is higher than protest, as it grants access to one's boss within their organisation, without pursuing the hierarchy and dealing </w:t>
      </w:r>
      <w:r w:rsidR="00CB6E7A" w:rsidRPr="00111C3B">
        <w:rPr>
          <w:rFonts w:asciiTheme="majorHAnsi" w:hAnsiTheme="majorHAnsi" w:cstheme="majorHAnsi"/>
        </w:rPr>
        <w:lastRenderedPageBreak/>
        <w:t>directly with issues</w:t>
      </w:r>
      <w:r w:rsidR="00EB22B3" w:rsidRPr="00111C3B">
        <w:rPr>
          <w:rStyle w:val="FootnoteReference"/>
          <w:rFonts w:asciiTheme="majorHAnsi" w:hAnsiTheme="majorHAnsi" w:cstheme="majorHAnsi"/>
        </w:rPr>
        <w:footnoteReference w:id="64"/>
      </w:r>
      <w:r w:rsidR="00CB6E7A" w:rsidRPr="00111C3B">
        <w:rPr>
          <w:rFonts w:asciiTheme="majorHAnsi" w:hAnsiTheme="majorHAnsi" w:cstheme="majorHAnsi"/>
        </w:rPr>
        <w:t>. Ying does notice however that such actions could be defined as corruption, wit</w:t>
      </w:r>
      <w:r w:rsidR="00106D08" w:rsidRPr="00111C3B">
        <w:rPr>
          <w:rFonts w:asciiTheme="majorHAnsi" w:hAnsiTheme="majorHAnsi" w:cstheme="majorHAnsi"/>
        </w:rPr>
        <w:t>h actions that could perceived to be illegal action</w:t>
      </w:r>
      <w:r w:rsidR="00CB6E7A" w:rsidRPr="00111C3B">
        <w:rPr>
          <w:rFonts w:asciiTheme="majorHAnsi" w:hAnsiTheme="majorHAnsi" w:cstheme="majorHAnsi"/>
        </w:rPr>
        <w:t>s</w:t>
      </w:r>
      <w:r w:rsidR="00EB22B3" w:rsidRPr="00111C3B">
        <w:rPr>
          <w:rStyle w:val="FootnoteReference"/>
          <w:rFonts w:asciiTheme="majorHAnsi" w:hAnsiTheme="majorHAnsi" w:cstheme="majorHAnsi"/>
        </w:rPr>
        <w:footnoteReference w:id="65"/>
      </w:r>
      <w:r w:rsidR="00CB6E7A" w:rsidRPr="00111C3B">
        <w:rPr>
          <w:rFonts w:asciiTheme="majorHAnsi" w:hAnsiTheme="majorHAnsi" w:cstheme="majorHAnsi"/>
        </w:rPr>
        <w:t>. Perhaps this inferred opinion may explain why the figures are so low for this action</w:t>
      </w:r>
      <w:r w:rsidR="00F91CF6">
        <w:rPr>
          <w:rFonts w:asciiTheme="majorHAnsi" w:hAnsiTheme="majorHAnsi" w:cstheme="majorHAnsi"/>
        </w:rPr>
        <w:t xml:space="preserve"> but still higher than protest</w:t>
      </w:r>
      <w:r w:rsidR="00CB6E7A" w:rsidRPr="00111C3B">
        <w:rPr>
          <w:rFonts w:asciiTheme="majorHAnsi" w:hAnsiTheme="majorHAnsi" w:cstheme="majorHAnsi"/>
        </w:rPr>
        <w:t>.</w:t>
      </w:r>
    </w:p>
    <w:p w14:paraId="42ADE1EC" w14:textId="4ABDB44A" w:rsidR="001B664B" w:rsidRPr="00111C3B" w:rsidRDefault="00BA089E" w:rsidP="00480C87">
      <w:pPr>
        <w:rPr>
          <w:rFonts w:asciiTheme="majorHAnsi" w:hAnsiTheme="majorHAnsi" w:cstheme="majorHAnsi"/>
        </w:rPr>
      </w:pPr>
      <w:r w:rsidRPr="00111C3B">
        <w:rPr>
          <w:rFonts w:asciiTheme="majorHAnsi" w:hAnsiTheme="majorHAnsi" w:cstheme="majorHAnsi"/>
        </w:rPr>
        <w:t>The use of protest within China as a means of political participation is a little problematic. As the figures show, respondents have shown either little willingness or no desire to protest</w:t>
      </w:r>
      <w:r w:rsidR="007C5EE0" w:rsidRPr="00111C3B">
        <w:rPr>
          <w:rStyle w:val="FootnoteReference"/>
          <w:rFonts w:asciiTheme="majorHAnsi" w:hAnsiTheme="majorHAnsi" w:cstheme="majorHAnsi"/>
        </w:rPr>
        <w:footnoteReference w:id="66"/>
      </w:r>
      <w:r w:rsidRPr="00111C3B">
        <w:rPr>
          <w:rFonts w:asciiTheme="majorHAnsi" w:hAnsiTheme="majorHAnsi" w:cstheme="majorHAnsi"/>
        </w:rPr>
        <w:t xml:space="preserve">. </w:t>
      </w:r>
      <w:r w:rsidR="003058E8" w:rsidRPr="00111C3B">
        <w:rPr>
          <w:rFonts w:asciiTheme="majorHAnsi" w:hAnsiTheme="majorHAnsi" w:cstheme="majorHAnsi"/>
        </w:rPr>
        <w:t xml:space="preserve">Surprisingly though it is the </w:t>
      </w:r>
      <w:r w:rsidR="00106D08" w:rsidRPr="00111C3B">
        <w:rPr>
          <w:rFonts w:asciiTheme="majorHAnsi" w:hAnsiTheme="majorHAnsi" w:cstheme="majorHAnsi"/>
        </w:rPr>
        <w:t>C</w:t>
      </w:r>
      <w:r w:rsidR="003058E8" w:rsidRPr="00111C3B">
        <w:rPr>
          <w:rFonts w:asciiTheme="majorHAnsi" w:hAnsiTheme="majorHAnsi" w:cstheme="majorHAnsi"/>
        </w:rPr>
        <w:t xml:space="preserve">ommunist </w:t>
      </w:r>
      <w:r w:rsidR="00106D08" w:rsidRPr="00111C3B">
        <w:rPr>
          <w:rFonts w:asciiTheme="majorHAnsi" w:hAnsiTheme="majorHAnsi" w:cstheme="majorHAnsi"/>
        </w:rPr>
        <w:t>P</w:t>
      </w:r>
      <w:r w:rsidR="003058E8" w:rsidRPr="00111C3B">
        <w:rPr>
          <w:rFonts w:asciiTheme="majorHAnsi" w:hAnsiTheme="majorHAnsi" w:cstheme="majorHAnsi"/>
        </w:rPr>
        <w:t xml:space="preserve">arty that comes in at </w:t>
      </w:r>
      <w:r w:rsidR="00AD360C" w:rsidRPr="00111C3B">
        <w:rPr>
          <w:rFonts w:asciiTheme="majorHAnsi" w:hAnsiTheme="majorHAnsi" w:cstheme="majorHAnsi"/>
        </w:rPr>
        <w:t>just under one per cent, an organisation that is not usually associated with protests</w:t>
      </w:r>
      <w:r w:rsidR="001E2EB3" w:rsidRPr="00111C3B">
        <w:rPr>
          <w:rStyle w:val="FootnoteReference"/>
          <w:rFonts w:asciiTheme="majorHAnsi" w:hAnsiTheme="majorHAnsi" w:cstheme="majorHAnsi"/>
        </w:rPr>
        <w:footnoteReference w:id="67"/>
      </w:r>
      <w:r w:rsidR="00AD360C" w:rsidRPr="00111C3B">
        <w:rPr>
          <w:rFonts w:asciiTheme="majorHAnsi" w:hAnsiTheme="majorHAnsi" w:cstheme="majorHAnsi"/>
        </w:rPr>
        <w:t xml:space="preserve">. </w:t>
      </w:r>
      <w:r w:rsidR="00AD2CBC" w:rsidRPr="00111C3B">
        <w:rPr>
          <w:rFonts w:asciiTheme="majorHAnsi" w:hAnsiTheme="majorHAnsi" w:cstheme="majorHAnsi"/>
        </w:rPr>
        <w:t>Dan Chen</w:t>
      </w:r>
      <w:r w:rsidR="00AD360C" w:rsidRPr="00111C3B">
        <w:rPr>
          <w:rFonts w:asciiTheme="majorHAnsi" w:hAnsiTheme="majorHAnsi" w:cstheme="majorHAnsi"/>
        </w:rPr>
        <w:t xml:space="preserve"> writing on the notion of protest within authoritarian regimes such as China, public protest can be perceived by foreign powers as dissatisfaction with authoritarian state and weakens its grip on power</w:t>
      </w:r>
      <w:r w:rsidR="001E2EB3" w:rsidRPr="00111C3B">
        <w:rPr>
          <w:rStyle w:val="FootnoteReference"/>
          <w:rFonts w:asciiTheme="majorHAnsi" w:hAnsiTheme="majorHAnsi" w:cstheme="majorHAnsi"/>
        </w:rPr>
        <w:footnoteReference w:id="68"/>
      </w:r>
      <w:r w:rsidR="00AD360C" w:rsidRPr="00111C3B">
        <w:rPr>
          <w:rFonts w:asciiTheme="majorHAnsi" w:hAnsiTheme="majorHAnsi" w:cstheme="majorHAnsi"/>
        </w:rPr>
        <w:t xml:space="preserve">. Yes, there have been protests </w:t>
      </w:r>
      <w:r w:rsidR="00AD2CBC" w:rsidRPr="00111C3B">
        <w:rPr>
          <w:rFonts w:asciiTheme="majorHAnsi" w:hAnsiTheme="majorHAnsi" w:cstheme="majorHAnsi"/>
        </w:rPr>
        <w:t xml:space="preserve">surrounding </w:t>
      </w:r>
      <w:r w:rsidR="00AD360C" w:rsidRPr="00111C3B">
        <w:rPr>
          <w:rFonts w:asciiTheme="majorHAnsi" w:hAnsiTheme="majorHAnsi" w:cstheme="majorHAnsi"/>
        </w:rPr>
        <w:t>Communist Party, but not directly against them. The political context of protests in the 1990s which this data reflects is mainly focussed on rural China</w:t>
      </w:r>
      <w:r w:rsidR="00AD2CBC" w:rsidRPr="00111C3B">
        <w:rPr>
          <w:rStyle w:val="FootnoteReference"/>
          <w:rFonts w:asciiTheme="majorHAnsi" w:hAnsiTheme="majorHAnsi" w:cstheme="majorHAnsi"/>
        </w:rPr>
        <w:footnoteReference w:id="69"/>
      </w:r>
      <w:r w:rsidR="00AD360C" w:rsidRPr="00111C3B">
        <w:rPr>
          <w:rFonts w:asciiTheme="majorHAnsi" w:hAnsiTheme="majorHAnsi" w:cstheme="majorHAnsi"/>
        </w:rPr>
        <w:t xml:space="preserve">. Small villages </w:t>
      </w:r>
      <w:r w:rsidR="0030383E" w:rsidRPr="00111C3B">
        <w:rPr>
          <w:rFonts w:asciiTheme="majorHAnsi" w:hAnsiTheme="majorHAnsi" w:cstheme="majorHAnsi"/>
        </w:rPr>
        <w:t>protested</w:t>
      </w:r>
      <w:r w:rsidR="00387586" w:rsidRPr="00111C3B">
        <w:rPr>
          <w:rFonts w:asciiTheme="majorHAnsi" w:hAnsiTheme="majorHAnsi" w:cstheme="majorHAnsi"/>
        </w:rPr>
        <w:t xml:space="preserve"> officials</w:t>
      </w:r>
      <w:r w:rsidR="00AD360C" w:rsidRPr="00111C3B">
        <w:rPr>
          <w:rFonts w:asciiTheme="majorHAnsi" w:hAnsiTheme="majorHAnsi" w:cstheme="majorHAnsi"/>
        </w:rPr>
        <w:t xml:space="preserve"> appointed by the party who failed to deliver services, perceived to be corrupt</w:t>
      </w:r>
      <w:r w:rsidR="00AD2CBC" w:rsidRPr="00111C3B">
        <w:rPr>
          <w:rStyle w:val="FootnoteReference"/>
          <w:rFonts w:asciiTheme="majorHAnsi" w:hAnsiTheme="majorHAnsi" w:cstheme="majorHAnsi"/>
        </w:rPr>
        <w:footnoteReference w:id="70"/>
      </w:r>
      <w:r w:rsidR="00AD360C" w:rsidRPr="00111C3B">
        <w:rPr>
          <w:rFonts w:asciiTheme="majorHAnsi" w:hAnsiTheme="majorHAnsi" w:cstheme="majorHAnsi"/>
        </w:rPr>
        <w:t xml:space="preserve">. The protests were against officials, not the party. The data demonstrate that other respondents </w:t>
      </w:r>
      <w:r w:rsidR="00AD2CBC" w:rsidRPr="00111C3B">
        <w:rPr>
          <w:rFonts w:asciiTheme="majorHAnsi" w:hAnsiTheme="majorHAnsi" w:cstheme="majorHAnsi"/>
        </w:rPr>
        <w:t>did</w:t>
      </w:r>
      <w:r w:rsidR="00AD360C" w:rsidRPr="00111C3B">
        <w:rPr>
          <w:rFonts w:asciiTheme="majorHAnsi" w:hAnsiTheme="majorHAnsi" w:cstheme="majorHAnsi"/>
        </w:rPr>
        <w:t xml:space="preserve"> not </w:t>
      </w:r>
      <w:r w:rsidR="00AD2CBC" w:rsidRPr="00111C3B">
        <w:rPr>
          <w:rFonts w:asciiTheme="majorHAnsi" w:hAnsiTheme="majorHAnsi" w:cstheme="majorHAnsi"/>
        </w:rPr>
        <w:t xml:space="preserve">take part in </w:t>
      </w:r>
      <w:r w:rsidR="00AD360C" w:rsidRPr="00111C3B">
        <w:rPr>
          <w:rFonts w:asciiTheme="majorHAnsi" w:hAnsiTheme="majorHAnsi" w:cstheme="majorHAnsi"/>
        </w:rPr>
        <w:t>protest</w:t>
      </w:r>
      <w:r w:rsidR="00AD2CBC" w:rsidRPr="00111C3B">
        <w:rPr>
          <w:rFonts w:asciiTheme="majorHAnsi" w:hAnsiTheme="majorHAnsi" w:cstheme="majorHAnsi"/>
        </w:rPr>
        <w:t>s</w:t>
      </w:r>
      <w:r w:rsidR="00AD2CBC" w:rsidRPr="00111C3B">
        <w:rPr>
          <w:rStyle w:val="FootnoteReference"/>
          <w:rFonts w:asciiTheme="majorHAnsi" w:hAnsiTheme="majorHAnsi" w:cstheme="majorHAnsi"/>
        </w:rPr>
        <w:footnoteReference w:id="71"/>
      </w:r>
      <w:r w:rsidR="00AD360C" w:rsidRPr="00111C3B">
        <w:rPr>
          <w:rFonts w:asciiTheme="majorHAnsi" w:hAnsiTheme="majorHAnsi" w:cstheme="majorHAnsi"/>
        </w:rPr>
        <w:t>. Now each organisation mentioned do not just represent their members. They also represent the state and are required to further the states cause, the mission of the party</w:t>
      </w:r>
      <w:r w:rsidR="00AD2CBC" w:rsidRPr="00111C3B">
        <w:rPr>
          <w:rStyle w:val="FootnoteReference"/>
          <w:rFonts w:asciiTheme="majorHAnsi" w:hAnsiTheme="majorHAnsi" w:cstheme="majorHAnsi"/>
        </w:rPr>
        <w:footnoteReference w:id="72"/>
      </w:r>
      <w:r w:rsidR="00AD360C" w:rsidRPr="00111C3B">
        <w:rPr>
          <w:rFonts w:asciiTheme="majorHAnsi" w:hAnsiTheme="majorHAnsi" w:cstheme="majorHAnsi"/>
        </w:rPr>
        <w:t>. As such they are encouraged to exert internal control, negotiating between members, and their bosses to achieve a compromise</w:t>
      </w:r>
      <w:r w:rsidR="003306D0" w:rsidRPr="00111C3B">
        <w:rPr>
          <w:rStyle w:val="FootnoteReference"/>
          <w:rFonts w:asciiTheme="majorHAnsi" w:hAnsiTheme="majorHAnsi" w:cstheme="majorHAnsi"/>
        </w:rPr>
        <w:footnoteReference w:id="73"/>
      </w:r>
      <w:r w:rsidR="00AD360C" w:rsidRPr="00111C3B">
        <w:rPr>
          <w:rFonts w:asciiTheme="majorHAnsi" w:hAnsiTheme="majorHAnsi" w:cstheme="majorHAnsi"/>
        </w:rPr>
        <w:t>. The aim is to prevent public protest so that there is no perception with dissatisfaction with the regime.</w:t>
      </w:r>
    </w:p>
    <w:p w14:paraId="23C0EDC2" w14:textId="5EDF0511" w:rsidR="00AD360C" w:rsidRPr="00111C3B" w:rsidRDefault="00BA089E" w:rsidP="00480C87">
      <w:pPr>
        <w:rPr>
          <w:rFonts w:asciiTheme="majorHAnsi" w:hAnsiTheme="majorHAnsi" w:cstheme="majorHAnsi"/>
        </w:rPr>
      </w:pPr>
      <w:r w:rsidRPr="00111C3B">
        <w:rPr>
          <w:rFonts w:asciiTheme="majorHAnsi" w:hAnsiTheme="majorHAnsi" w:cstheme="majorHAnsi"/>
        </w:rPr>
        <w:t xml:space="preserve">It is evident by the data presented by Gang that certain organisations that are represented in this study, by their nature do impinge upon political participation. Whereas organisation may promote interaction with the state organs, the implicit control of the state limits to how far such interactions can go. Instead, they go as far as to be actively </w:t>
      </w:r>
      <w:r w:rsidR="00106D08" w:rsidRPr="00111C3B">
        <w:rPr>
          <w:rFonts w:asciiTheme="majorHAnsi" w:hAnsiTheme="majorHAnsi" w:cstheme="majorHAnsi"/>
        </w:rPr>
        <w:t>addressed matters of concern</w:t>
      </w:r>
      <w:r w:rsidRPr="00111C3B">
        <w:rPr>
          <w:rFonts w:asciiTheme="majorHAnsi" w:hAnsiTheme="majorHAnsi" w:cstheme="majorHAnsi"/>
        </w:rPr>
        <w:t>, but not in public. Depending on the organisation</w:t>
      </w:r>
      <w:r w:rsidR="00106D08" w:rsidRPr="00111C3B">
        <w:rPr>
          <w:rFonts w:asciiTheme="majorHAnsi" w:hAnsiTheme="majorHAnsi" w:cstheme="majorHAnsi"/>
        </w:rPr>
        <w:t>,</w:t>
      </w:r>
      <w:r w:rsidRPr="00111C3B">
        <w:rPr>
          <w:rFonts w:asciiTheme="majorHAnsi" w:hAnsiTheme="majorHAnsi" w:cstheme="majorHAnsi"/>
        </w:rPr>
        <w:t xml:space="preserve"> the member is permitted to take part, but how they do so is determined by their organisation and controlled externally by the Communist Party. It leads to the conclusion that the populace who belong to an organisation can freely interact and deal with their leadership and organisations, and through them can achieve political change, yet are prevented from showing any public dissatisfaction that may weaken the control of the state.</w:t>
      </w:r>
    </w:p>
    <w:p w14:paraId="3B6DE8D8" w14:textId="77777777" w:rsidR="00930E86" w:rsidRPr="00111C3B" w:rsidRDefault="00930E86" w:rsidP="00480C87">
      <w:pPr>
        <w:rPr>
          <w:rFonts w:asciiTheme="majorHAnsi" w:hAnsiTheme="majorHAnsi" w:cstheme="majorHAnsi"/>
        </w:rPr>
      </w:pPr>
    </w:p>
    <w:p w14:paraId="028A773F" w14:textId="09E0FD87" w:rsidR="00930E86" w:rsidRPr="00111C3B" w:rsidRDefault="00930E86" w:rsidP="00480C87">
      <w:pPr>
        <w:rPr>
          <w:rFonts w:asciiTheme="majorHAnsi" w:hAnsiTheme="majorHAnsi" w:cstheme="majorHAnsi"/>
          <w:u w:val="single"/>
        </w:rPr>
      </w:pPr>
      <w:r w:rsidRPr="00111C3B">
        <w:rPr>
          <w:rFonts w:asciiTheme="majorHAnsi" w:hAnsiTheme="majorHAnsi" w:cstheme="majorHAnsi"/>
          <w:u w:val="single"/>
        </w:rPr>
        <w:t>Bibliography:</w:t>
      </w:r>
    </w:p>
    <w:p w14:paraId="176AE396" w14:textId="3691D3FC" w:rsidR="00670F78" w:rsidRPr="00111C3B" w:rsidRDefault="00670F78" w:rsidP="00480C87">
      <w:pPr>
        <w:rPr>
          <w:rFonts w:asciiTheme="majorHAnsi" w:hAnsiTheme="majorHAnsi" w:cstheme="majorHAnsi"/>
          <w:u w:val="single"/>
        </w:rPr>
      </w:pPr>
      <w:r w:rsidRPr="00111C3B">
        <w:rPr>
          <w:rFonts w:asciiTheme="majorHAnsi" w:hAnsiTheme="majorHAnsi" w:cstheme="majorHAnsi"/>
        </w:rPr>
        <w:t>P. Alan, and L. Liu, ‘Opinions and Attitudes of Youth in the People's Republic of China’,</w:t>
      </w:r>
      <w:r w:rsidRPr="00111C3B">
        <w:rPr>
          <w:rFonts w:asciiTheme="majorHAnsi" w:hAnsiTheme="majorHAnsi" w:cstheme="majorHAnsi"/>
          <w:i/>
        </w:rPr>
        <w:t xml:space="preserve"> Asian Survey, Vol. 24, No. 9 </w:t>
      </w:r>
      <w:r w:rsidRPr="00111C3B">
        <w:rPr>
          <w:rFonts w:asciiTheme="majorHAnsi" w:hAnsiTheme="majorHAnsi" w:cstheme="majorHAnsi"/>
        </w:rPr>
        <w:t>(1984),</w:t>
      </w:r>
      <w:r w:rsidRPr="00111C3B">
        <w:rPr>
          <w:rFonts w:asciiTheme="majorHAnsi" w:hAnsiTheme="majorHAnsi" w:cstheme="majorHAnsi"/>
          <w:i/>
        </w:rPr>
        <w:t xml:space="preserve"> </w:t>
      </w:r>
      <w:r w:rsidRPr="00111C3B">
        <w:rPr>
          <w:rFonts w:asciiTheme="majorHAnsi" w:hAnsiTheme="majorHAnsi" w:cstheme="majorHAnsi"/>
        </w:rPr>
        <w:t xml:space="preserve">pp. 975-996. </w:t>
      </w:r>
    </w:p>
    <w:p w14:paraId="626797B1" w14:textId="6F0DD1AE" w:rsidR="008F457A" w:rsidRPr="00111C3B" w:rsidRDefault="008F457A" w:rsidP="00480C87">
      <w:pPr>
        <w:rPr>
          <w:rFonts w:asciiTheme="majorHAnsi" w:hAnsiTheme="majorHAnsi" w:cstheme="majorHAnsi"/>
        </w:rPr>
      </w:pPr>
      <w:r w:rsidRPr="00111C3B">
        <w:rPr>
          <w:rFonts w:asciiTheme="majorHAnsi" w:hAnsiTheme="majorHAnsi" w:cstheme="majorHAnsi"/>
        </w:rPr>
        <w:t xml:space="preserve">N. Collins, and A. </w:t>
      </w:r>
      <w:proofErr w:type="spellStart"/>
      <w:r w:rsidRPr="00111C3B">
        <w:rPr>
          <w:rFonts w:asciiTheme="majorHAnsi" w:hAnsiTheme="majorHAnsi" w:cstheme="majorHAnsi"/>
        </w:rPr>
        <w:t>Cottey</w:t>
      </w:r>
      <w:proofErr w:type="spellEnd"/>
      <w:r w:rsidRPr="00111C3B">
        <w:rPr>
          <w:rFonts w:asciiTheme="majorHAnsi" w:hAnsiTheme="majorHAnsi" w:cstheme="majorHAnsi"/>
        </w:rPr>
        <w:t xml:space="preserve">, </w:t>
      </w:r>
      <w:r w:rsidRPr="00111C3B">
        <w:rPr>
          <w:rFonts w:asciiTheme="majorHAnsi" w:hAnsiTheme="majorHAnsi" w:cstheme="majorHAnsi"/>
          <w:i/>
        </w:rPr>
        <w:t>Understanding Chinese Politics: An Introduction to Government in The People Republic of China</w:t>
      </w:r>
      <w:r w:rsidRPr="00111C3B">
        <w:rPr>
          <w:rFonts w:asciiTheme="majorHAnsi" w:hAnsiTheme="majorHAnsi" w:cstheme="majorHAnsi"/>
        </w:rPr>
        <w:t>, (Manchester: Manchester University Press, 2012</w:t>
      </w:r>
      <w:r w:rsidR="002F6021" w:rsidRPr="00111C3B">
        <w:rPr>
          <w:rFonts w:asciiTheme="majorHAnsi" w:hAnsiTheme="majorHAnsi" w:cstheme="majorHAnsi"/>
        </w:rPr>
        <w:t>)</w:t>
      </w:r>
    </w:p>
    <w:p w14:paraId="0031FB53" w14:textId="6B7693A6" w:rsidR="002F6021" w:rsidRPr="00111C3B" w:rsidRDefault="002F6021" w:rsidP="00480C87">
      <w:pPr>
        <w:rPr>
          <w:rFonts w:asciiTheme="majorHAnsi" w:hAnsiTheme="majorHAnsi" w:cstheme="majorHAnsi"/>
          <w:u w:val="single"/>
        </w:rPr>
      </w:pPr>
      <w:r w:rsidRPr="00111C3B">
        <w:rPr>
          <w:rFonts w:asciiTheme="majorHAnsi" w:hAnsiTheme="majorHAnsi" w:cstheme="majorHAnsi"/>
        </w:rPr>
        <w:lastRenderedPageBreak/>
        <w:t>D. Chen</w:t>
      </w:r>
      <w:r w:rsidRPr="00111C3B">
        <w:rPr>
          <w:rFonts w:asciiTheme="majorHAnsi" w:hAnsiTheme="majorHAnsi" w:cstheme="majorHAnsi"/>
          <w:i/>
        </w:rPr>
        <w:t>, ‘</w:t>
      </w:r>
      <w:r w:rsidRPr="00111C3B">
        <w:rPr>
          <w:rFonts w:asciiTheme="majorHAnsi" w:hAnsiTheme="majorHAnsi" w:cstheme="majorHAnsi"/>
        </w:rPr>
        <w:t>Local Distrust and Regime Support: Sources and Effects of Political Trust in China’</w:t>
      </w:r>
      <w:r w:rsidRPr="00111C3B">
        <w:rPr>
          <w:rFonts w:asciiTheme="majorHAnsi" w:hAnsiTheme="majorHAnsi" w:cstheme="majorHAnsi"/>
          <w:i/>
        </w:rPr>
        <w:t xml:space="preserve">, Political Research Quarterly, Vol. 70, No. 2 </w:t>
      </w:r>
      <w:r w:rsidRPr="00111C3B">
        <w:rPr>
          <w:rFonts w:asciiTheme="majorHAnsi" w:hAnsiTheme="majorHAnsi" w:cstheme="majorHAnsi"/>
        </w:rPr>
        <w:t>(2017)</w:t>
      </w:r>
      <w:r w:rsidRPr="00111C3B">
        <w:rPr>
          <w:rFonts w:asciiTheme="majorHAnsi" w:hAnsiTheme="majorHAnsi" w:cstheme="majorHAnsi"/>
          <w:i/>
        </w:rPr>
        <w:t xml:space="preserve">, </w:t>
      </w:r>
      <w:r w:rsidRPr="00111C3B">
        <w:rPr>
          <w:rFonts w:asciiTheme="majorHAnsi" w:hAnsiTheme="majorHAnsi" w:cstheme="majorHAnsi"/>
          <w:color w:val="333333"/>
        </w:rPr>
        <w:t xml:space="preserve">pp. 314-326. </w:t>
      </w:r>
    </w:p>
    <w:p w14:paraId="14406641" w14:textId="1839D1E2" w:rsidR="00A5524A" w:rsidRPr="00111C3B" w:rsidRDefault="00A5524A" w:rsidP="00480C87">
      <w:pPr>
        <w:rPr>
          <w:rFonts w:asciiTheme="majorHAnsi" w:hAnsiTheme="majorHAnsi" w:cstheme="majorHAnsi"/>
        </w:rPr>
      </w:pPr>
      <w:r w:rsidRPr="00111C3B">
        <w:rPr>
          <w:rFonts w:asciiTheme="majorHAnsi" w:hAnsiTheme="majorHAnsi" w:cstheme="majorHAnsi"/>
        </w:rPr>
        <w:t xml:space="preserve">Feng Chen, ‘Trade Unions and the Quadripartite Interactions in Strike Settlement in China’, </w:t>
      </w:r>
      <w:r w:rsidRPr="00111C3B">
        <w:rPr>
          <w:rFonts w:asciiTheme="majorHAnsi" w:hAnsiTheme="majorHAnsi" w:cstheme="majorHAnsi"/>
          <w:i/>
        </w:rPr>
        <w:t xml:space="preserve">The China Quarterly, No. 201 </w:t>
      </w:r>
      <w:r w:rsidRPr="00111C3B">
        <w:rPr>
          <w:rFonts w:asciiTheme="majorHAnsi" w:hAnsiTheme="majorHAnsi" w:cstheme="majorHAnsi"/>
        </w:rPr>
        <w:t>(2010),</w:t>
      </w:r>
      <w:r w:rsidRPr="00111C3B">
        <w:rPr>
          <w:rFonts w:asciiTheme="majorHAnsi" w:hAnsiTheme="majorHAnsi" w:cstheme="majorHAnsi"/>
          <w:sz w:val="20"/>
          <w:szCs w:val="20"/>
        </w:rPr>
        <w:t xml:space="preserve"> </w:t>
      </w:r>
      <w:r w:rsidRPr="00111C3B">
        <w:rPr>
          <w:rFonts w:asciiTheme="majorHAnsi" w:hAnsiTheme="majorHAnsi" w:cstheme="majorHAnsi"/>
          <w:color w:val="333333"/>
          <w:sz w:val="20"/>
          <w:szCs w:val="20"/>
        </w:rPr>
        <w:t xml:space="preserve">pp. 104-124. </w:t>
      </w:r>
    </w:p>
    <w:p w14:paraId="7E224D53" w14:textId="77777777" w:rsidR="008F457A" w:rsidRPr="00111C3B" w:rsidRDefault="008F457A" w:rsidP="008F457A">
      <w:pPr>
        <w:rPr>
          <w:rFonts w:asciiTheme="majorHAnsi" w:hAnsiTheme="majorHAnsi" w:cstheme="majorHAnsi"/>
        </w:rPr>
      </w:pPr>
      <w:r w:rsidRPr="00111C3B">
        <w:rPr>
          <w:rFonts w:asciiTheme="majorHAnsi" w:hAnsiTheme="majorHAnsi" w:cstheme="majorHAnsi"/>
        </w:rPr>
        <w:t xml:space="preserve">J. D. Fowler, </w:t>
      </w:r>
      <w:r w:rsidRPr="00111C3B">
        <w:rPr>
          <w:rFonts w:asciiTheme="majorHAnsi" w:hAnsiTheme="majorHAnsi" w:cstheme="majorHAnsi"/>
          <w:i/>
        </w:rPr>
        <w:t>Chinese Religions: Beliefs and Customs</w:t>
      </w:r>
      <w:r w:rsidRPr="00111C3B">
        <w:rPr>
          <w:rFonts w:asciiTheme="majorHAnsi" w:hAnsiTheme="majorHAnsi" w:cstheme="majorHAnsi"/>
        </w:rPr>
        <w:t xml:space="preserve">, (Sussex: Sussex Academic Press, 2007) </w:t>
      </w:r>
    </w:p>
    <w:p w14:paraId="150D5806" w14:textId="7384AE34" w:rsidR="00930E86" w:rsidRPr="00111C3B" w:rsidRDefault="00CD7A68" w:rsidP="00480C87">
      <w:pPr>
        <w:rPr>
          <w:rFonts w:asciiTheme="majorHAnsi" w:hAnsiTheme="majorHAnsi" w:cstheme="majorHAnsi"/>
        </w:rPr>
      </w:pPr>
      <w:r w:rsidRPr="00111C3B">
        <w:rPr>
          <w:rFonts w:asciiTheme="majorHAnsi" w:hAnsiTheme="majorHAnsi" w:cstheme="majorHAnsi"/>
        </w:rPr>
        <w:t xml:space="preserve">G. Guo, </w:t>
      </w:r>
      <w:r w:rsidRPr="00111C3B">
        <w:rPr>
          <w:rFonts w:asciiTheme="majorHAnsi" w:hAnsiTheme="majorHAnsi" w:cstheme="majorHAnsi"/>
          <w:i/>
        </w:rPr>
        <w:t>Organizational Involvement and Political Participation in China</w:t>
      </w:r>
      <w:r w:rsidRPr="00111C3B">
        <w:rPr>
          <w:rFonts w:asciiTheme="majorHAnsi" w:hAnsiTheme="majorHAnsi" w:cstheme="majorHAnsi"/>
        </w:rPr>
        <w:t>, (Michigan: Michigan University Press, 1997)</w:t>
      </w:r>
    </w:p>
    <w:p w14:paraId="441BE538" w14:textId="3F9F2F0D" w:rsidR="008A6937" w:rsidRPr="00111C3B" w:rsidRDefault="008A6937" w:rsidP="00480C87">
      <w:pPr>
        <w:rPr>
          <w:rFonts w:asciiTheme="majorHAnsi" w:hAnsiTheme="majorHAnsi" w:cstheme="majorHAnsi"/>
        </w:rPr>
      </w:pPr>
      <w:r w:rsidRPr="00111C3B">
        <w:rPr>
          <w:rFonts w:asciiTheme="majorHAnsi" w:hAnsiTheme="majorHAnsi" w:cstheme="majorHAnsi"/>
          <w:i/>
        </w:rPr>
        <w:t>S. Heilmann, ‘From Local Experiments to National Policy: The Origins of China's Distinctive Policy Process’, The China Journal, No. 59 (2008),</w:t>
      </w:r>
      <w:r w:rsidRPr="00111C3B">
        <w:rPr>
          <w:rFonts w:asciiTheme="majorHAnsi" w:hAnsiTheme="majorHAnsi" w:cstheme="majorHAnsi"/>
        </w:rPr>
        <w:t xml:space="preserve"> pp. 1-</w:t>
      </w:r>
      <w:r w:rsidR="00670F78" w:rsidRPr="00111C3B">
        <w:rPr>
          <w:rFonts w:asciiTheme="majorHAnsi" w:hAnsiTheme="majorHAnsi" w:cstheme="majorHAnsi"/>
        </w:rPr>
        <w:t>30</w:t>
      </w:r>
      <w:r w:rsidR="00111C3B" w:rsidRPr="00111C3B">
        <w:rPr>
          <w:rFonts w:asciiTheme="majorHAnsi" w:hAnsiTheme="majorHAnsi" w:cstheme="majorHAnsi"/>
        </w:rPr>
        <w:t>.</w:t>
      </w:r>
    </w:p>
    <w:p w14:paraId="3CF1C906" w14:textId="0CCB409A" w:rsidR="008F457A" w:rsidRPr="00111C3B" w:rsidRDefault="008F457A" w:rsidP="00480C87">
      <w:pPr>
        <w:rPr>
          <w:rFonts w:asciiTheme="majorHAnsi" w:hAnsiTheme="majorHAnsi" w:cstheme="majorHAnsi"/>
          <w:color w:val="333333"/>
          <w:sz w:val="18"/>
          <w:szCs w:val="18"/>
        </w:rPr>
      </w:pPr>
      <w:r w:rsidRPr="00111C3B">
        <w:rPr>
          <w:rFonts w:asciiTheme="majorHAnsi" w:hAnsiTheme="majorHAnsi" w:cstheme="majorHAnsi"/>
        </w:rPr>
        <w:t xml:space="preserve">Jiang </w:t>
      </w:r>
      <w:proofErr w:type="spellStart"/>
      <w:r w:rsidRPr="00111C3B">
        <w:rPr>
          <w:rFonts w:asciiTheme="majorHAnsi" w:hAnsiTheme="majorHAnsi" w:cstheme="majorHAnsi"/>
        </w:rPr>
        <w:t>Shigong</w:t>
      </w:r>
      <w:proofErr w:type="spellEnd"/>
      <w:r w:rsidRPr="00111C3B">
        <w:rPr>
          <w:rFonts w:asciiTheme="majorHAnsi" w:hAnsiTheme="majorHAnsi" w:cstheme="majorHAnsi"/>
        </w:rPr>
        <w:t xml:space="preserve">, ‘Chinese-Style Constitutionalism: On Backer's Chinese Party-State Constitutionalism’, </w:t>
      </w:r>
      <w:r w:rsidRPr="00111C3B">
        <w:rPr>
          <w:rFonts w:asciiTheme="majorHAnsi" w:hAnsiTheme="majorHAnsi" w:cstheme="majorHAnsi"/>
          <w:i/>
        </w:rPr>
        <w:t>Modern China, Vol. 40, No. 2, Special Issue: The Basis for the Legitimacy of the Chinese Political System: Whence and Whither? Dialogues among Western and Chinese Scholars, VII</w:t>
      </w:r>
      <w:r w:rsidRPr="00111C3B">
        <w:rPr>
          <w:rFonts w:asciiTheme="majorHAnsi" w:hAnsiTheme="majorHAnsi" w:cstheme="majorHAnsi"/>
        </w:rPr>
        <w:t xml:space="preserve"> (2014), </w:t>
      </w:r>
      <w:r w:rsidR="008A6937" w:rsidRPr="00111C3B">
        <w:rPr>
          <w:rFonts w:asciiTheme="majorHAnsi" w:hAnsiTheme="majorHAnsi" w:cstheme="majorHAnsi"/>
          <w:color w:val="333333"/>
          <w:sz w:val="18"/>
          <w:szCs w:val="18"/>
        </w:rPr>
        <w:t xml:space="preserve">pp. 133-167. </w:t>
      </w:r>
    </w:p>
    <w:p w14:paraId="6C7A1BE0" w14:textId="405BCB31" w:rsidR="008A6937" w:rsidRPr="00111C3B" w:rsidRDefault="008A6937" w:rsidP="00480C87">
      <w:pPr>
        <w:rPr>
          <w:rFonts w:asciiTheme="majorHAnsi" w:hAnsiTheme="majorHAnsi" w:cstheme="majorHAnsi"/>
        </w:rPr>
      </w:pPr>
      <w:r w:rsidRPr="00111C3B">
        <w:rPr>
          <w:rFonts w:asciiTheme="majorHAnsi" w:hAnsiTheme="majorHAnsi" w:cstheme="majorHAnsi"/>
        </w:rPr>
        <w:t xml:space="preserve">A. Mertha, A. C, </w:t>
      </w:r>
      <w:r w:rsidRPr="00111C3B">
        <w:rPr>
          <w:rFonts w:asciiTheme="majorHAnsi" w:hAnsiTheme="majorHAnsi" w:cstheme="majorHAnsi"/>
          <w:i/>
        </w:rPr>
        <w:t>China’s Water Warriors: Citizen Action and Policy Change</w:t>
      </w:r>
      <w:r w:rsidRPr="00111C3B">
        <w:rPr>
          <w:rFonts w:asciiTheme="majorHAnsi" w:hAnsiTheme="majorHAnsi" w:cstheme="majorHAnsi"/>
        </w:rPr>
        <w:t xml:space="preserve">, (Ithaca: Cornell University Press, 2008) </w:t>
      </w:r>
    </w:p>
    <w:p w14:paraId="1C8EF404" w14:textId="5AD87772" w:rsidR="00526965" w:rsidRPr="00111C3B" w:rsidRDefault="00526965" w:rsidP="00480C87">
      <w:pPr>
        <w:rPr>
          <w:rFonts w:asciiTheme="majorHAnsi" w:hAnsiTheme="majorHAnsi" w:cstheme="majorHAnsi"/>
        </w:rPr>
      </w:pPr>
      <w:r w:rsidRPr="00111C3B">
        <w:rPr>
          <w:rFonts w:asciiTheme="majorHAnsi" w:hAnsiTheme="majorHAnsi" w:cstheme="majorHAnsi"/>
        </w:rPr>
        <w:t xml:space="preserve">Morgan, R. M. and S. D. Hunt, 1994, 'The Commitment-Trust Theory of Relationship Marketing’, </w:t>
      </w:r>
      <w:r w:rsidRPr="00111C3B">
        <w:rPr>
          <w:rFonts w:asciiTheme="majorHAnsi" w:hAnsiTheme="majorHAnsi" w:cstheme="majorHAnsi"/>
          <w:i/>
        </w:rPr>
        <w:t xml:space="preserve">Journal of Marketing 58 </w:t>
      </w:r>
      <w:r w:rsidRPr="00111C3B">
        <w:rPr>
          <w:rFonts w:asciiTheme="majorHAnsi" w:hAnsiTheme="majorHAnsi" w:cstheme="majorHAnsi"/>
        </w:rPr>
        <w:t xml:space="preserve">(1994), pp. 20-38. </w:t>
      </w:r>
    </w:p>
    <w:p w14:paraId="09A91E8F" w14:textId="608E874A" w:rsidR="00A5524A" w:rsidRPr="00111C3B" w:rsidRDefault="00A5524A" w:rsidP="00480C87">
      <w:pPr>
        <w:rPr>
          <w:rFonts w:asciiTheme="majorHAnsi" w:hAnsiTheme="majorHAnsi" w:cstheme="majorHAnsi"/>
        </w:rPr>
      </w:pPr>
      <w:r w:rsidRPr="00111C3B">
        <w:rPr>
          <w:rFonts w:asciiTheme="majorHAnsi" w:hAnsiTheme="majorHAnsi" w:cstheme="majorHAnsi"/>
        </w:rPr>
        <w:t xml:space="preserve">R. Morris, ‘Trade Unions in Contemporary China’, </w:t>
      </w:r>
      <w:r w:rsidRPr="00111C3B">
        <w:rPr>
          <w:rFonts w:asciiTheme="majorHAnsi" w:hAnsiTheme="majorHAnsi" w:cstheme="majorHAnsi"/>
          <w:i/>
        </w:rPr>
        <w:t>The Australian Journal of Chinese Affairs, No. 13</w:t>
      </w:r>
      <w:r w:rsidRPr="00111C3B">
        <w:rPr>
          <w:rFonts w:asciiTheme="majorHAnsi" w:hAnsiTheme="majorHAnsi" w:cstheme="majorHAnsi"/>
        </w:rPr>
        <w:t xml:space="preserve"> (1985), pp. 51-67.  </w:t>
      </w:r>
    </w:p>
    <w:p w14:paraId="238D4C32" w14:textId="05C23C41" w:rsidR="008F457A" w:rsidRPr="00111C3B" w:rsidRDefault="008F457A" w:rsidP="00480C87">
      <w:pPr>
        <w:rPr>
          <w:rFonts w:asciiTheme="majorHAnsi" w:hAnsiTheme="majorHAnsi" w:cstheme="majorHAnsi"/>
        </w:rPr>
      </w:pPr>
      <w:r w:rsidRPr="00111C3B">
        <w:rPr>
          <w:rFonts w:asciiTheme="majorHAnsi" w:hAnsiTheme="majorHAnsi" w:cstheme="majorHAnsi"/>
        </w:rPr>
        <w:t xml:space="preserve">S. Guo, </w:t>
      </w:r>
      <w:r w:rsidRPr="00111C3B">
        <w:rPr>
          <w:rFonts w:asciiTheme="majorHAnsi" w:hAnsiTheme="majorHAnsi" w:cstheme="majorHAnsi"/>
          <w:i/>
        </w:rPr>
        <w:t>Chinese Politics and Government: Power, ideology and Organisation</w:t>
      </w:r>
      <w:r w:rsidRPr="00111C3B">
        <w:rPr>
          <w:rFonts w:asciiTheme="majorHAnsi" w:hAnsiTheme="majorHAnsi" w:cstheme="majorHAnsi"/>
        </w:rPr>
        <w:t>, (Abingdon: Routledge, 2013</w:t>
      </w:r>
      <w:r w:rsidR="0084531D" w:rsidRPr="00111C3B">
        <w:rPr>
          <w:rFonts w:asciiTheme="majorHAnsi" w:hAnsiTheme="majorHAnsi" w:cstheme="majorHAnsi"/>
        </w:rPr>
        <w:t>)</w:t>
      </w:r>
    </w:p>
    <w:p w14:paraId="078E3753" w14:textId="133FA246" w:rsidR="0084531D" w:rsidRPr="00111C3B" w:rsidRDefault="0084531D" w:rsidP="00480C87">
      <w:pPr>
        <w:rPr>
          <w:rFonts w:asciiTheme="majorHAnsi" w:hAnsiTheme="majorHAnsi" w:cstheme="majorHAnsi"/>
        </w:rPr>
      </w:pPr>
      <w:r w:rsidRPr="00111C3B">
        <w:rPr>
          <w:rFonts w:asciiTheme="majorHAnsi" w:hAnsiTheme="majorHAnsi" w:cstheme="majorHAnsi"/>
        </w:rPr>
        <w:t xml:space="preserve">S. Rosen, ‘Contemporary Chinese Youth and The State’, </w:t>
      </w:r>
      <w:r w:rsidRPr="00111C3B">
        <w:rPr>
          <w:rFonts w:asciiTheme="majorHAnsi" w:hAnsiTheme="majorHAnsi" w:cstheme="majorHAnsi"/>
          <w:i/>
        </w:rPr>
        <w:t xml:space="preserve">The Journal of Asian Studies, Vol. 68, No. 2 </w:t>
      </w:r>
      <w:r w:rsidRPr="00111C3B">
        <w:rPr>
          <w:rFonts w:asciiTheme="majorHAnsi" w:hAnsiTheme="majorHAnsi" w:cstheme="majorHAnsi"/>
        </w:rPr>
        <w:t>(2009)</w:t>
      </w:r>
      <w:r w:rsidR="00A5524A" w:rsidRPr="00111C3B">
        <w:rPr>
          <w:rFonts w:asciiTheme="majorHAnsi" w:hAnsiTheme="majorHAnsi" w:cstheme="majorHAnsi"/>
        </w:rPr>
        <w:t xml:space="preserve">, pp. 359-369. </w:t>
      </w:r>
    </w:p>
    <w:p w14:paraId="0B411E77" w14:textId="0037EDB1" w:rsidR="00056D33" w:rsidRPr="00111C3B" w:rsidRDefault="00056D33" w:rsidP="00480C87">
      <w:pPr>
        <w:rPr>
          <w:rFonts w:asciiTheme="majorHAnsi" w:hAnsiTheme="majorHAnsi" w:cstheme="majorHAnsi"/>
        </w:rPr>
      </w:pPr>
      <w:r w:rsidRPr="00111C3B">
        <w:rPr>
          <w:rFonts w:asciiTheme="majorHAnsi" w:hAnsiTheme="majorHAnsi" w:cstheme="majorHAnsi"/>
        </w:rPr>
        <w:t xml:space="preserve">J. C. Teets, ‘Let Many Civil Societies Bloom: The Rise of Consultative Authoritarianism in China’, </w:t>
      </w:r>
      <w:r w:rsidRPr="00111C3B">
        <w:rPr>
          <w:rFonts w:asciiTheme="majorHAnsi" w:hAnsiTheme="majorHAnsi" w:cstheme="majorHAnsi"/>
          <w:i/>
        </w:rPr>
        <w:t xml:space="preserve">The China Quarterly, No. 213 </w:t>
      </w:r>
      <w:r w:rsidRPr="00111C3B">
        <w:rPr>
          <w:rFonts w:asciiTheme="majorHAnsi" w:hAnsiTheme="majorHAnsi" w:cstheme="majorHAnsi"/>
        </w:rPr>
        <w:t xml:space="preserve">(2013), pp. 51-67. </w:t>
      </w:r>
    </w:p>
    <w:p w14:paraId="7CA65193" w14:textId="605FA4A8" w:rsidR="00526965" w:rsidRPr="00111C3B" w:rsidRDefault="00526965" w:rsidP="00480C87">
      <w:pPr>
        <w:rPr>
          <w:rFonts w:asciiTheme="majorHAnsi" w:hAnsiTheme="majorHAnsi" w:cstheme="majorHAnsi"/>
          <w:u w:val="single"/>
        </w:rPr>
      </w:pPr>
      <w:r w:rsidRPr="00111C3B">
        <w:rPr>
          <w:rFonts w:asciiTheme="majorHAnsi" w:hAnsiTheme="majorHAnsi" w:cstheme="majorHAnsi"/>
        </w:rPr>
        <w:t xml:space="preserve">Ying Fan, ‘Guanxi's Consequences: Personal Gains at Social Cost’, </w:t>
      </w:r>
      <w:r w:rsidRPr="00111C3B">
        <w:rPr>
          <w:rFonts w:asciiTheme="majorHAnsi" w:hAnsiTheme="majorHAnsi" w:cstheme="majorHAnsi"/>
          <w:i/>
        </w:rPr>
        <w:t>Journal of Business Ethics, Vol. 38, No. 4, International Management</w:t>
      </w:r>
      <w:r w:rsidRPr="00111C3B">
        <w:rPr>
          <w:rFonts w:asciiTheme="majorHAnsi" w:hAnsiTheme="majorHAnsi" w:cstheme="majorHAnsi"/>
        </w:rPr>
        <w:t xml:space="preserve"> (2002), pp. 51-67. </w:t>
      </w:r>
    </w:p>
    <w:p w14:paraId="3BF69122" w14:textId="238C489A" w:rsidR="00CB6E7A" w:rsidRPr="00111C3B" w:rsidRDefault="008A6937" w:rsidP="00480C87">
      <w:pPr>
        <w:rPr>
          <w:rFonts w:asciiTheme="majorHAnsi" w:hAnsiTheme="majorHAnsi" w:cstheme="majorHAnsi"/>
        </w:rPr>
      </w:pPr>
      <w:r w:rsidRPr="00111C3B">
        <w:rPr>
          <w:rFonts w:asciiTheme="majorHAnsi" w:hAnsiTheme="majorHAnsi" w:cstheme="majorHAnsi"/>
        </w:rPr>
        <w:t xml:space="preserve">S. Zheng, ‘Leadership Change, Legitimacy, and Party Transition in China’, </w:t>
      </w:r>
      <w:r w:rsidRPr="00111C3B">
        <w:rPr>
          <w:rFonts w:asciiTheme="majorHAnsi" w:hAnsiTheme="majorHAnsi" w:cstheme="majorHAnsi"/>
          <w:i/>
        </w:rPr>
        <w:t xml:space="preserve">Journal of Chinese Political Science, Vol. 8, No. 1-2 </w:t>
      </w:r>
      <w:r w:rsidRPr="00111C3B">
        <w:rPr>
          <w:rFonts w:asciiTheme="majorHAnsi" w:hAnsiTheme="majorHAnsi" w:cstheme="majorHAnsi"/>
        </w:rPr>
        <w:t>(2003),</w:t>
      </w:r>
      <w:r w:rsidRPr="00111C3B">
        <w:rPr>
          <w:rFonts w:asciiTheme="majorHAnsi" w:hAnsiTheme="majorHAnsi" w:cstheme="majorHAnsi"/>
          <w:i/>
        </w:rPr>
        <w:t xml:space="preserve"> </w:t>
      </w:r>
      <w:r w:rsidRPr="00111C3B">
        <w:rPr>
          <w:rFonts w:asciiTheme="majorHAnsi" w:hAnsiTheme="majorHAnsi" w:cstheme="majorHAnsi"/>
        </w:rPr>
        <w:t>pp. 47-63.</w:t>
      </w:r>
    </w:p>
    <w:sectPr w:rsidR="00CB6E7A" w:rsidRPr="00111C3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03581" w14:textId="77777777" w:rsidR="00F467D0" w:rsidRDefault="00F467D0" w:rsidP="00FE2AEB">
      <w:pPr>
        <w:spacing w:after="0" w:line="240" w:lineRule="auto"/>
      </w:pPr>
      <w:r>
        <w:separator/>
      </w:r>
    </w:p>
  </w:endnote>
  <w:endnote w:type="continuationSeparator" w:id="0">
    <w:p w14:paraId="7B484254" w14:textId="77777777" w:rsidR="00F467D0" w:rsidRDefault="00F467D0" w:rsidP="00FE2A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F915C3" w14:textId="77777777" w:rsidR="00F467D0" w:rsidRDefault="00F467D0" w:rsidP="00FE2AEB">
      <w:pPr>
        <w:spacing w:after="0" w:line="240" w:lineRule="auto"/>
      </w:pPr>
      <w:r>
        <w:separator/>
      </w:r>
    </w:p>
  </w:footnote>
  <w:footnote w:type="continuationSeparator" w:id="0">
    <w:p w14:paraId="6C3EA893" w14:textId="77777777" w:rsidR="00F467D0" w:rsidRDefault="00F467D0" w:rsidP="00FE2AEB">
      <w:pPr>
        <w:spacing w:after="0" w:line="240" w:lineRule="auto"/>
      </w:pPr>
      <w:r>
        <w:continuationSeparator/>
      </w:r>
    </w:p>
  </w:footnote>
  <w:footnote w:id="1">
    <w:p w14:paraId="4CFE4888" w14:textId="77777777" w:rsidR="00FE2AEB" w:rsidRPr="00FE2AEB" w:rsidRDefault="00FE2AEB">
      <w:pPr>
        <w:pStyle w:val="FootnoteText"/>
      </w:pPr>
      <w:r>
        <w:rPr>
          <w:rStyle w:val="FootnoteReference"/>
        </w:rPr>
        <w:footnoteRef/>
      </w:r>
      <w:r>
        <w:t xml:space="preserve"> G. Guo, </w:t>
      </w:r>
      <w:r w:rsidRPr="00FE2AEB">
        <w:rPr>
          <w:i/>
        </w:rPr>
        <w:t>Organizational Involvement and Political Participation in China</w:t>
      </w:r>
      <w:r>
        <w:t xml:space="preserve">, (Michigan: Michigan University Press, </w:t>
      </w:r>
      <w:r w:rsidR="00D77DF2">
        <w:t xml:space="preserve">1997), p. 2. </w:t>
      </w:r>
      <w:r>
        <w:t xml:space="preserve"> </w:t>
      </w:r>
    </w:p>
  </w:footnote>
  <w:footnote w:id="2">
    <w:p w14:paraId="5231571B" w14:textId="77777777" w:rsidR="00D77DF2" w:rsidRDefault="00D77DF2">
      <w:pPr>
        <w:pStyle w:val="FootnoteText"/>
      </w:pPr>
      <w:r>
        <w:rPr>
          <w:rStyle w:val="FootnoteReference"/>
        </w:rPr>
        <w:footnoteRef/>
      </w:r>
      <w:r>
        <w:t xml:space="preserve"> Ibid., p. 3. </w:t>
      </w:r>
    </w:p>
  </w:footnote>
  <w:footnote w:id="3">
    <w:p w14:paraId="49E78E82" w14:textId="77777777" w:rsidR="00D77DF2" w:rsidRDefault="00D77DF2">
      <w:pPr>
        <w:pStyle w:val="FootnoteText"/>
      </w:pPr>
      <w:r>
        <w:rPr>
          <w:rStyle w:val="FootnoteReference"/>
        </w:rPr>
        <w:footnoteRef/>
      </w:r>
      <w:r>
        <w:t xml:space="preserve"> Ibid., p. 3. </w:t>
      </w:r>
    </w:p>
  </w:footnote>
  <w:footnote w:id="4">
    <w:p w14:paraId="5352FA0D" w14:textId="77777777" w:rsidR="00D77DF2" w:rsidRDefault="00D77DF2">
      <w:pPr>
        <w:pStyle w:val="FootnoteText"/>
      </w:pPr>
      <w:r>
        <w:rPr>
          <w:rStyle w:val="FootnoteReference"/>
        </w:rPr>
        <w:footnoteRef/>
      </w:r>
      <w:r>
        <w:t xml:space="preserve"> Ibid., p. 1. </w:t>
      </w:r>
    </w:p>
  </w:footnote>
  <w:footnote w:id="5">
    <w:p w14:paraId="314FA2FC" w14:textId="77777777" w:rsidR="00D77DF2" w:rsidRDefault="00D77DF2">
      <w:pPr>
        <w:pStyle w:val="FootnoteText"/>
      </w:pPr>
      <w:r>
        <w:rPr>
          <w:rStyle w:val="FootnoteReference"/>
        </w:rPr>
        <w:footnoteRef/>
      </w:r>
      <w:r>
        <w:t xml:space="preserve"> Ibid., p. 4. </w:t>
      </w:r>
    </w:p>
  </w:footnote>
  <w:footnote w:id="6">
    <w:p w14:paraId="572C645A" w14:textId="77777777" w:rsidR="00D77DF2" w:rsidRDefault="00D77DF2">
      <w:pPr>
        <w:pStyle w:val="FootnoteText"/>
      </w:pPr>
      <w:r>
        <w:rPr>
          <w:rStyle w:val="FootnoteReference"/>
        </w:rPr>
        <w:footnoteRef/>
      </w:r>
      <w:r>
        <w:t xml:space="preserve"> Ibid., p. 6. </w:t>
      </w:r>
    </w:p>
  </w:footnote>
  <w:footnote w:id="7">
    <w:p w14:paraId="5D12C37C" w14:textId="77777777" w:rsidR="00D77DF2" w:rsidRDefault="00D77DF2">
      <w:pPr>
        <w:pStyle w:val="FootnoteText"/>
      </w:pPr>
      <w:r>
        <w:rPr>
          <w:rStyle w:val="FootnoteReference"/>
        </w:rPr>
        <w:footnoteRef/>
      </w:r>
      <w:r>
        <w:t xml:space="preserve"> Ibid., p. 6. </w:t>
      </w:r>
    </w:p>
  </w:footnote>
  <w:footnote w:id="8">
    <w:p w14:paraId="33E25060" w14:textId="77777777" w:rsidR="00D77DF2" w:rsidRDefault="00D77DF2">
      <w:pPr>
        <w:pStyle w:val="FootnoteText"/>
      </w:pPr>
      <w:r>
        <w:rPr>
          <w:rStyle w:val="FootnoteReference"/>
        </w:rPr>
        <w:footnoteRef/>
      </w:r>
      <w:r>
        <w:t xml:space="preserve"> Ibid., p. 20. </w:t>
      </w:r>
    </w:p>
  </w:footnote>
  <w:footnote w:id="9">
    <w:p w14:paraId="0C325509" w14:textId="77777777" w:rsidR="00D77DF2" w:rsidRDefault="00D77DF2">
      <w:pPr>
        <w:pStyle w:val="FootnoteText"/>
      </w:pPr>
      <w:r>
        <w:rPr>
          <w:rStyle w:val="FootnoteReference"/>
        </w:rPr>
        <w:footnoteRef/>
      </w:r>
      <w:r>
        <w:t xml:space="preserve"> Ibid., p. 8. </w:t>
      </w:r>
    </w:p>
  </w:footnote>
  <w:footnote w:id="10">
    <w:p w14:paraId="01F4EBCD" w14:textId="77777777" w:rsidR="00D77DF2" w:rsidRDefault="00D77DF2">
      <w:pPr>
        <w:pStyle w:val="FootnoteText"/>
      </w:pPr>
      <w:r>
        <w:rPr>
          <w:rStyle w:val="FootnoteReference"/>
        </w:rPr>
        <w:footnoteRef/>
      </w:r>
      <w:r>
        <w:t xml:space="preserve"> Ibid., p. 20. </w:t>
      </w:r>
    </w:p>
  </w:footnote>
  <w:footnote w:id="11">
    <w:p w14:paraId="2C06CD6C" w14:textId="77777777" w:rsidR="00D77DF2" w:rsidRDefault="00D77DF2">
      <w:pPr>
        <w:pStyle w:val="FootnoteText"/>
      </w:pPr>
      <w:r>
        <w:rPr>
          <w:rStyle w:val="FootnoteReference"/>
        </w:rPr>
        <w:footnoteRef/>
      </w:r>
      <w:r>
        <w:t xml:space="preserve"> Ibid., p. 20. </w:t>
      </w:r>
    </w:p>
  </w:footnote>
  <w:footnote w:id="12">
    <w:p w14:paraId="1C0379B0" w14:textId="77777777" w:rsidR="009A5EF9" w:rsidRDefault="009A5EF9">
      <w:pPr>
        <w:pStyle w:val="FootnoteText"/>
      </w:pPr>
      <w:r>
        <w:rPr>
          <w:rStyle w:val="FootnoteReference"/>
        </w:rPr>
        <w:footnoteRef/>
      </w:r>
      <w:r>
        <w:t xml:space="preserve"> Ibid., p. 20. </w:t>
      </w:r>
    </w:p>
  </w:footnote>
  <w:footnote w:id="13">
    <w:p w14:paraId="4C600A10" w14:textId="77777777" w:rsidR="009A5EF9" w:rsidRDefault="009A5EF9">
      <w:pPr>
        <w:pStyle w:val="FootnoteText"/>
      </w:pPr>
      <w:r>
        <w:rPr>
          <w:rStyle w:val="FootnoteReference"/>
        </w:rPr>
        <w:footnoteRef/>
      </w:r>
      <w:r>
        <w:t xml:space="preserve"> Ibid., p. 20. </w:t>
      </w:r>
    </w:p>
  </w:footnote>
  <w:footnote w:id="14">
    <w:p w14:paraId="1B6ED956" w14:textId="77777777" w:rsidR="009A5EF9" w:rsidRDefault="009A5EF9">
      <w:pPr>
        <w:pStyle w:val="FootnoteText"/>
      </w:pPr>
      <w:r>
        <w:rPr>
          <w:rStyle w:val="FootnoteReference"/>
        </w:rPr>
        <w:footnoteRef/>
      </w:r>
      <w:r>
        <w:t xml:space="preserve"> Ibid., p. 20. </w:t>
      </w:r>
    </w:p>
  </w:footnote>
  <w:footnote w:id="15">
    <w:p w14:paraId="069483B3" w14:textId="77777777" w:rsidR="009A5EF9" w:rsidRDefault="009A5EF9">
      <w:pPr>
        <w:pStyle w:val="FootnoteText"/>
      </w:pPr>
      <w:r>
        <w:rPr>
          <w:rStyle w:val="FootnoteReference"/>
        </w:rPr>
        <w:footnoteRef/>
      </w:r>
      <w:r>
        <w:t xml:space="preserve"> Ibid., p. 20. </w:t>
      </w:r>
    </w:p>
  </w:footnote>
  <w:footnote w:id="16">
    <w:p w14:paraId="0A8D1A23" w14:textId="77777777" w:rsidR="009A5EF9" w:rsidRDefault="009A5EF9">
      <w:pPr>
        <w:pStyle w:val="FootnoteText"/>
      </w:pPr>
      <w:r>
        <w:rPr>
          <w:rStyle w:val="FootnoteReference"/>
        </w:rPr>
        <w:footnoteRef/>
      </w:r>
      <w:r>
        <w:t xml:space="preserve"> </w:t>
      </w:r>
      <w:bookmarkStart w:id="0" w:name="_Hlk2347742"/>
      <w:r w:rsidRPr="009A5EF9">
        <w:t xml:space="preserve">J. D. Fowler, Chinese Religions: Beliefs and Customs, (Sussex: Sussex Academic Press, 2007). </w:t>
      </w:r>
      <w:bookmarkEnd w:id="0"/>
      <w:r w:rsidRPr="009A5EF9">
        <w:t xml:space="preserve">p. </w:t>
      </w:r>
      <w:r>
        <w:t>37</w:t>
      </w:r>
      <w:r w:rsidRPr="009A5EF9">
        <w:t>.</w:t>
      </w:r>
    </w:p>
  </w:footnote>
  <w:footnote w:id="17">
    <w:p w14:paraId="6230555A" w14:textId="77777777" w:rsidR="009A5EF9" w:rsidRDefault="009A5EF9">
      <w:pPr>
        <w:pStyle w:val="FootnoteText"/>
      </w:pPr>
      <w:r>
        <w:rPr>
          <w:rStyle w:val="FootnoteReference"/>
        </w:rPr>
        <w:footnoteRef/>
      </w:r>
      <w:r>
        <w:t xml:space="preserve"> Ibid., p. 37. </w:t>
      </w:r>
    </w:p>
  </w:footnote>
  <w:footnote w:id="18">
    <w:p w14:paraId="73475714" w14:textId="77777777" w:rsidR="009A5EF9" w:rsidRPr="009A5EF9" w:rsidRDefault="009A5EF9">
      <w:pPr>
        <w:pStyle w:val="FootnoteText"/>
      </w:pPr>
      <w:r>
        <w:rPr>
          <w:rStyle w:val="FootnoteReference"/>
        </w:rPr>
        <w:footnoteRef/>
      </w:r>
      <w:r>
        <w:t xml:space="preserve"> Guo, </w:t>
      </w:r>
      <w:r>
        <w:rPr>
          <w:i/>
        </w:rPr>
        <w:t>Political Organisation</w:t>
      </w:r>
      <w:r>
        <w:t xml:space="preserve">, p. 7. </w:t>
      </w:r>
    </w:p>
  </w:footnote>
  <w:footnote w:id="19">
    <w:p w14:paraId="12E47E00" w14:textId="77777777" w:rsidR="009A5EF9" w:rsidRDefault="009A5EF9">
      <w:pPr>
        <w:pStyle w:val="FootnoteText"/>
      </w:pPr>
      <w:r>
        <w:rPr>
          <w:rStyle w:val="FootnoteReference"/>
        </w:rPr>
        <w:footnoteRef/>
      </w:r>
      <w:r>
        <w:t xml:space="preserve"> Ibid., p. 20. </w:t>
      </w:r>
    </w:p>
  </w:footnote>
  <w:footnote w:id="20">
    <w:p w14:paraId="62C2707C" w14:textId="77777777" w:rsidR="009A5EF9" w:rsidRPr="009A5EF9" w:rsidRDefault="009A5EF9">
      <w:pPr>
        <w:pStyle w:val="FootnoteText"/>
      </w:pPr>
      <w:r>
        <w:rPr>
          <w:rStyle w:val="FootnoteReference"/>
        </w:rPr>
        <w:footnoteRef/>
      </w:r>
      <w:r>
        <w:t xml:space="preserve"> </w:t>
      </w:r>
      <w:bookmarkStart w:id="1" w:name="_Hlk2347770"/>
      <w:r>
        <w:t xml:space="preserve">S. Guo, </w:t>
      </w:r>
      <w:r>
        <w:rPr>
          <w:i/>
        </w:rPr>
        <w:t>Chinese Politics and Government: Power, ideology and Organisation</w:t>
      </w:r>
      <w:r>
        <w:t>, (Abingdon: Routledge, 2013</w:t>
      </w:r>
      <w:bookmarkEnd w:id="1"/>
      <w:r>
        <w:t xml:space="preserve">), p. 218. </w:t>
      </w:r>
    </w:p>
  </w:footnote>
  <w:footnote w:id="21">
    <w:p w14:paraId="58621E83" w14:textId="77777777" w:rsidR="009A5EF9" w:rsidRPr="006259D7" w:rsidRDefault="009A5EF9">
      <w:pPr>
        <w:pStyle w:val="FootnoteText"/>
      </w:pPr>
      <w:r>
        <w:rPr>
          <w:rStyle w:val="FootnoteReference"/>
        </w:rPr>
        <w:footnoteRef/>
      </w:r>
      <w:r>
        <w:t xml:space="preserve"> </w:t>
      </w:r>
      <w:r w:rsidR="006259D7">
        <w:t xml:space="preserve">Guo, </w:t>
      </w:r>
      <w:r w:rsidR="006259D7">
        <w:rPr>
          <w:i/>
        </w:rPr>
        <w:t>Political Organisation</w:t>
      </w:r>
      <w:r w:rsidR="006259D7">
        <w:t xml:space="preserve">, p. 13. </w:t>
      </w:r>
    </w:p>
  </w:footnote>
  <w:footnote w:id="22">
    <w:p w14:paraId="47395CC8" w14:textId="77777777" w:rsidR="006259D7" w:rsidRDefault="006259D7">
      <w:pPr>
        <w:pStyle w:val="FootnoteText"/>
      </w:pPr>
      <w:r>
        <w:rPr>
          <w:rStyle w:val="FootnoteReference"/>
        </w:rPr>
        <w:footnoteRef/>
      </w:r>
      <w:r>
        <w:t xml:space="preserve"> </w:t>
      </w:r>
      <w:bookmarkStart w:id="2" w:name="_Hlk2347806"/>
      <w:r>
        <w:t xml:space="preserve">N. Collins, and A. </w:t>
      </w:r>
      <w:proofErr w:type="spellStart"/>
      <w:r>
        <w:t>Cottey</w:t>
      </w:r>
      <w:proofErr w:type="spellEnd"/>
      <w:r>
        <w:t xml:space="preserve">, </w:t>
      </w:r>
      <w:r>
        <w:rPr>
          <w:i/>
        </w:rPr>
        <w:t>Understanding Chinese Politics: An Introduction to Government in The People Republic of China</w:t>
      </w:r>
      <w:r>
        <w:t>, (Manchester: Manchester University Press, 2012</w:t>
      </w:r>
      <w:bookmarkEnd w:id="2"/>
      <w:r>
        <w:t xml:space="preserve">), p. 94.  </w:t>
      </w:r>
    </w:p>
  </w:footnote>
  <w:footnote w:id="23">
    <w:p w14:paraId="7EA952A6" w14:textId="77777777" w:rsidR="000B68F9" w:rsidRPr="006361EE" w:rsidRDefault="000B68F9">
      <w:pPr>
        <w:pStyle w:val="FootnoteText"/>
      </w:pPr>
      <w:r>
        <w:rPr>
          <w:rStyle w:val="FootnoteReference"/>
        </w:rPr>
        <w:footnoteRef/>
      </w:r>
      <w:r>
        <w:t xml:space="preserve"> </w:t>
      </w:r>
      <w:r w:rsidR="006361EE">
        <w:t xml:space="preserve">Guo, </w:t>
      </w:r>
      <w:r w:rsidR="006361EE">
        <w:rPr>
          <w:i/>
        </w:rPr>
        <w:t>Political Organisation</w:t>
      </w:r>
      <w:r w:rsidR="006361EE">
        <w:t xml:space="preserve">, p. 8. </w:t>
      </w:r>
    </w:p>
  </w:footnote>
  <w:footnote w:id="24">
    <w:p w14:paraId="40D49D05" w14:textId="77777777" w:rsidR="00E81893" w:rsidRDefault="00E81893">
      <w:pPr>
        <w:pStyle w:val="FootnoteText"/>
      </w:pPr>
      <w:r>
        <w:rPr>
          <w:rStyle w:val="FootnoteReference"/>
        </w:rPr>
        <w:footnoteRef/>
      </w:r>
      <w:r>
        <w:t xml:space="preserve"> Jiang </w:t>
      </w:r>
      <w:proofErr w:type="spellStart"/>
      <w:r>
        <w:t>Shigong</w:t>
      </w:r>
      <w:proofErr w:type="spellEnd"/>
      <w:r>
        <w:t>, ‘</w:t>
      </w:r>
      <w:r w:rsidRPr="00E81893">
        <w:t>Chinese-Style Constitutionalism: On Backer's Chinese Party-State Constitutionalism</w:t>
      </w:r>
      <w:r>
        <w:t>’,</w:t>
      </w:r>
      <w:r w:rsidRPr="00E81893">
        <w:t xml:space="preserve"> </w:t>
      </w:r>
      <w:r w:rsidRPr="00E81893">
        <w:rPr>
          <w:i/>
        </w:rPr>
        <w:t>Modern China, Vol. 40, No. 2, Special Issue: The Basis for the Legitimacy of the Chinese Political System: Whence and Whither? Dialogues among Western and Chinese Scholars, VII</w:t>
      </w:r>
      <w:r w:rsidRPr="00E81893">
        <w:t xml:space="preserve"> (2014), p. 1</w:t>
      </w:r>
      <w:r w:rsidR="000B68F9">
        <w:t>41</w:t>
      </w:r>
      <w:r>
        <w:t xml:space="preserve">. </w:t>
      </w:r>
    </w:p>
  </w:footnote>
  <w:footnote w:id="25">
    <w:p w14:paraId="3798A641" w14:textId="77777777" w:rsidR="000B68F9" w:rsidRDefault="000B68F9">
      <w:pPr>
        <w:pStyle w:val="FootnoteText"/>
      </w:pPr>
      <w:r>
        <w:rPr>
          <w:rStyle w:val="FootnoteReference"/>
        </w:rPr>
        <w:footnoteRef/>
      </w:r>
      <w:r>
        <w:t xml:space="preserve"> Ibid., p. 142. </w:t>
      </w:r>
    </w:p>
  </w:footnote>
  <w:footnote w:id="26">
    <w:p w14:paraId="762ED27E" w14:textId="77777777" w:rsidR="000B68F9" w:rsidRDefault="000B68F9">
      <w:pPr>
        <w:pStyle w:val="FootnoteText"/>
      </w:pPr>
      <w:r>
        <w:rPr>
          <w:rStyle w:val="FootnoteReference"/>
        </w:rPr>
        <w:footnoteRef/>
      </w:r>
      <w:r>
        <w:t xml:space="preserve"> Ibid., p. 143. </w:t>
      </w:r>
    </w:p>
  </w:footnote>
  <w:footnote w:id="27">
    <w:p w14:paraId="7D4E2587" w14:textId="77777777" w:rsidR="000B68F9" w:rsidRPr="000B68F9" w:rsidRDefault="000B68F9">
      <w:pPr>
        <w:pStyle w:val="FootnoteText"/>
      </w:pPr>
      <w:r>
        <w:rPr>
          <w:rStyle w:val="FootnoteReference"/>
        </w:rPr>
        <w:footnoteRef/>
      </w:r>
      <w:r>
        <w:t xml:space="preserve"> Neil and </w:t>
      </w:r>
      <w:proofErr w:type="spellStart"/>
      <w:r>
        <w:t>Cottey</w:t>
      </w:r>
      <w:proofErr w:type="spellEnd"/>
      <w:r>
        <w:t xml:space="preserve">, </w:t>
      </w:r>
      <w:r>
        <w:rPr>
          <w:i/>
        </w:rPr>
        <w:t>Understanding Chinese Politics</w:t>
      </w:r>
      <w:r>
        <w:t xml:space="preserve">, p. 41. </w:t>
      </w:r>
    </w:p>
  </w:footnote>
  <w:footnote w:id="28">
    <w:p w14:paraId="3A02B2B1" w14:textId="77777777" w:rsidR="006361EE" w:rsidRPr="006361EE" w:rsidRDefault="006361EE">
      <w:pPr>
        <w:pStyle w:val="FootnoteText"/>
      </w:pPr>
      <w:r>
        <w:rPr>
          <w:rStyle w:val="FootnoteReference"/>
        </w:rPr>
        <w:footnoteRef/>
      </w:r>
      <w:r>
        <w:t xml:space="preserve"> S. Zheng, ‘Leadership Change, Legitimacy, and Party Transition in China’, </w:t>
      </w:r>
      <w:r>
        <w:rPr>
          <w:i/>
        </w:rPr>
        <w:t xml:space="preserve">Journal of Chinese Political Science, Vol. 8, No. 1-2 </w:t>
      </w:r>
      <w:r>
        <w:t>(2003),</w:t>
      </w:r>
      <w:r>
        <w:rPr>
          <w:i/>
        </w:rPr>
        <w:t xml:space="preserve"> </w:t>
      </w:r>
      <w:r>
        <w:t xml:space="preserve">pp. 47-63. </w:t>
      </w:r>
    </w:p>
  </w:footnote>
  <w:footnote w:id="29">
    <w:p w14:paraId="148DF384" w14:textId="77777777" w:rsidR="006361EE" w:rsidRDefault="006361EE">
      <w:pPr>
        <w:pStyle w:val="FootnoteText"/>
      </w:pPr>
      <w:r>
        <w:rPr>
          <w:rStyle w:val="FootnoteReference"/>
        </w:rPr>
        <w:footnoteRef/>
      </w:r>
      <w:r>
        <w:t xml:space="preserve"> Ibid., p. 50. </w:t>
      </w:r>
    </w:p>
  </w:footnote>
  <w:footnote w:id="30">
    <w:p w14:paraId="24C3BFCF" w14:textId="77777777" w:rsidR="006361EE" w:rsidRPr="006361EE" w:rsidRDefault="006361EE">
      <w:pPr>
        <w:pStyle w:val="FootnoteText"/>
      </w:pPr>
      <w:r>
        <w:rPr>
          <w:rStyle w:val="FootnoteReference"/>
        </w:rPr>
        <w:footnoteRef/>
      </w:r>
      <w:r>
        <w:t xml:space="preserve"> Guo, </w:t>
      </w:r>
      <w:r>
        <w:rPr>
          <w:i/>
        </w:rPr>
        <w:t>Political Organisation</w:t>
      </w:r>
      <w:r>
        <w:t xml:space="preserve">, p. 18. </w:t>
      </w:r>
    </w:p>
  </w:footnote>
  <w:footnote w:id="31">
    <w:p w14:paraId="04A22C2A" w14:textId="77777777" w:rsidR="006361EE" w:rsidRDefault="006361EE">
      <w:pPr>
        <w:pStyle w:val="FootnoteText"/>
      </w:pPr>
      <w:r>
        <w:rPr>
          <w:rStyle w:val="FootnoteReference"/>
        </w:rPr>
        <w:footnoteRef/>
      </w:r>
      <w:r>
        <w:t xml:space="preserve"> Ibid., p. </w:t>
      </w:r>
      <w:r w:rsidR="00034BF8">
        <w:t xml:space="preserve">18. </w:t>
      </w:r>
    </w:p>
  </w:footnote>
  <w:footnote w:id="32">
    <w:p w14:paraId="5C84F111" w14:textId="77777777" w:rsidR="00DD25CD" w:rsidRDefault="00DD25CD">
      <w:pPr>
        <w:pStyle w:val="FootnoteText"/>
      </w:pPr>
      <w:r>
        <w:rPr>
          <w:rStyle w:val="FootnoteReference"/>
        </w:rPr>
        <w:footnoteRef/>
      </w:r>
      <w:r>
        <w:t xml:space="preserve"> Ibid., p. 14. </w:t>
      </w:r>
    </w:p>
  </w:footnote>
  <w:footnote w:id="33">
    <w:p w14:paraId="732100A6" w14:textId="77777777" w:rsidR="00DD25CD" w:rsidRPr="00DD25CD" w:rsidRDefault="00DD25CD">
      <w:pPr>
        <w:pStyle w:val="FootnoteText"/>
      </w:pPr>
      <w:r>
        <w:rPr>
          <w:rStyle w:val="FootnoteReference"/>
        </w:rPr>
        <w:footnoteRef/>
      </w:r>
      <w:r>
        <w:t xml:space="preserve"> </w:t>
      </w:r>
      <w:bookmarkStart w:id="3" w:name="_Hlk2348020"/>
      <w:r>
        <w:t xml:space="preserve">A. Mertha, A. C, </w:t>
      </w:r>
      <w:r w:rsidRPr="00DD25CD">
        <w:rPr>
          <w:i/>
        </w:rPr>
        <w:t>China’s Water Warriors: Citizen Action and Policy Change</w:t>
      </w:r>
      <w:r>
        <w:t xml:space="preserve">, (Ithaca: Cornell University Press, 2008), </w:t>
      </w:r>
      <w:bookmarkEnd w:id="3"/>
      <w:r>
        <w:t xml:space="preserve">p. 112. </w:t>
      </w:r>
    </w:p>
  </w:footnote>
  <w:footnote w:id="34">
    <w:p w14:paraId="5422DA96" w14:textId="77777777" w:rsidR="00DD25CD" w:rsidRDefault="00DD25CD">
      <w:pPr>
        <w:pStyle w:val="FootnoteText"/>
      </w:pPr>
      <w:r>
        <w:rPr>
          <w:rStyle w:val="FootnoteReference"/>
        </w:rPr>
        <w:footnoteRef/>
      </w:r>
      <w:r>
        <w:t xml:space="preserve"> </w:t>
      </w:r>
      <w:bookmarkStart w:id="4" w:name="_Hlk2348087"/>
      <w:r w:rsidRPr="00F04D7F">
        <w:rPr>
          <w:i/>
        </w:rPr>
        <w:t>S. Heilmann,</w:t>
      </w:r>
      <w:r w:rsidR="00F04D7F" w:rsidRPr="00F04D7F">
        <w:rPr>
          <w:i/>
        </w:rPr>
        <w:t xml:space="preserve"> ‘From Local Experiments to National Policy: The Origins of China's Distinctive Policy Process’, The China Journal, No. 59 (2008),</w:t>
      </w:r>
      <w:r w:rsidR="00F04D7F" w:rsidRPr="00F04D7F">
        <w:t xml:space="preserve"> p</w:t>
      </w:r>
      <w:r w:rsidR="00F04D7F">
        <w:t>. 2</w:t>
      </w:r>
      <w:bookmarkEnd w:id="4"/>
      <w:r w:rsidR="00F04D7F">
        <w:t xml:space="preserve">.   </w:t>
      </w:r>
    </w:p>
  </w:footnote>
  <w:footnote w:id="35">
    <w:p w14:paraId="5828971D" w14:textId="77777777" w:rsidR="00F04D7F" w:rsidRDefault="00F04D7F">
      <w:pPr>
        <w:pStyle w:val="FootnoteText"/>
      </w:pPr>
      <w:r>
        <w:rPr>
          <w:rStyle w:val="FootnoteReference"/>
        </w:rPr>
        <w:footnoteRef/>
      </w:r>
      <w:r>
        <w:t xml:space="preserve"> Ibid., p. 14. </w:t>
      </w:r>
    </w:p>
  </w:footnote>
  <w:footnote w:id="36">
    <w:p w14:paraId="283A1F95" w14:textId="77777777" w:rsidR="00F04D7F" w:rsidRDefault="00F04D7F">
      <w:pPr>
        <w:pStyle w:val="FootnoteText"/>
      </w:pPr>
      <w:r>
        <w:rPr>
          <w:rStyle w:val="FootnoteReference"/>
        </w:rPr>
        <w:footnoteRef/>
      </w:r>
      <w:r>
        <w:t xml:space="preserve"> Ibid., p. 21. </w:t>
      </w:r>
    </w:p>
  </w:footnote>
  <w:footnote w:id="37">
    <w:p w14:paraId="58DA6E1F" w14:textId="77777777" w:rsidR="00223DAE" w:rsidRPr="00A9203A" w:rsidRDefault="00223DAE">
      <w:pPr>
        <w:pStyle w:val="FootnoteText"/>
      </w:pPr>
      <w:r>
        <w:rPr>
          <w:rStyle w:val="FootnoteReference"/>
        </w:rPr>
        <w:footnoteRef/>
      </w:r>
      <w:r>
        <w:t xml:space="preserve"> </w:t>
      </w:r>
      <w:r w:rsidR="00A9203A">
        <w:t>P. Alan, and L. Liu, ‘</w:t>
      </w:r>
      <w:r w:rsidR="00A9203A" w:rsidRPr="00A9203A">
        <w:t>Opinions and Attitudes of Youth in the People's Republic of China</w:t>
      </w:r>
      <w:r w:rsidR="00A9203A">
        <w:t>’,</w:t>
      </w:r>
      <w:r w:rsidR="00A9203A">
        <w:rPr>
          <w:i/>
        </w:rPr>
        <w:t xml:space="preserve"> </w:t>
      </w:r>
      <w:r w:rsidR="00A9203A" w:rsidRPr="00A9203A">
        <w:rPr>
          <w:i/>
        </w:rPr>
        <w:t xml:space="preserve">Asian Survey, Vol. 24, No. 9 </w:t>
      </w:r>
      <w:r w:rsidR="00A9203A" w:rsidRPr="00A9203A">
        <w:t>(1984),</w:t>
      </w:r>
      <w:r w:rsidR="00A9203A" w:rsidRPr="00A9203A">
        <w:rPr>
          <w:i/>
        </w:rPr>
        <w:t xml:space="preserve"> </w:t>
      </w:r>
      <w:r w:rsidR="00A9203A" w:rsidRPr="00A9203A">
        <w:t>p</w:t>
      </w:r>
      <w:r w:rsidR="00A9203A">
        <w:t xml:space="preserve">. </w:t>
      </w:r>
      <w:r w:rsidR="00A9203A" w:rsidRPr="00A9203A">
        <w:t>9</w:t>
      </w:r>
      <w:r w:rsidR="00A9203A">
        <w:t xml:space="preserve">80. </w:t>
      </w:r>
    </w:p>
  </w:footnote>
  <w:footnote w:id="38">
    <w:p w14:paraId="4EBF70AE" w14:textId="77777777" w:rsidR="00A9203A" w:rsidRDefault="00A9203A">
      <w:pPr>
        <w:pStyle w:val="FootnoteText"/>
      </w:pPr>
      <w:r>
        <w:rPr>
          <w:rStyle w:val="FootnoteReference"/>
        </w:rPr>
        <w:footnoteRef/>
      </w:r>
      <w:r>
        <w:t xml:space="preserve"> Ibid., p. 983. </w:t>
      </w:r>
    </w:p>
  </w:footnote>
  <w:footnote w:id="39">
    <w:p w14:paraId="21529FC0" w14:textId="77777777" w:rsidR="00A9203A" w:rsidRDefault="00A9203A">
      <w:pPr>
        <w:pStyle w:val="FootnoteText"/>
      </w:pPr>
      <w:r>
        <w:rPr>
          <w:rStyle w:val="FootnoteReference"/>
        </w:rPr>
        <w:footnoteRef/>
      </w:r>
      <w:r>
        <w:t xml:space="preserve"> Ibid., p. 986.   </w:t>
      </w:r>
    </w:p>
  </w:footnote>
  <w:footnote w:id="40">
    <w:p w14:paraId="79C748BC" w14:textId="77777777" w:rsidR="00C87070" w:rsidRPr="00C87070" w:rsidRDefault="00C87070">
      <w:pPr>
        <w:pStyle w:val="FootnoteText"/>
      </w:pPr>
      <w:r>
        <w:rPr>
          <w:rStyle w:val="FootnoteReference"/>
        </w:rPr>
        <w:footnoteRef/>
      </w:r>
      <w:r>
        <w:t xml:space="preserve"> Guo, </w:t>
      </w:r>
      <w:r>
        <w:rPr>
          <w:i/>
        </w:rPr>
        <w:t xml:space="preserve">Political Organisation, </w:t>
      </w:r>
      <w:r>
        <w:t xml:space="preserve">p. 15. </w:t>
      </w:r>
    </w:p>
  </w:footnote>
  <w:footnote w:id="41">
    <w:p w14:paraId="6D3E5924" w14:textId="77777777" w:rsidR="00417630" w:rsidRDefault="00417630">
      <w:pPr>
        <w:pStyle w:val="FootnoteText"/>
      </w:pPr>
      <w:r>
        <w:rPr>
          <w:rStyle w:val="FootnoteReference"/>
        </w:rPr>
        <w:footnoteRef/>
      </w:r>
      <w:r>
        <w:t xml:space="preserve"> </w:t>
      </w:r>
      <w:bookmarkStart w:id="5" w:name="_Hlk2348369"/>
      <w:r>
        <w:t xml:space="preserve">S. Rosen, ‘Contemporary Chinese Youth and The State’, </w:t>
      </w:r>
      <w:r w:rsidRPr="00417630">
        <w:rPr>
          <w:i/>
        </w:rPr>
        <w:t xml:space="preserve">The Journal of Asian Studies, Vol. 68, No. 2 </w:t>
      </w:r>
      <w:r w:rsidRPr="00417630">
        <w:t>(2009</w:t>
      </w:r>
      <w:bookmarkEnd w:id="5"/>
      <w:r w:rsidRPr="00417630">
        <w:t xml:space="preserve">), p. 262. </w:t>
      </w:r>
    </w:p>
  </w:footnote>
  <w:footnote w:id="42">
    <w:p w14:paraId="0BEEBC3B" w14:textId="77777777" w:rsidR="00CB7450" w:rsidRDefault="00CB7450">
      <w:pPr>
        <w:pStyle w:val="FootnoteText"/>
      </w:pPr>
      <w:r>
        <w:rPr>
          <w:rStyle w:val="FootnoteReference"/>
        </w:rPr>
        <w:footnoteRef/>
      </w:r>
      <w:r>
        <w:t xml:space="preserve"> Feng Chen, ‘</w:t>
      </w:r>
      <w:r w:rsidRPr="00CB7450">
        <w:t>Trade Unions and the Quadripartite Interactions in Strike Settlement in China</w:t>
      </w:r>
      <w:r>
        <w:t xml:space="preserve">’, </w:t>
      </w:r>
      <w:r w:rsidRPr="00CB7450">
        <w:rPr>
          <w:i/>
        </w:rPr>
        <w:t xml:space="preserve">The China Quarterly, No. 201 </w:t>
      </w:r>
      <w:r w:rsidRPr="00CB7450">
        <w:t>(2010), p</w:t>
      </w:r>
      <w:r>
        <w:t xml:space="preserve">. 108.  </w:t>
      </w:r>
    </w:p>
  </w:footnote>
  <w:footnote w:id="43">
    <w:p w14:paraId="60B7EA8A" w14:textId="77777777" w:rsidR="00CB7450" w:rsidRDefault="00CB7450">
      <w:pPr>
        <w:pStyle w:val="FootnoteText"/>
      </w:pPr>
      <w:r>
        <w:rPr>
          <w:rStyle w:val="FootnoteReference"/>
        </w:rPr>
        <w:footnoteRef/>
      </w:r>
      <w:r>
        <w:t xml:space="preserve"> Ibid., p. 110. </w:t>
      </w:r>
    </w:p>
  </w:footnote>
  <w:footnote w:id="44">
    <w:p w14:paraId="0AAD9870" w14:textId="77777777" w:rsidR="0063393A" w:rsidRDefault="0063393A">
      <w:pPr>
        <w:pStyle w:val="FootnoteText"/>
      </w:pPr>
      <w:r>
        <w:rPr>
          <w:rStyle w:val="FootnoteReference"/>
        </w:rPr>
        <w:footnoteRef/>
      </w:r>
      <w:r>
        <w:t xml:space="preserve"> Ibid., p. 110. </w:t>
      </w:r>
    </w:p>
  </w:footnote>
  <w:footnote w:id="45">
    <w:p w14:paraId="40BDAE2B" w14:textId="77777777" w:rsidR="0063393A" w:rsidRDefault="0063393A">
      <w:pPr>
        <w:pStyle w:val="FootnoteText"/>
      </w:pPr>
      <w:r>
        <w:rPr>
          <w:rStyle w:val="FootnoteReference"/>
        </w:rPr>
        <w:footnoteRef/>
      </w:r>
      <w:r>
        <w:t xml:space="preserve"> R. Morris, ‘</w:t>
      </w:r>
      <w:r w:rsidRPr="0063393A">
        <w:t>Trade Unions in Contemporary China</w:t>
      </w:r>
      <w:r>
        <w:t xml:space="preserve">’, </w:t>
      </w:r>
      <w:r w:rsidRPr="0063393A">
        <w:rPr>
          <w:i/>
        </w:rPr>
        <w:t>The Australian Journal of Chinese Affairs, No. 13</w:t>
      </w:r>
      <w:r w:rsidRPr="0063393A">
        <w:t xml:space="preserve"> (1985), p</w:t>
      </w:r>
      <w:r>
        <w:t xml:space="preserve">. 54. </w:t>
      </w:r>
    </w:p>
  </w:footnote>
  <w:footnote w:id="46">
    <w:p w14:paraId="47CF8B47" w14:textId="77777777" w:rsidR="0063393A" w:rsidRDefault="0063393A">
      <w:pPr>
        <w:pStyle w:val="FootnoteText"/>
      </w:pPr>
      <w:r>
        <w:rPr>
          <w:rStyle w:val="FootnoteReference"/>
        </w:rPr>
        <w:footnoteRef/>
      </w:r>
      <w:r>
        <w:t xml:space="preserve"> Ibid., p. 55. </w:t>
      </w:r>
    </w:p>
  </w:footnote>
  <w:footnote w:id="47">
    <w:p w14:paraId="001EEC9A" w14:textId="77777777" w:rsidR="0063393A" w:rsidRDefault="0063393A">
      <w:pPr>
        <w:pStyle w:val="FootnoteText"/>
      </w:pPr>
      <w:r>
        <w:rPr>
          <w:rStyle w:val="FootnoteReference"/>
        </w:rPr>
        <w:footnoteRef/>
      </w:r>
      <w:r>
        <w:t xml:space="preserve"> Ibid., p. 56. </w:t>
      </w:r>
    </w:p>
  </w:footnote>
  <w:footnote w:id="48">
    <w:p w14:paraId="3D678033" w14:textId="77777777" w:rsidR="00C15C43" w:rsidRDefault="00C15C43">
      <w:pPr>
        <w:pStyle w:val="FootnoteText"/>
      </w:pPr>
      <w:r>
        <w:rPr>
          <w:rStyle w:val="FootnoteReference"/>
        </w:rPr>
        <w:footnoteRef/>
      </w:r>
      <w:r>
        <w:t xml:space="preserve"> Ibid, 59. </w:t>
      </w:r>
    </w:p>
  </w:footnote>
  <w:footnote w:id="49">
    <w:p w14:paraId="46ADFD78" w14:textId="77777777" w:rsidR="00C15C43" w:rsidRPr="00C15C43" w:rsidRDefault="00C15C43">
      <w:pPr>
        <w:pStyle w:val="FootnoteText"/>
        <w:rPr>
          <w:i/>
        </w:rPr>
      </w:pPr>
      <w:r>
        <w:rPr>
          <w:rStyle w:val="FootnoteReference"/>
        </w:rPr>
        <w:footnoteRef/>
      </w:r>
      <w:r>
        <w:t xml:space="preserve"> J. C. Teets, ‘</w:t>
      </w:r>
      <w:r w:rsidRPr="00C15C43">
        <w:t>Let Many Civil Societies Bloom: The Rise of Consultative Authoritarianism in China</w:t>
      </w:r>
      <w:r>
        <w:t xml:space="preserve">’, </w:t>
      </w:r>
      <w:r w:rsidRPr="00C15C43">
        <w:rPr>
          <w:i/>
        </w:rPr>
        <w:t xml:space="preserve">The China Quarterly, No. 213 </w:t>
      </w:r>
      <w:r w:rsidRPr="00C15C43">
        <w:t>(2013), p</w:t>
      </w:r>
      <w:r>
        <w:t xml:space="preserve">. 20. </w:t>
      </w:r>
    </w:p>
  </w:footnote>
  <w:footnote w:id="50">
    <w:p w14:paraId="1BE1BDC3" w14:textId="77777777" w:rsidR="00C15C43" w:rsidRDefault="00C15C43">
      <w:pPr>
        <w:pStyle w:val="FootnoteText"/>
      </w:pPr>
      <w:r>
        <w:rPr>
          <w:rStyle w:val="FootnoteReference"/>
        </w:rPr>
        <w:footnoteRef/>
      </w:r>
      <w:r>
        <w:t xml:space="preserve"> Ibid., p. 20. </w:t>
      </w:r>
    </w:p>
  </w:footnote>
  <w:footnote w:id="51">
    <w:p w14:paraId="3E399B29" w14:textId="77777777" w:rsidR="00C15C43" w:rsidRDefault="00C15C43">
      <w:pPr>
        <w:pStyle w:val="FootnoteText"/>
      </w:pPr>
      <w:r>
        <w:rPr>
          <w:rStyle w:val="FootnoteReference"/>
        </w:rPr>
        <w:footnoteRef/>
      </w:r>
      <w:r>
        <w:t xml:space="preserve"> Ibid., p. 20. </w:t>
      </w:r>
    </w:p>
  </w:footnote>
  <w:footnote w:id="52">
    <w:p w14:paraId="43024C03" w14:textId="77777777" w:rsidR="00C15C43" w:rsidRPr="007209FB" w:rsidRDefault="00C15C43">
      <w:pPr>
        <w:pStyle w:val="FootnoteText"/>
      </w:pPr>
      <w:r>
        <w:rPr>
          <w:rStyle w:val="FootnoteReference"/>
        </w:rPr>
        <w:footnoteRef/>
      </w:r>
      <w:r>
        <w:t xml:space="preserve"> S. Guo, </w:t>
      </w:r>
      <w:r>
        <w:rPr>
          <w:i/>
        </w:rPr>
        <w:t xml:space="preserve">Chinese Politics, </w:t>
      </w:r>
      <w:r w:rsidR="007209FB">
        <w:t xml:space="preserve">p. 271. </w:t>
      </w:r>
    </w:p>
  </w:footnote>
  <w:footnote w:id="53">
    <w:p w14:paraId="4A2AD9F1" w14:textId="77777777" w:rsidR="007209FB" w:rsidRDefault="007209FB">
      <w:pPr>
        <w:pStyle w:val="FootnoteText"/>
      </w:pPr>
      <w:r>
        <w:rPr>
          <w:rStyle w:val="FootnoteReference"/>
        </w:rPr>
        <w:footnoteRef/>
      </w:r>
      <w:r>
        <w:t xml:space="preserve"> Ibid., p. 272. </w:t>
      </w:r>
    </w:p>
  </w:footnote>
  <w:footnote w:id="54">
    <w:p w14:paraId="68F7DDFF" w14:textId="77777777" w:rsidR="007209FB" w:rsidRPr="007209FB" w:rsidRDefault="007209FB">
      <w:pPr>
        <w:pStyle w:val="FootnoteText"/>
      </w:pPr>
      <w:r>
        <w:rPr>
          <w:rStyle w:val="FootnoteReference"/>
        </w:rPr>
        <w:footnoteRef/>
      </w:r>
      <w:r>
        <w:t xml:space="preserve"> Guo, </w:t>
      </w:r>
      <w:r>
        <w:rPr>
          <w:i/>
        </w:rPr>
        <w:t>Political Organisation</w:t>
      </w:r>
      <w:r>
        <w:t xml:space="preserve">, p. 18. </w:t>
      </w:r>
    </w:p>
  </w:footnote>
  <w:footnote w:id="55">
    <w:p w14:paraId="080C6B9D" w14:textId="77777777" w:rsidR="007209FB" w:rsidRPr="007209FB" w:rsidRDefault="007209FB">
      <w:pPr>
        <w:pStyle w:val="FootnoteText"/>
        <w:rPr>
          <w:i/>
        </w:rPr>
      </w:pPr>
      <w:r>
        <w:rPr>
          <w:rStyle w:val="FootnoteReference"/>
        </w:rPr>
        <w:footnoteRef/>
      </w:r>
      <w:r>
        <w:t xml:space="preserve"> Teets, </w:t>
      </w:r>
      <w:r>
        <w:rPr>
          <w:i/>
        </w:rPr>
        <w:t xml:space="preserve">Consultative Authoritarianism, </w:t>
      </w:r>
      <w:r w:rsidRPr="007209FB">
        <w:t xml:space="preserve">p. 23. </w:t>
      </w:r>
      <w:r>
        <w:t xml:space="preserve"> </w:t>
      </w:r>
    </w:p>
  </w:footnote>
  <w:footnote w:id="56">
    <w:p w14:paraId="5F890FB2" w14:textId="77777777" w:rsidR="007209FB" w:rsidRDefault="007209FB">
      <w:pPr>
        <w:pStyle w:val="FootnoteText"/>
      </w:pPr>
      <w:r>
        <w:rPr>
          <w:rStyle w:val="FootnoteReference"/>
        </w:rPr>
        <w:footnoteRef/>
      </w:r>
      <w:r>
        <w:t xml:space="preserve"> Ibid., p. 23. </w:t>
      </w:r>
    </w:p>
  </w:footnote>
  <w:footnote w:id="57">
    <w:p w14:paraId="282BF935" w14:textId="77777777" w:rsidR="007209FB" w:rsidRDefault="007209FB">
      <w:pPr>
        <w:pStyle w:val="FootnoteText"/>
      </w:pPr>
      <w:r>
        <w:rPr>
          <w:rStyle w:val="FootnoteReference"/>
        </w:rPr>
        <w:footnoteRef/>
      </w:r>
      <w:r>
        <w:t xml:space="preserve"> Ibid., p. 23. </w:t>
      </w:r>
    </w:p>
  </w:footnote>
  <w:footnote w:id="58">
    <w:p w14:paraId="3A041C0E" w14:textId="77777777" w:rsidR="00CC23A8" w:rsidRPr="00CC23A8" w:rsidRDefault="00CC23A8">
      <w:pPr>
        <w:pStyle w:val="FootnoteText"/>
      </w:pPr>
      <w:r>
        <w:rPr>
          <w:rStyle w:val="FootnoteReference"/>
        </w:rPr>
        <w:footnoteRef/>
      </w:r>
      <w:r>
        <w:t xml:space="preserve"> Guo, </w:t>
      </w:r>
      <w:r>
        <w:rPr>
          <w:i/>
        </w:rPr>
        <w:t>Political Organisation</w:t>
      </w:r>
      <w:r>
        <w:t xml:space="preserve">, p. 20. </w:t>
      </w:r>
    </w:p>
  </w:footnote>
  <w:footnote w:id="59">
    <w:p w14:paraId="4AB50899" w14:textId="77777777" w:rsidR="00CC23A8" w:rsidRDefault="00CC23A8">
      <w:pPr>
        <w:pStyle w:val="FootnoteText"/>
      </w:pPr>
      <w:r>
        <w:rPr>
          <w:rStyle w:val="FootnoteReference"/>
        </w:rPr>
        <w:footnoteRef/>
      </w:r>
      <w:r>
        <w:t xml:space="preserve"> </w:t>
      </w:r>
      <w:bookmarkStart w:id="7" w:name="_Hlk2348807"/>
      <w:r>
        <w:t>Ying Fan, ‘</w:t>
      </w:r>
      <w:r w:rsidRPr="00CC23A8">
        <w:t>Guanxi's Consequences: Personal Gains at Social Cost</w:t>
      </w:r>
      <w:r>
        <w:t xml:space="preserve">’, </w:t>
      </w:r>
      <w:r w:rsidRPr="00CC23A8">
        <w:t>Journal of Business Ethics, Vol. 38, No. 4, International Management (2002</w:t>
      </w:r>
      <w:bookmarkEnd w:id="7"/>
      <w:r w:rsidRPr="00CC23A8">
        <w:t>),</w:t>
      </w:r>
      <w:r>
        <w:t xml:space="preserve"> p. </w:t>
      </w:r>
      <w:r w:rsidR="00EB22B3">
        <w:t xml:space="preserve">372. </w:t>
      </w:r>
    </w:p>
  </w:footnote>
  <w:footnote w:id="60">
    <w:p w14:paraId="1E17A250" w14:textId="77777777" w:rsidR="00CC23A8" w:rsidRDefault="00CC23A8">
      <w:pPr>
        <w:pStyle w:val="FootnoteText"/>
      </w:pPr>
      <w:r>
        <w:rPr>
          <w:rStyle w:val="FootnoteReference"/>
        </w:rPr>
        <w:footnoteRef/>
      </w:r>
      <w:r>
        <w:t xml:space="preserve"> Ibid., p. 271. </w:t>
      </w:r>
    </w:p>
  </w:footnote>
  <w:footnote w:id="61">
    <w:p w14:paraId="0BBA8A8B" w14:textId="77777777" w:rsidR="00CC23A8" w:rsidRDefault="00CC23A8">
      <w:pPr>
        <w:pStyle w:val="FootnoteText"/>
      </w:pPr>
      <w:r>
        <w:rPr>
          <w:rStyle w:val="FootnoteReference"/>
        </w:rPr>
        <w:footnoteRef/>
      </w:r>
      <w:r>
        <w:t xml:space="preserve"> </w:t>
      </w:r>
      <w:bookmarkStart w:id="8" w:name="_Hlk2348886"/>
      <w:r w:rsidRPr="00CC23A8">
        <w:t>Morgan, R. M. and S. D. Hunt</w:t>
      </w:r>
      <w:r>
        <w:t>,</w:t>
      </w:r>
      <w:r w:rsidRPr="00CC23A8">
        <w:t xml:space="preserve"> 1994, 'The Commitment-Trust Theory of Relationship Mark</w:t>
      </w:r>
      <w:r>
        <w:t>eting’,</w:t>
      </w:r>
      <w:r w:rsidRPr="00CC23A8">
        <w:t xml:space="preserve"> </w:t>
      </w:r>
      <w:r w:rsidRPr="00CC23A8">
        <w:rPr>
          <w:i/>
        </w:rPr>
        <w:t xml:space="preserve">Journal of Marketing 58 </w:t>
      </w:r>
      <w:r>
        <w:t>(1994</w:t>
      </w:r>
      <w:bookmarkEnd w:id="8"/>
      <w:r>
        <w:t>)</w:t>
      </w:r>
      <w:r w:rsidRPr="00CC23A8">
        <w:t>, p. 30.</w:t>
      </w:r>
      <w:r>
        <w:rPr>
          <w:i/>
        </w:rPr>
        <w:t xml:space="preserve">   </w:t>
      </w:r>
    </w:p>
  </w:footnote>
  <w:footnote w:id="62">
    <w:p w14:paraId="0E61A1CF" w14:textId="77777777" w:rsidR="00EB22B3" w:rsidRPr="00EB22B3" w:rsidRDefault="00EB22B3">
      <w:pPr>
        <w:pStyle w:val="FootnoteText"/>
      </w:pPr>
      <w:r>
        <w:rPr>
          <w:rStyle w:val="FootnoteReference"/>
        </w:rPr>
        <w:footnoteRef/>
      </w:r>
      <w:r>
        <w:t xml:space="preserve"> Ying Fan, </w:t>
      </w:r>
      <w:r>
        <w:rPr>
          <w:i/>
        </w:rPr>
        <w:t>Guanxi Consequences,</w:t>
      </w:r>
      <w:r>
        <w:t xml:space="preserve"> p. 375. </w:t>
      </w:r>
    </w:p>
  </w:footnote>
  <w:footnote w:id="63">
    <w:p w14:paraId="52893539" w14:textId="77777777" w:rsidR="00EB22B3" w:rsidRDefault="00EB22B3">
      <w:pPr>
        <w:pStyle w:val="FootnoteText"/>
      </w:pPr>
      <w:r>
        <w:rPr>
          <w:rStyle w:val="FootnoteReference"/>
        </w:rPr>
        <w:footnoteRef/>
      </w:r>
      <w:r>
        <w:t xml:space="preserve"> Ibid., p. 374. </w:t>
      </w:r>
    </w:p>
  </w:footnote>
  <w:footnote w:id="64">
    <w:p w14:paraId="74CBC04B" w14:textId="77777777" w:rsidR="00EB22B3" w:rsidRPr="00EB22B3" w:rsidRDefault="00EB22B3">
      <w:pPr>
        <w:pStyle w:val="FootnoteText"/>
      </w:pPr>
      <w:r>
        <w:rPr>
          <w:rStyle w:val="FootnoteReference"/>
        </w:rPr>
        <w:footnoteRef/>
      </w:r>
      <w:r>
        <w:t xml:space="preserve"> Morgan and Hunt, </w:t>
      </w:r>
      <w:r>
        <w:rPr>
          <w:i/>
        </w:rPr>
        <w:t>Commitment Trust Theory</w:t>
      </w:r>
      <w:r>
        <w:t xml:space="preserve">, p. 369.  </w:t>
      </w:r>
    </w:p>
  </w:footnote>
  <w:footnote w:id="65">
    <w:p w14:paraId="479CEF5D" w14:textId="77777777" w:rsidR="00EB22B3" w:rsidRDefault="00EB22B3">
      <w:pPr>
        <w:pStyle w:val="FootnoteText"/>
      </w:pPr>
      <w:r>
        <w:rPr>
          <w:rStyle w:val="FootnoteReference"/>
        </w:rPr>
        <w:footnoteRef/>
      </w:r>
      <w:r>
        <w:t xml:space="preserve"> Ibid., p. 371.   </w:t>
      </w:r>
    </w:p>
  </w:footnote>
  <w:footnote w:id="66">
    <w:p w14:paraId="6A978ED6" w14:textId="77777777" w:rsidR="007C5EE0" w:rsidRPr="007C5EE0" w:rsidRDefault="007C5EE0">
      <w:pPr>
        <w:pStyle w:val="FootnoteText"/>
      </w:pPr>
      <w:r>
        <w:rPr>
          <w:rStyle w:val="FootnoteReference"/>
        </w:rPr>
        <w:footnoteRef/>
      </w:r>
      <w:r>
        <w:t xml:space="preserve"> Guo, </w:t>
      </w:r>
      <w:r>
        <w:rPr>
          <w:i/>
        </w:rPr>
        <w:t xml:space="preserve">Political Organisation, </w:t>
      </w:r>
      <w:r>
        <w:t xml:space="preserve">p. 20. </w:t>
      </w:r>
    </w:p>
  </w:footnote>
  <w:footnote w:id="67">
    <w:p w14:paraId="534F8F98" w14:textId="77777777" w:rsidR="001E2EB3" w:rsidRDefault="001E2EB3">
      <w:pPr>
        <w:pStyle w:val="FootnoteText"/>
      </w:pPr>
      <w:r>
        <w:rPr>
          <w:rStyle w:val="FootnoteReference"/>
        </w:rPr>
        <w:footnoteRef/>
      </w:r>
      <w:r>
        <w:t xml:space="preserve"> Ibid., p. 20. </w:t>
      </w:r>
    </w:p>
  </w:footnote>
  <w:footnote w:id="68">
    <w:p w14:paraId="2E448A9E" w14:textId="5FA31049" w:rsidR="001E2EB3" w:rsidRDefault="001E2EB3">
      <w:pPr>
        <w:pStyle w:val="FootnoteText"/>
      </w:pPr>
      <w:r>
        <w:rPr>
          <w:rStyle w:val="FootnoteReference"/>
        </w:rPr>
        <w:footnoteRef/>
      </w:r>
      <w:r>
        <w:t xml:space="preserve"> </w:t>
      </w:r>
      <w:r w:rsidR="00AD2CBC" w:rsidRPr="006A5024">
        <w:t>D. Chen</w:t>
      </w:r>
      <w:r w:rsidR="00AD2CBC" w:rsidRPr="00AD2CBC">
        <w:rPr>
          <w:i/>
        </w:rPr>
        <w:t>, ‘</w:t>
      </w:r>
      <w:r w:rsidR="00AD2CBC" w:rsidRPr="00526965">
        <w:t>Local Distrust and Regime Support: Sources and Effects of Political Trust in China’</w:t>
      </w:r>
      <w:r w:rsidR="00AD2CBC" w:rsidRPr="00AD2CBC">
        <w:rPr>
          <w:i/>
        </w:rPr>
        <w:t xml:space="preserve">, Political Research Quarterly, Vol. 70, No. 2 </w:t>
      </w:r>
      <w:r w:rsidR="00AD2CBC" w:rsidRPr="002F6021">
        <w:t>(2017</w:t>
      </w:r>
      <w:r w:rsidR="002F6021">
        <w:t>)</w:t>
      </w:r>
      <w:r w:rsidR="00AD2CBC" w:rsidRPr="00AD2CBC">
        <w:rPr>
          <w:i/>
        </w:rPr>
        <w:t>,</w:t>
      </w:r>
      <w:r w:rsidR="00AD2CBC" w:rsidRPr="00AD2CBC">
        <w:t xml:space="preserve"> p</w:t>
      </w:r>
      <w:r w:rsidR="00AD2CBC">
        <w:t xml:space="preserve">. 316.   </w:t>
      </w:r>
    </w:p>
  </w:footnote>
  <w:footnote w:id="69">
    <w:p w14:paraId="1686A56B" w14:textId="77777777" w:rsidR="00AD2CBC" w:rsidRDefault="00AD2CBC">
      <w:pPr>
        <w:pStyle w:val="FootnoteText"/>
      </w:pPr>
      <w:r>
        <w:rPr>
          <w:rStyle w:val="FootnoteReference"/>
        </w:rPr>
        <w:footnoteRef/>
      </w:r>
      <w:r>
        <w:t xml:space="preserve"> Ibid., p. 317. </w:t>
      </w:r>
    </w:p>
  </w:footnote>
  <w:footnote w:id="70">
    <w:p w14:paraId="4684C16D" w14:textId="77777777" w:rsidR="00AD2CBC" w:rsidRDefault="00AD2CBC">
      <w:pPr>
        <w:pStyle w:val="FootnoteText"/>
      </w:pPr>
      <w:r>
        <w:rPr>
          <w:rStyle w:val="FootnoteReference"/>
        </w:rPr>
        <w:footnoteRef/>
      </w:r>
      <w:r>
        <w:t xml:space="preserve"> Ibid., p. 318. </w:t>
      </w:r>
    </w:p>
  </w:footnote>
  <w:footnote w:id="71">
    <w:p w14:paraId="6DFD5E58" w14:textId="77777777" w:rsidR="00AD2CBC" w:rsidRDefault="00AD2CBC">
      <w:pPr>
        <w:pStyle w:val="FootnoteText"/>
      </w:pPr>
      <w:r>
        <w:rPr>
          <w:rStyle w:val="FootnoteReference"/>
        </w:rPr>
        <w:footnoteRef/>
      </w:r>
      <w:r>
        <w:t xml:space="preserve"> Guo, </w:t>
      </w:r>
      <w:r w:rsidRPr="00AD2CBC">
        <w:rPr>
          <w:i/>
        </w:rPr>
        <w:t>Political Organisation</w:t>
      </w:r>
      <w:r>
        <w:t xml:space="preserve">, p. 20. </w:t>
      </w:r>
    </w:p>
  </w:footnote>
  <w:footnote w:id="72">
    <w:p w14:paraId="2C193774" w14:textId="77777777" w:rsidR="00AD2CBC" w:rsidRPr="00AD2CBC" w:rsidRDefault="00AD2CBC">
      <w:pPr>
        <w:pStyle w:val="FootnoteText"/>
      </w:pPr>
      <w:r>
        <w:rPr>
          <w:rStyle w:val="FootnoteReference"/>
        </w:rPr>
        <w:footnoteRef/>
      </w:r>
      <w:r>
        <w:t xml:space="preserve"> Chen, </w:t>
      </w:r>
      <w:r>
        <w:rPr>
          <w:i/>
        </w:rPr>
        <w:t>Local Distrust</w:t>
      </w:r>
      <w:r>
        <w:t>,</w:t>
      </w:r>
      <w:r w:rsidR="00615696">
        <w:t xml:space="preserve"> p. 374. </w:t>
      </w:r>
      <w:r>
        <w:t xml:space="preserve"> </w:t>
      </w:r>
    </w:p>
  </w:footnote>
  <w:footnote w:id="73">
    <w:p w14:paraId="5E711CC1" w14:textId="77777777" w:rsidR="003306D0" w:rsidRDefault="003306D0">
      <w:pPr>
        <w:pStyle w:val="FootnoteText"/>
      </w:pPr>
      <w:r>
        <w:rPr>
          <w:rStyle w:val="FootnoteReference"/>
        </w:rPr>
        <w:footnoteRef/>
      </w:r>
      <w:r>
        <w:t xml:space="preserve"> Ibid., p. 374.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4B8A0" w14:textId="7894EF76" w:rsidR="00111C3B" w:rsidRDefault="00111C3B">
    <w:pPr>
      <w:pStyle w:val="Header"/>
    </w:pPr>
    <w:r>
      <w:t xml:space="preserve">Henry Gillson – Gant 1600129                                                                                                                                </w:t>
    </w:r>
    <w:r w:rsidRPr="00111C3B">
      <w:t>The Political System of the People's Republic of</w:t>
    </w:r>
    <w:r>
      <w:t xml:space="preserve"> </w:t>
    </w:r>
    <w:r w:rsidRPr="00111C3B">
      <w:t>China (HPCH5004, HPCH6004)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4FEF"/>
    <w:multiLevelType w:val="hybridMultilevel"/>
    <w:tmpl w:val="81D40748"/>
    <w:lvl w:ilvl="0" w:tplc="A8427E1E">
      <w:start w:val="1"/>
      <w:numFmt w:val="bullet"/>
      <w:lvlText w:val=""/>
      <w:lvlJc w:val="left"/>
      <w:pPr>
        <w:ind w:left="720" w:hanging="360"/>
      </w:pPr>
      <w:rPr>
        <w:rFonts w:ascii="Symbol" w:hAnsi="Symbol" w:hint="default"/>
      </w:rPr>
    </w:lvl>
    <w:lvl w:ilvl="1" w:tplc="E228B58A" w:tentative="1">
      <w:start w:val="1"/>
      <w:numFmt w:val="bullet"/>
      <w:lvlText w:val="o"/>
      <w:lvlJc w:val="left"/>
      <w:pPr>
        <w:ind w:left="1440" w:hanging="360"/>
      </w:pPr>
      <w:rPr>
        <w:rFonts w:ascii="Courier New" w:hAnsi="Courier New" w:cs="Courier New" w:hint="default"/>
      </w:rPr>
    </w:lvl>
    <w:lvl w:ilvl="2" w:tplc="E8CC5F74" w:tentative="1">
      <w:start w:val="1"/>
      <w:numFmt w:val="bullet"/>
      <w:lvlText w:val=""/>
      <w:lvlJc w:val="left"/>
      <w:pPr>
        <w:ind w:left="2160" w:hanging="360"/>
      </w:pPr>
      <w:rPr>
        <w:rFonts w:ascii="Wingdings" w:hAnsi="Wingdings" w:hint="default"/>
      </w:rPr>
    </w:lvl>
    <w:lvl w:ilvl="3" w:tplc="4EDA61FA" w:tentative="1">
      <w:start w:val="1"/>
      <w:numFmt w:val="bullet"/>
      <w:lvlText w:val=""/>
      <w:lvlJc w:val="left"/>
      <w:pPr>
        <w:ind w:left="2880" w:hanging="360"/>
      </w:pPr>
      <w:rPr>
        <w:rFonts w:ascii="Symbol" w:hAnsi="Symbol" w:hint="default"/>
      </w:rPr>
    </w:lvl>
    <w:lvl w:ilvl="4" w:tplc="21BEEED6" w:tentative="1">
      <w:start w:val="1"/>
      <w:numFmt w:val="bullet"/>
      <w:lvlText w:val="o"/>
      <w:lvlJc w:val="left"/>
      <w:pPr>
        <w:ind w:left="3600" w:hanging="360"/>
      </w:pPr>
      <w:rPr>
        <w:rFonts w:ascii="Courier New" w:hAnsi="Courier New" w:cs="Courier New" w:hint="default"/>
      </w:rPr>
    </w:lvl>
    <w:lvl w:ilvl="5" w:tplc="3A8C88A8" w:tentative="1">
      <w:start w:val="1"/>
      <w:numFmt w:val="bullet"/>
      <w:lvlText w:val=""/>
      <w:lvlJc w:val="left"/>
      <w:pPr>
        <w:ind w:left="4320" w:hanging="360"/>
      </w:pPr>
      <w:rPr>
        <w:rFonts w:ascii="Wingdings" w:hAnsi="Wingdings" w:hint="default"/>
      </w:rPr>
    </w:lvl>
    <w:lvl w:ilvl="6" w:tplc="27CE86D0" w:tentative="1">
      <w:start w:val="1"/>
      <w:numFmt w:val="bullet"/>
      <w:lvlText w:val=""/>
      <w:lvlJc w:val="left"/>
      <w:pPr>
        <w:ind w:left="5040" w:hanging="360"/>
      </w:pPr>
      <w:rPr>
        <w:rFonts w:ascii="Symbol" w:hAnsi="Symbol" w:hint="default"/>
      </w:rPr>
    </w:lvl>
    <w:lvl w:ilvl="7" w:tplc="53B6D170" w:tentative="1">
      <w:start w:val="1"/>
      <w:numFmt w:val="bullet"/>
      <w:lvlText w:val="o"/>
      <w:lvlJc w:val="left"/>
      <w:pPr>
        <w:ind w:left="5760" w:hanging="360"/>
      </w:pPr>
      <w:rPr>
        <w:rFonts w:ascii="Courier New" w:hAnsi="Courier New" w:cs="Courier New" w:hint="default"/>
      </w:rPr>
    </w:lvl>
    <w:lvl w:ilvl="8" w:tplc="611497A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658"/>
    <w:rsid w:val="00034BF8"/>
    <w:rsid w:val="00043B1C"/>
    <w:rsid w:val="00056D33"/>
    <w:rsid w:val="00095C78"/>
    <w:rsid w:val="000B68F9"/>
    <w:rsid w:val="000C6FB7"/>
    <w:rsid w:val="000D1C94"/>
    <w:rsid w:val="00104620"/>
    <w:rsid w:val="00106D08"/>
    <w:rsid w:val="00111C3B"/>
    <w:rsid w:val="00144F04"/>
    <w:rsid w:val="00160813"/>
    <w:rsid w:val="001B664B"/>
    <w:rsid w:val="001D3BDC"/>
    <w:rsid w:val="001E2EB3"/>
    <w:rsid w:val="001F792B"/>
    <w:rsid w:val="00223DAE"/>
    <w:rsid w:val="00257981"/>
    <w:rsid w:val="002F6021"/>
    <w:rsid w:val="0030383E"/>
    <w:rsid w:val="003058E8"/>
    <w:rsid w:val="003144E1"/>
    <w:rsid w:val="003159D7"/>
    <w:rsid w:val="00325F5F"/>
    <w:rsid w:val="003306D0"/>
    <w:rsid w:val="003520C9"/>
    <w:rsid w:val="00387586"/>
    <w:rsid w:val="00414A2F"/>
    <w:rsid w:val="00417630"/>
    <w:rsid w:val="00471658"/>
    <w:rsid w:val="00480C87"/>
    <w:rsid w:val="004C04AF"/>
    <w:rsid w:val="00506599"/>
    <w:rsid w:val="00526965"/>
    <w:rsid w:val="005555FE"/>
    <w:rsid w:val="005D0E39"/>
    <w:rsid w:val="005F42B0"/>
    <w:rsid w:val="00615696"/>
    <w:rsid w:val="006259D7"/>
    <w:rsid w:val="00627A53"/>
    <w:rsid w:val="0063393A"/>
    <w:rsid w:val="006361EE"/>
    <w:rsid w:val="00645AA2"/>
    <w:rsid w:val="00670F78"/>
    <w:rsid w:val="006A5024"/>
    <w:rsid w:val="006A5769"/>
    <w:rsid w:val="006D037A"/>
    <w:rsid w:val="007019EE"/>
    <w:rsid w:val="007209FB"/>
    <w:rsid w:val="0074636C"/>
    <w:rsid w:val="00774DFB"/>
    <w:rsid w:val="007C5EE0"/>
    <w:rsid w:val="007D4F86"/>
    <w:rsid w:val="008062BC"/>
    <w:rsid w:val="0084531D"/>
    <w:rsid w:val="0087569A"/>
    <w:rsid w:val="00896D0A"/>
    <w:rsid w:val="008A6937"/>
    <w:rsid w:val="008D0B8F"/>
    <w:rsid w:val="008F457A"/>
    <w:rsid w:val="00911AC3"/>
    <w:rsid w:val="00930E86"/>
    <w:rsid w:val="00974E88"/>
    <w:rsid w:val="009A5EF9"/>
    <w:rsid w:val="00A31241"/>
    <w:rsid w:val="00A3742C"/>
    <w:rsid w:val="00A5524A"/>
    <w:rsid w:val="00A713BD"/>
    <w:rsid w:val="00A8583F"/>
    <w:rsid w:val="00A9203A"/>
    <w:rsid w:val="00AD2CBC"/>
    <w:rsid w:val="00AD360C"/>
    <w:rsid w:val="00AD41A3"/>
    <w:rsid w:val="00B20B3E"/>
    <w:rsid w:val="00BA089E"/>
    <w:rsid w:val="00BD0BA7"/>
    <w:rsid w:val="00C15C43"/>
    <w:rsid w:val="00C33B35"/>
    <w:rsid w:val="00C73E43"/>
    <w:rsid w:val="00C7640F"/>
    <w:rsid w:val="00C87070"/>
    <w:rsid w:val="00C922F8"/>
    <w:rsid w:val="00CA5E0E"/>
    <w:rsid w:val="00CB6E7A"/>
    <w:rsid w:val="00CB7450"/>
    <w:rsid w:val="00CC23A8"/>
    <w:rsid w:val="00CD7A68"/>
    <w:rsid w:val="00D77DF2"/>
    <w:rsid w:val="00D91A49"/>
    <w:rsid w:val="00DD25CD"/>
    <w:rsid w:val="00DD6A03"/>
    <w:rsid w:val="00E03119"/>
    <w:rsid w:val="00E24CBE"/>
    <w:rsid w:val="00E81893"/>
    <w:rsid w:val="00EB22B3"/>
    <w:rsid w:val="00EC3F29"/>
    <w:rsid w:val="00F04D7F"/>
    <w:rsid w:val="00F467D0"/>
    <w:rsid w:val="00F53BA5"/>
    <w:rsid w:val="00F8776E"/>
    <w:rsid w:val="00F91CF6"/>
    <w:rsid w:val="00FC2D32"/>
    <w:rsid w:val="00FE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E2BF89"/>
  <w15:chartTrackingRefBased/>
  <w15:docId w15:val="{05DCD60D-259F-4F9A-B72C-EF99B3B2A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C87"/>
    <w:pPr>
      <w:ind w:left="720"/>
      <w:contextualSpacing/>
    </w:pPr>
  </w:style>
  <w:style w:type="paragraph" w:styleId="FootnoteText">
    <w:name w:val="footnote text"/>
    <w:basedOn w:val="Normal"/>
    <w:link w:val="FootnoteTextChar"/>
    <w:uiPriority w:val="99"/>
    <w:semiHidden/>
    <w:unhideWhenUsed/>
    <w:rsid w:val="00FE2A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2AEB"/>
    <w:rPr>
      <w:sz w:val="20"/>
      <w:szCs w:val="20"/>
    </w:rPr>
  </w:style>
  <w:style w:type="character" w:styleId="FootnoteReference">
    <w:name w:val="footnote reference"/>
    <w:basedOn w:val="DefaultParagraphFont"/>
    <w:uiPriority w:val="99"/>
    <w:semiHidden/>
    <w:unhideWhenUsed/>
    <w:rsid w:val="00FE2AEB"/>
    <w:rPr>
      <w:vertAlign w:val="superscript"/>
    </w:rPr>
  </w:style>
  <w:style w:type="character" w:styleId="CommentReference">
    <w:name w:val="annotation reference"/>
    <w:basedOn w:val="DefaultParagraphFont"/>
    <w:uiPriority w:val="99"/>
    <w:semiHidden/>
    <w:unhideWhenUsed/>
    <w:rsid w:val="006A5769"/>
    <w:rPr>
      <w:sz w:val="16"/>
      <w:szCs w:val="16"/>
    </w:rPr>
  </w:style>
  <w:style w:type="paragraph" w:styleId="CommentText">
    <w:name w:val="annotation text"/>
    <w:basedOn w:val="Normal"/>
    <w:link w:val="CommentTextChar"/>
    <w:uiPriority w:val="99"/>
    <w:semiHidden/>
    <w:unhideWhenUsed/>
    <w:rsid w:val="006A5769"/>
    <w:pPr>
      <w:spacing w:line="240" w:lineRule="auto"/>
    </w:pPr>
    <w:rPr>
      <w:sz w:val="20"/>
      <w:szCs w:val="20"/>
    </w:rPr>
  </w:style>
  <w:style w:type="character" w:customStyle="1" w:styleId="CommentTextChar">
    <w:name w:val="Comment Text Char"/>
    <w:basedOn w:val="DefaultParagraphFont"/>
    <w:link w:val="CommentText"/>
    <w:uiPriority w:val="99"/>
    <w:semiHidden/>
    <w:rsid w:val="006A5769"/>
    <w:rPr>
      <w:sz w:val="20"/>
      <w:szCs w:val="20"/>
    </w:rPr>
  </w:style>
  <w:style w:type="paragraph" w:styleId="CommentSubject">
    <w:name w:val="annotation subject"/>
    <w:basedOn w:val="CommentText"/>
    <w:next w:val="CommentText"/>
    <w:link w:val="CommentSubjectChar"/>
    <w:uiPriority w:val="99"/>
    <w:semiHidden/>
    <w:unhideWhenUsed/>
    <w:rsid w:val="006A5769"/>
    <w:rPr>
      <w:b/>
      <w:bCs/>
    </w:rPr>
  </w:style>
  <w:style w:type="character" w:customStyle="1" w:styleId="CommentSubjectChar">
    <w:name w:val="Comment Subject Char"/>
    <w:basedOn w:val="CommentTextChar"/>
    <w:link w:val="CommentSubject"/>
    <w:uiPriority w:val="99"/>
    <w:semiHidden/>
    <w:rsid w:val="006A5769"/>
    <w:rPr>
      <w:b/>
      <w:bCs/>
      <w:sz w:val="20"/>
      <w:szCs w:val="20"/>
    </w:rPr>
  </w:style>
  <w:style w:type="paragraph" w:styleId="BalloonText">
    <w:name w:val="Balloon Text"/>
    <w:basedOn w:val="Normal"/>
    <w:link w:val="BalloonTextChar"/>
    <w:uiPriority w:val="99"/>
    <w:semiHidden/>
    <w:unhideWhenUsed/>
    <w:rsid w:val="006A57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5769"/>
    <w:rPr>
      <w:rFonts w:ascii="Segoe UI" w:hAnsi="Segoe UI" w:cs="Segoe UI"/>
      <w:sz w:val="18"/>
      <w:szCs w:val="18"/>
    </w:rPr>
  </w:style>
  <w:style w:type="paragraph" w:styleId="Header">
    <w:name w:val="header"/>
    <w:basedOn w:val="Normal"/>
    <w:link w:val="HeaderChar"/>
    <w:uiPriority w:val="99"/>
    <w:unhideWhenUsed/>
    <w:rsid w:val="0011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3B"/>
  </w:style>
  <w:style w:type="paragraph" w:styleId="Footer">
    <w:name w:val="footer"/>
    <w:basedOn w:val="Normal"/>
    <w:link w:val="FooterChar"/>
    <w:uiPriority w:val="99"/>
    <w:unhideWhenUsed/>
    <w:rsid w:val="0011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F0F24-1D95-4CDF-BEAB-249DFDF86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Henry Gillson-Gant</dc:creator>
  <cp:lastModifiedBy>Henry Gillson-Gant</cp:lastModifiedBy>
  <cp:revision>2</cp:revision>
  <dcterms:created xsi:type="dcterms:W3CDTF">2019-03-05T10:52:00Z</dcterms:created>
  <dcterms:modified xsi:type="dcterms:W3CDTF">2019-03-05T10:52:00Z</dcterms:modified>
</cp:coreProperties>
</file>