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10B5B6" w14:textId="77777777" w:rsidR="005B12BC" w:rsidRPr="00A462B7" w:rsidRDefault="00000000">
      <w:pPr>
        <w:jc w:val="center"/>
        <w:rPr>
          <w:b/>
          <w:sz w:val="28"/>
          <w:szCs w:val="28"/>
        </w:rPr>
      </w:pPr>
      <w:r w:rsidRPr="00A462B7">
        <w:rPr>
          <w:noProof/>
        </w:rPr>
        <w:drawing>
          <wp:inline distT="114300" distB="114300" distL="114300" distR="114300" wp14:anchorId="56D8E779" wp14:editId="5A34EAEA">
            <wp:extent cx="2765588" cy="1294058"/>
            <wp:effectExtent l="0" t="0" r="0" b="0"/>
            <wp:docPr id="1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2765588" cy="1294058"/>
                    </a:xfrm>
                    <a:prstGeom prst="rect">
                      <a:avLst/>
                    </a:prstGeom>
                    <a:ln/>
                  </pic:spPr>
                </pic:pic>
              </a:graphicData>
            </a:graphic>
          </wp:inline>
        </w:drawing>
      </w:r>
    </w:p>
    <w:p w14:paraId="281813C2" w14:textId="77777777" w:rsidR="005B12BC" w:rsidRDefault="00000000">
      <w:pPr>
        <w:jc w:val="center"/>
        <w:rPr>
          <w:b/>
          <w:sz w:val="28"/>
          <w:szCs w:val="28"/>
        </w:rPr>
      </w:pPr>
      <w:r w:rsidRPr="00A462B7">
        <w:rPr>
          <w:b/>
          <w:sz w:val="28"/>
          <w:szCs w:val="28"/>
        </w:rPr>
        <w:t xml:space="preserve">BMIH6007 </w:t>
      </w:r>
    </w:p>
    <w:p w14:paraId="36BCF4C0" w14:textId="77777777" w:rsidR="001D755D" w:rsidRDefault="001D755D">
      <w:pPr>
        <w:jc w:val="center"/>
        <w:rPr>
          <w:b/>
          <w:sz w:val="28"/>
          <w:szCs w:val="28"/>
        </w:rPr>
      </w:pPr>
    </w:p>
    <w:p w14:paraId="2D110CE4" w14:textId="77777777" w:rsidR="001D755D" w:rsidRDefault="001D755D">
      <w:pPr>
        <w:jc w:val="center"/>
        <w:rPr>
          <w:b/>
          <w:sz w:val="28"/>
          <w:szCs w:val="28"/>
        </w:rPr>
      </w:pPr>
    </w:p>
    <w:p w14:paraId="60CF6047" w14:textId="77777777" w:rsidR="001D755D" w:rsidRPr="00A462B7" w:rsidRDefault="001D755D">
      <w:pPr>
        <w:jc w:val="center"/>
        <w:rPr>
          <w:b/>
          <w:sz w:val="28"/>
          <w:szCs w:val="28"/>
        </w:rPr>
      </w:pPr>
    </w:p>
    <w:p w14:paraId="3EBAD111" w14:textId="77777777" w:rsidR="005B12BC" w:rsidRPr="00A462B7" w:rsidRDefault="00000000">
      <w:pPr>
        <w:jc w:val="center"/>
        <w:rPr>
          <w:b/>
          <w:sz w:val="28"/>
          <w:szCs w:val="28"/>
        </w:rPr>
      </w:pPr>
      <w:r w:rsidRPr="00A462B7">
        <w:rPr>
          <w:b/>
          <w:sz w:val="28"/>
          <w:szCs w:val="28"/>
        </w:rPr>
        <w:t xml:space="preserve">International Meetings Management for the Hotel Industry </w:t>
      </w:r>
    </w:p>
    <w:p w14:paraId="1FF35FFB" w14:textId="77777777" w:rsidR="005B12BC" w:rsidRPr="00A462B7" w:rsidRDefault="00000000">
      <w:pPr>
        <w:jc w:val="center"/>
        <w:rPr>
          <w:b/>
          <w:sz w:val="28"/>
          <w:szCs w:val="28"/>
        </w:rPr>
      </w:pPr>
      <w:r w:rsidRPr="00A462B7">
        <w:rPr>
          <w:b/>
          <w:sz w:val="28"/>
          <w:szCs w:val="28"/>
        </w:rPr>
        <w:t>LEVEL 6</w:t>
      </w:r>
    </w:p>
    <w:p w14:paraId="56B5DBC0" w14:textId="77777777" w:rsidR="005B12BC" w:rsidRPr="00A462B7" w:rsidRDefault="00000000">
      <w:pPr>
        <w:jc w:val="center"/>
        <w:rPr>
          <w:b/>
          <w:sz w:val="28"/>
          <w:szCs w:val="28"/>
        </w:rPr>
      </w:pPr>
      <w:r w:rsidRPr="00A462B7">
        <w:rPr>
          <w:b/>
          <w:sz w:val="28"/>
          <w:szCs w:val="28"/>
        </w:rPr>
        <w:t>Assignment 2: Event Strategic Planning and Delivery Considerations for an International Meeting</w:t>
      </w:r>
    </w:p>
    <w:p w14:paraId="19BC3E1A" w14:textId="77777777" w:rsidR="005B12BC" w:rsidRPr="00A462B7" w:rsidRDefault="005B12BC">
      <w:pPr>
        <w:jc w:val="center"/>
        <w:rPr>
          <w:b/>
          <w:sz w:val="28"/>
          <w:szCs w:val="28"/>
        </w:rPr>
      </w:pPr>
    </w:p>
    <w:p w14:paraId="59933BCC" w14:textId="77777777" w:rsidR="005B12BC" w:rsidRDefault="005B12BC">
      <w:pPr>
        <w:jc w:val="center"/>
        <w:rPr>
          <w:b/>
          <w:sz w:val="28"/>
          <w:szCs w:val="28"/>
        </w:rPr>
      </w:pPr>
    </w:p>
    <w:p w14:paraId="4FB1B540" w14:textId="77777777" w:rsidR="001D755D" w:rsidRDefault="001D755D">
      <w:pPr>
        <w:jc w:val="center"/>
        <w:rPr>
          <w:b/>
          <w:sz w:val="28"/>
          <w:szCs w:val="28"/>
        </w:rPr>
      </w:pPr>
    </w:p>
    <w:p w14:paraId="1553C2FB" w14:textId="77777777" w:rsidR="001D755D" w:rsidRDefault="001D755D">
      <w:pPr>
        <w:jc w:val="center"/>
        <w:rPr>
          <w:b/>
          <w:sz w:val="28"/>
          <w:szCs w:val="28"/>
        </w:rPr>
      </w:pPr>
    </w:p>
    <w:p w14:paraId="49896D33" w14:textId="77777777" w:rsidR="001D755D" w:rsidRDefault="001D755D">
      <w:pPr>
        <w:jc w:val="center"/>
        <w:rPr>
          <w:b/>
          <w:sz w:val="28"/>
          <w:szCs w:val="28"/>
        </w:rPr>
      </w:pPr>
    </w:p>
    <w:p w14:paraId="0485E175" w14:textId="77777777" w:rsidR="001D755D" w:rsidRPr="00A462B7" w:rsidRDefault="001D755D">
      <w:pPr>
        <w:jc w:val="center"/>
        <w:rPr>
          <w:b/>
          <w:sz w:val="28"/>
          <w:szCs w:val="28"/>
        </w:rPr>
      </w:pPr>
    </w:p>
    <w:p w14:paraId="0069F687" w14:textId="77777777" w:rsidR="005B12BC" w:rsidRPr="00A462B7" w:rsidRDefault="005B12BC">
      <w:pPr>
        <w:jc w:val="center"/>
        <w:rPr>
          <w:b/>
          <w:sz w:val="28"/>
          <w:szCs w:val="28"/>
        </w:rPr>
      </w:pPr>
    </w:p>
    <w:p w14:paraId="7C233E5B" w14:textId="77777777" w:rsidR="005B12BC" w:rsidRPr="00A462B7" w:rsidRDefault="00000000">
      <w:pPr>
        <w:jc w:val="center"/>
        <w:rPr>
          <w:b/>
          <w:sz w:val="28"/>
          <w:szCs w:val="28"/>
        </w:rPr>
      </w:pPr>
      <w:r w:rsidRPr="00A462B7">
        <w:rPr>
          <w:b/>
          <w:sz w:val="28"/>
          <w:szCs w:val="28"/>
        </w:rPr>
        <w:t>Student Name: Maria Mihaela</w:t>
      </w:r>
    </w:p>
    <w:p w14:paraId="6F1C146E" w14:textId="481125F4" w:rsidR="005B12BC" w:rsidRPr="00A462B7" w:rsidRDefault="00000000">
      <w:pPr>
        <w:jc w:val="center"/>
        <w:rPr>
          <w:b/>
          <w:sz w:val="28"/>
          <w:szCs w:val="28"/>
        </w:rPr>
      </w:pPr>
      <w:r w:rsidRPr="00A462B7">
        <w:rPr>
          <w:b/>
          <w:sz w:val="28"/>
          <w:szCs w:val="28"/>
        </w:rPr>
        <w:t>Student ID:</w:t>
      </w:r>
      <w:r w:rsidR="00254D59">
        <w:rPr>
          <w:b/>
          <w:sz w:val="28"/>
          <w:szCs w:val="28"/>
        </w:rPr>
        <w:t xml:space="preserve"> 2226556</w:t>
      </w:r>
    </w:p>
    <w:p w14:paraId="2348B36D" w14:textId="77777777" w:rsidR="005B12BC" w:rsidRPr="00A462B7" w:rsidRDefault="005B12BC">
      <w:pPr>
        <w:jc w:val="center"/>
        <w:rPr>
          <w:b/>
          <w:sz w:val="28"/>
          <w:szCs w:val="28"/>
        </w:rPr>
      </w:pPr>
    </w:p>
    <w:p w14:paraId="371832FE" w14:textId="1E36F273" w:rsidR="005B12BC" w:rsidRPr="00A462B7" w:rsidRDefault="00000000">
      <w:pPr>
        <w:jc w:val="center"/>
        <w:rPr>
          <w:b/>
          <w:sz w:val="28"/>
          <w:szCs w:val="28"/>
        </w:rPr>
      </w:pPr>
      <w:r w:rsidRPr="00A462B7">
        <w:rPr>
          <w:b/>
          <w:sz w:val="28"/>
          <w:szCs w:val="28"/>
        </w:rPr>
        <w:t xml:space="preserve">Lecturer Name: </w:t>
      </w:r>
      <w:r w:rsidR="00254D59">
        <w:rPr>
          <w:b/>
          <w:sz w:val="28"/>
          <w:szCs w:val="28"/>
        </w:rPr>
        <w:t>Kathryn Flynn</w:t>
      </w:r>
      <w:r w:rsidRPr="00A462B7">
        <w:br w:type="page"/>
      </w:r>
    </w:p>
    <w:p w14:paraId="3668FE4F" w14:textId="77777777" w:rsidR="005B12BC" w:rsidRPr="00A462B7" w:rsidRDefault="00000000">
      <w:pPr>
        <w:spacing w:after="200"/>
        <w:jc w:val="center"/>
        <w:rPr>
          <w:b/>
        </w:rPr>
      </w:pPr>
      <w:r w:rsidRPr="00A462B7">
        <w:rPr>
          <w:b/>
        </w:rPr>
        <w:lastRenderedPageBreak/>
        <w:t xml:space="preserve">Executive Summary </w:t>
      </w:r>
    </w:p>
    <w:p w14:paraId="74F0F3D7" w14:textId="77777777" w:rsidR="005B12BC" w:rsidRPr="00A462B7" w:rsidRDefault="00000000">
      <w:pPr>
        <w:rPr>
          <w:rFonts w:ascii="Arial" w:eastAsia="Arial" w:hAnsi="Arial" w:cs="Arial"/>
          <w:sz w:val="22"/>
          <w:szCs w:val="22"/>
        </w:rPr>
      </w:pPr>
      <w:r w:rsidRPr="00A462B7">
        <w:t xml:space="preserve">The proposed “Global Culinary Art Summit 2025” seeks to unite leading cooks, culinary professionals and UK food lovers for an engaging food experience. This gathering will concentrate on aspects like innovation, sustainability and international culinary trends. Theories and models like </w:t>
      </w:r>
      <w:r w:rsidRPr="00A462B7">
        <w:rPr>
          <w:i/>
        </w:rPr>
        <w:t xml:space="preserve">‘the theory of event operations, Critical Path Method, Event Management Body of Knowledge Model (EMBOK), 7Ps of Marketing and Maslow’s Hierarchy of Needs’ </w:t>
      </w:r>
      <w:r w:rsidRPr="00A462B7">
        <w:t xml:space="preserve">can be embraced for marketing, operational and planning activities. The trends in the industry include the </w:t>
      </w:r>
      <w:r w:rsidRPr="00A462B7">
        <w:rPr>
          <w:i/>
        </w:rPr>
        <w:t>‘increasing need for diversity and inclusion (EDI), advancement of hybrid events, impact of sustainability and environmental aspects, growing number of food carnivals and identical cultural occasions’</w:t>
      </w:r>
      <w:r w:rsidRPr="00A462B7">
        <w:rPr>
          <w:b/>
          <w:i/>
        </w:rPr>
        <w:t xml:space="preserve"> </w:t>
      </w:r>
      <w:r w:rsidRPr="00A462B7">
        <w:t xml:space="preserve">Also, the PESTLE framework can help in considering situational and cultural aspects of the event. </w:t>
      </w:r>
    </w:p>
    <w:p w14:paraId="5AC76276" w14:textId="77777777" w:rsidR="005B12BC" w:rsidRPr="00A462B7" w:rsidRDefault="00000000">
      <w:pPr>
        <w:rPr>
          <w:b/>
        </w:rPr>
      </w:pPr>
      <w:r w:rsidRPr="00A462B7">
        <w:br w:type="page"/>
      </w:r>
    </w:p>
    <w:p w14:paraId="2E191D50" w14:textId="77777777" w:rsidR="005B12BC" w:rsidRPr="00A462B7" w:rsidRDefault="00000000">
      <w:pPr>
        <w:spacing w:after="200"/>
        <w:jc w:val="center"/>
      </w:pPr>
      <w:r w:rsidRPr="00A462B7">
        <w:rPr>
          <w:b/>
        </w:rPr>
        <w:lastRenderedPageBreak/>
        <w:t xml:space="preserve">Table of Content </w:t>
      </w:r>
    </w:p>
    <w:sdt>
      <w:sdtPr>
        <w:id w:val="611715844"/>
        <w:docPartObj>
          <w:docPartGallery w:val="Table of Contents"/>
          <w:docPartUnique/>
        </w:docPartObj>
      </w:sdtPr>
      <w:sdtContent>
        <w:p w14:paraId="148654BD" w14:textId="77777777" w:rsidR="005B12BC" w:rsidRPr="00A462B7" w:rsidRDefault="005B12BC">
          <w:pPr>
            <w:widowControl w:val="0"/>
            <w:tabs>
              <w:tab w:val="right" w:pos="12000"/>
            </w:tabs>
            <w:spacing w:before="60"/>
            <w:rPr>
              <w:rFonts w:ascii="Arial" w:eastAsia="Arial" w:hAnsi="Arial" w:cs="Arial"/>
              <w:b/>
              <w:sz w:val="22"/>
              <w:szCs w:val="22"/>
            </w:rPr>
          </w:pPr>
          <w:r w:rsidRPr="00A462B7">
            <w:fldChar w:fldCharType="begin"/>
          </w:r>
          <w:r w:rsidRPr="00A462B7">
            <w:instrText xml:space="preserve"> TOC \h \u \z \t "Heading 1,1,Heading 2,2,Heading 3,3,Heading 4,4,Heading 5,5,Heading 6,6,"</w:instrText>
          </w:r>
          <w:r w:rsidRPr="00A462B7">
            <w:fldChar w:fldCharType="separate"/>
          </w:r>
          <w:hyperlink w:anchor="_heading=h.gjdgxs">
            <w:r w:rsidRPr="00A462B7">
              <w:t>1. Introduction</w:t>
            </w:r>
            <w:r w:rsidRPr="00A462B7">
              <w:tab/>
              <w:t>3</w:t>
            </w:r>
          </w:hyperlink>
        </w:p>
        <w:p w14:paraId="006DA5DD" w14:textId="77777777" w:rsidR="005B12BC" w:rsidRPr="00A462B7" w:rsidRDefault="005B12BC">
          <w:pPr>
            <w:widowControl w:val="0"/>
            <w:tabs>
              <w:tab w:val="right" w:pos="12000"/>
            </w:tabs>
            <w:spacing w:before="60"/>
            <w:rPr>
              <w:rFonts w:ascii="Arial" w:eastAsia="Arial" w:hAnsi="Arial" w:cs="Arial"/>
              <w:b/>
              <w:sz w:val="22"/>
              <w:szCs w:val="22"/>
            </w:rPr>
          </w:pPr>
          <w:hyperlink w:anchor="_heading=h.30j0zll">
            <w:r w:rsidRPr="00A462B7">
              <w:t>2. The Event Cycle</w:t>
            </w:r>
            <w:r w:rsidRPr="00A462B7">
              <w:tab/>
              <w:t>3</w:t>
            </w:r>
          </w:hyperlink>
        </w:p>
        <w:p w14:paraId="0980C28A" w14:textId="77777777" w:rsidR="005B12BC" w:rsidRPr="00A462B7" w:rsidRDefault="005B12BC">
          <w:pPr>
            <w:widowControl w:val="0"/>
            <w:tabs>
              <w:tab w:val="right" w:pos="12000"/>
            </w:tabs>
            <w:spacing w:before="60"/>
            <w:rPr>
              <w:rFonts w:ascii="Arial" w:eastAsia="Arial" w:hAnsi="Arial" w:cs="Arial"/>
              <w:b/>
              <w:sz w:val="22"/>
              <w:szCs w:val="22"/>
            </w:rPr>
          </w:pPr>
          <w:hyperlink w:anchor="_heading=h.1fob9te">
            <w:r w:rsidRPr="00A462B7">
              <w:t>3. Event Concept</w:t>
            </w:r>
            <w:r w:rsidRPr="00A462B7">
              <w:tab/>
              <w:t>5</w:t>
            </w:r>
          </w:hyperlink>
        </w:p>
        <w:p w14:paraId="2BB3E4E7" w14:textId="77777777" w:rsidR="005B12BC" w:rsidRPr="00A462B7" w:rsidRDefault="005B12BC">
          <w:pPr>
            <w:widowControl w:val="0"/>
            <w:tabs>
              <w:tab w:val="right" w:pos="12000"/>
            </w:tabs>
            <w:spacing w:before="60"/>
            <w:rPr>
              <w:rFonts w:ascii="Arial" w:eastAsia="Arial" w:hAnsi="Arial" w:cs="Arial"/>
              <w:b/>
              <w:sz w:val="22"/>
              <w:szCs w:val="22"/>
            </w:rPr>
          </w:pPr>
          <w:hyperlink w:anchor="_heading=h.3znysh7">
            <w:r w:rsidRPr="00A462B7">
              <w:t>4. Aim and objectives of the meeting/event</w:t>
            </w:r>
            <w:r w:rsidRPr="00A462B7">
              <w:tab/>
              <w:t>5</w:t>
            </w:r>
          </w:hyperlink>
        </w:p>
        <w:p w14:paraId="2F613CCF" w14:textId="77777777" w:rsidR="005B12BC" w:rsidRPr="00A462B7" w:rsidRDefault="005B12BC">
          <w:pPr>
            <w:widowControl w:val="0"/>
            <w:tabs>
              <w:tab w:val="right" w:pos="12000"/>
            </w:tabs>
            <w:spacing w:before="60"/>
            <w:rPr>
              <w:rFonts w:ascii="Arial" w:eastAsia="Arial" w:hAnsi="Arial" w:cs="Arial"/>
              <w:b/>
              <w:sz w:val="22"/>
              <w:szCs w:val="22"/>
            </w:rPr>
          </w:pPr>
          <w:hyperlink w:anchor="_heading=h.2et92p0">
            <w:r w:rsidRPr="00A462B7">
              <w:t>5. Event Management</w:t>
            </w:r>
            <w:r w:rsidRPr="00A462B7">
              <w:tab/>
              <w:t>6</w:t>
            </w:r>
          </w:hyperlink>
        </w:p>
        <w:p w14:paraId="4066ACF3" w14:textId="77777777" w:rsidR="005B12BC" w:rsidRPr="00A462B7" w:rsidRDefault="005B12BC">
          <w:pPr>
            <w:widowControl w:val="0"/>
            <w:tabs>
              <w:tab w:val="right" w:pos="12000"/>
            </w:tabs>
            <w:spacing w:before="60"/>
            <w:rPr>
              <w:rFonts w:ascii="Arial" w:eastAsia="Arial" w:hAnsi="Arial" w:cs="Arial"/>
              <w:b/>
              <w:sz w:val="22"/>
              <w:szCs w:val="22"/>
            </w:rPr>
          </w:pPr>
          <w:hyperlink w:anchor="_heading=h.tyjcwt">
            <w:r w:rsidRPr="00A462B7">
              <w:t>6. Event Budget</w:t>
            </w:r>
            <w:r w:rsidRPr="00A462B7">
              <w:tab/>
              <w:t>8</w:t>
            </w:r>
          </w:hyperlink>
        </w:p>
        <w:p w14:paraId="3E05BD02" w14:textId="77777777" w:rsidR="005B12BC" w:rsidRPr="00A462B7" w:rsidRDefault="005B12BC">
          <w:pPr>
            <w:widowControl w:val="0"/>
            <w:tabs>
              <w:tab w:val="right" w:pos="12000"/>
            </w:tabs>
            <w:spacing w:before="60"/>
            <w:rPr>
              <w:rFonts w:ascii="Arial" w:eastAsia="Arial" w:hAnsi="Arial" w:cs="Arial"/>
              <w:b/>
              <w:sz w:val="22"/>
              <w:szCs w:val="22"/>
            </w:rPr>
          </w:pPr>
          <w:hyperlink w:anchor="_heading=h.3dy6vkm">
            <w:r w:rsidRPr="00A462B7">
              <w:t>7. Industry Trends/issues/Impacts</w:t>
            </w:r>
            <w:r w:rsidRPr="00A462B7">
              <w:tab/>
              <w:t>9</w:t>
            </w:r>
          </w:hyperlink>
        </w:p>
        <w:p w14:paraId="7D30C5E5" w14:textId="77777777" w:rsidR="005B12BC" w:rsidRPr="00A462B7" w:rsidRDefault="005B12BC">
          <w:pPr>
            <w:widowControl w:val="0"/>
            <w:tabs>
              <w:tab w:val="right" w:pos="12000"/>
            </w:tabs>
            <w:spacing w:before="60"/>
            <w:rPr>
              <w:rFonts w:ascii="Arial" w:eastAsia="Arial" w:hAnsi="Arial" w:cs="Arial"/>
              <w:b/>
              <w:sz w:val="22"/>
              <w:szCs w:val="22"/>
            </w:rPr>
          </w:pPr>
          <w:hyperlink w:anchor="_heading=h.1t3h5sf">
            <w:r w:rsidRPr="00A462B7">
              <w:t>8. Situational and Cultural Considerations</w:t>
            </w:r>
            <w:r w:rsidRPr="00A462B7">
              <w:tab/>
              <w:t>11</w:t>
            </w:r>
          </w:hyperlink>
        </w:p>
        <w:p w14:paraId="5324F008" w14:textId="77777777" w:rsidR="005B12BC" w:rsidRPr="00A462B7" w:rsidRDefault="005B12BC">
          <w:pPr>
            <w:widowControl w:val="0"/>
            <w:tabs>
              <w:tab w:val="right" w:pos="12000"/>
            </w:tabs>
            <w:spacing w:before="60"/>
            <w:ind w:left="360"/>
            <w:rPr>
              <w:rFonts w:ascii="Arial" w:eastAsia="Arial" w:hAnsi="Arial" w:cs="Arial"/>
              <w:sz w:val="22"/>
              <w:szCs w:val="22"/>
            </w:rPr>
          </w:pPr>
          <w:hyperlink w:anchor="_heading=h.4d34og8">
            <w:r w:rsidRPr="00A462B7">
              <w:t>8.1 PESTLE</w:t>
            </w:r>
            <w:r w:rsidRPr="00A462B7">
              <w:tab/>
              <w:t>11</w:t>
            </w:r>
          </w:hyperlink>
        </w:p>
        <w:p w14:paraId="4B1936E7" w14:textId="77777777" w:rsidR="005B12BC" w:rsidRPr="00A462B7" w:rsidRDefault="005B12BC">
          <w:pPr>
            <w:widowControl w:val="0"/>
            <w:tabs>
              <w:tab w:val="right" w:pos="12000"/>
            </w:tabs>
            <w:spacing w:before="60"/>
            <w:rPr>
              <w:rFonts w:ascii="Arial" w:eastAsia="Arial" w:hAnsi="Arial" w:cs="Arial"/>
              <w:b/>
              <w:sz w:val="22"/>
              <w:szCs w:val="22"/>
            </w:rPr>
          </w:pPr>
          <w:hyperlink w:anchor="_heading=h.2s8eyo1">
            <w:r w:rsidRPr="00A462B7">
              <w:t>9. Conclusion</w:t>
            </w:r>
            <w:r w:rsidRPr="00A462B7">
              <w:tab/>
              <w:t>13</w:t>
            </w:r>
          </w:hyperlink>
        </w:p>
        <w:p w14:paraId="215C0726" w14:textId="77777777" w:rsidR="005B12BC" w:rsidRPr="00A462B7" w:rsidRDefault="005B12BC">
          <w:pPr>
            <w:widowControl w:val="0"/>
            <w:tabs>
              <w:tab w:val="right" w:pos="12000"/>
            </w:tabs>
            <w:spacing w:before="60"/>
            <w:rPr>
              <w:rFonts w:ascii="Arial" w:eastAsia="Arial" w:hAnsi="Arial" w:cs="Arial"/>
              <w:b/>
              <w:sz w:val="22"/>
              <w:szCs w:val="22"/>
            </w:rPr>
          </w:pPr>
          <w:hyperlink w:anchor="_heading=h.17dp8vu">
            <w:r w:rsidRPr="00A462B7">
              <w:t>10. References</w:t>
            </w:r>
            <w:r w:rsidRPr="00A462B7">
              <w:tab/>
              <w:t>14</w:t>
            </w:r>
          </w:hyperlink>
          <w:r w:rsidRPr="00A462B7">
            <w:fldChar w:fldCharType="end"/>
          </w:r>
        </w:p>
      </w:sdtContent>
    </w:sdt>
    <w:p w14:paraId="628AFE5D" w14:textId="77777777" w:rsidR="005B12BC" w:rsidRPr="00A462B7" w:rsidRDefault="00000000">
      <w:r w:rsidRPr="00A462B7">
        <w:br w:type="page"/>
      </w:r>
    </w:p>
    <w:p w14:paraId="094D3385" w14:textId="77777777" w:rsidR="005B12BC" w:rsidRPr="00A462B7" w:rsidRDefault="00000000">
      <w:pPr>
        <w:pStyle w:val="Heading1"/>
      </w:pPr>
      <w:bookmarkStart w:id="0" w:name="_heading=h.gjdgxs" w:colFirst="0" w:colLast="0"/>
      <w:bookmarkEnd w:id="0"/>
      <w:r w:rsidRPr="00A462B7">
        <w:lastRenderedPageBreak/>
        <w:t>1. Introduction</w:t>
      </w:r>
    </w:p>
    <w:p w14:paraId="71BE20D9" w14:textId="77777777" w:rsidR="005B12BC" w:rsidRPr="00A462B7" w:rsidRDefault="00000000">
      <w:r w:rsidRPr="00A462B7">
        <w:t xml:space="preserve">The meeting event is planned as a diverse cultural association of different professionals and people coming to visit and have multiple cuisine flavours in one place. Jones-Evans (2022) revealed that the event industry had contributed about £84 billion per year to the UK economy from hospitality events, and conferences. In fact, the event industry has flourished widely at large scale by shortlisting about 900 startup opportunities in the art of culinary business with a turnover of £300 million. The MICE industry stands for Meetings, Incentives, Conventions and Events, which are fundamental attributes in the hospitality sector, which has facilitated economic growth with trade, communication and technology (Mair and Smith, 2022). This changes the social and economic dimensions of sustainable development of trading practices and cultural diversification maintaining equality in trading communication. </w:t>
      </w:r>
    </w:p>
    <w:p w14:paraId="25FF1321" w14:textId="77777777" w:rsidR="005B12BC" w:rsidRPr="00A462B7" w:rsidRDefault="00000000">
      <w:r w:rsidRPr="00A462B7">
        <w:t>The report includes planning of “</w:t>
      </w:r>
      <w:r w:rsidRPr="00A462B7">
        <w:rPr>
          <w:b/>
          <w:i/>
        </w:rPr>
        <w:t>Global Culinary Art Summit 2025</w:t>
      </w:r>
      <w:r w:rsidRPr="00A462B7">
        <w:t xml:space="preserve">”, whose purpose is to influence and establish </w:t>
      </w:r>
      <w:r w:rsidRPr="00A462B7">
        <w:rPr>
          <w:b/>
          <w:i/>
        </w:rPr>
        <w:t xml:space="preserve">Equality, Diversity and Inclusion </w:t>
      </w:r>
      <w:r w:rsidRPr="00A462B7">
        <w:t xml:space="preserve">within the hospitality sector that can emerge from all cultural elements in one space. Apart from the stated event, other UK-based events contributing to the MICE industry are </w:t>
      </w:r>
      <w:r w:rsidRPr="00A462B7">
        <w:rPr>
          <w:i/>
        </w:rPr>
        <w:t>“The Great British Food Festival”</w:t>
      </w:r>
      <w:r w:rsidRPr="00A462B7">
        <w:t xml:space="preserve">, </w:t>
      </w:r>
      <w:r w:rsidRPr="00A462B7">
        <w:rPr>
          <w:i/>
        </w:rPr>
        <w:t>“The Food &amp; Drink Expo”</w:t>
      </w:r>
      <w:r w:rsidRPr="00A462B7">
        <w:t xml:space="preserve">, </w:t>
      </w:r>
      <w:r w:rsidRPr="00A462B7">
        <w:rPr>
          <w:i/>
        </w:rPr>
        <w:t>“London Restaurant Expo”</w:t>
      </w:r>
      <w:r w:rsidRPr="00A462B7">
        <w:t xml:space="preserve"> and </w:t>
      </w:r>
      <w:r w:rsidRPr="00A462B7">
        <w:rPr>
          <w:i/>
        </w:rPr>
        <w:t>“Taste of London”</w:t>
      </w:r>
      <w:r w:rsidRPr="00A462B7">
        <w:t xml:space="preserve"> festival. These events correspond with the goals of the summit aiming to provoke food mastery and networking. The selected event will be held in the chosen location “Somerset House” based in central London, which is well equipped with a capacity of 300 guests and seating arrangements for dinner and dining experience. </w:t>
      </w:r>
    </w:p>
    <w:p w14:paraId="458D9ADA" w14:textId="77777777" w:rsidR="005B12BC" w:rsidRPr="00A462B7" w:rsidRDefault="00000000">
      <w:pPr>
        <w:pStyle w:val="Heading1"/>
      </w:pPr>
      <w:bookmarkStart w:id="1" w:name="_heading=h.30j0zll" w:colFirst="0" w:colLast="0"/>
      <w:bookmarkEnd w:id="1"/>
      <w:r w:rsidRPr="00A462B7">
        <w:t xml:space="preserve">2. The Event Cycle </w:t>
      </w:r>
    </w:p>
    <w:p w14:paraId="647A6A12" w14:textId="77777777" w:rsidR="005B12BC" w:rsidRPr="00A462B7" w:rsidRDefault="00000000">
      <w:r w:rsidRPr="00A462B7">
        <w:t xml:space="preserve">An event Cycle has been defined as a systematic stage of the planned execution of event activities, which would include core responsibilities of operations and marketing promotions. However, to do this, proper research is important. Fox </w:t>
      </w:r>
      <w:r w:rsidRPr="00A462B7">
        <w:rPr>
          <w:i/>
        </w:rPr>
        <w:t xml:space="preserve">et al. </w:t>
      </w:r>
      <w:r w:rsidRPr="00A462B7">
        <w:t xml:space="preserve">(2024) guide to doing proper research in the domain of events. Gore </w:t>
      </w:r>
      <w:r w:rsidRPr="00A462B7">
        <w:rPr>
          <w:i/>
        </w:rPr>
        <w:t>et al.</w:t>
      </w:r>
      <w:r w:rsidRPr="00A462B7">
        <w:t xml:space="preserve"> (2024) stated an event cycle including five specific stages of development in order to maximise the trade benefits and return on invested areas. </w:t>
      </w:r>
    </w:p>
    <w:p w14:paraId="47441C51" w14:textId="77777777" w:rsidR="005B12BC" w:rsidRPr="00A462B7" w:rsidRDefault="00000000">
      <w:pPr>
        <w:spacing w:after="200"/>
        <w:jc w:val="center"/>
      </w:pPr>
      <w:r w:rsidRPr="00A462B7">
        <w:rPr>
          <w:noProof/>
        </w:rPr>
        <w:lastRenderedPageBreak/>
        <w:drawing>
          <wp:inline distT="114300" distB="114300" distL="114300" distR="114300" wp14:anchorId="3B250AAB" wp14:editId="17171F09">
            <wp:extent cx="4036020" cy="2252663"/>
            <wp:effectExtent l="25400" t="25400" r="25400" b="25400"/>
            <wp:docPr id="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036020" cy="2252663"/>
                    </a:xfrm>
                    <a:prstGeom prst="rect">
                      <a:avLst/>
                    </a:prstGeom>
                    <a:ln w="25400">
                      <a:solidFill>
                        <a:srgbClr val="000000"/>
                      </a:solidFill>
                      <a:prstDash val="solid"/>
                    </a:ln>
                  </pic:spPr>
                </pic:pic>
              </a:graphicData>
            </a:graphic>
          </wp:inline>
        </w:drawing>
      </w:r>
    </w:p>
    <w:p w14:paraId="1AFF18DC" w14:textId="77777777" w:rsidR="005B12BC" w:rsidRPr="00A462B7" w:rsidRDefault="00000000">
      <w:pPr>
        <w:jc w:val="center"/>
        <w:rPr>
          <w:b/>
          <w:i/>
        </w:rPr>
      </w:pPr>
      <w:r w:rsidRPr="00A462B7">
        <w:rPr>
          <w:b/>
          <w:i/>
        </w:rPr>
        <w:t xml:space="preserve">Figure 1: Event Cycle Stages </w:t>
      </w:r>
    </w:p>
    <w:p w14:paraId="476963B2" w14:textId="77777777" w:rsidR="005B12BC" w:rsidRPr="00A462B7" w:rsidRDefault="00000000">
      <w:pPr>
        <w:spacing w:after="200"/>
        <w:jc w:val="center"/>
      </w:pPr>
      <w:r w:rsidRPr="00A462B7">
        <w:t>(Inspired by Getz and Page, 2019)</w:t>
      </w:r>
    </w:p>
    <w:p w14:paraId="31229136" w14:textId="77777777" w:rsidR="005B12BC" w:rsidRPr="00A462B7" w:rsidRDefault="00000000">
      <w:r w:rsidRPr="00A462B7">
        <w:t xml:space="preserve">According to this inspired event cycle stages demonstrated above, the stages of the planned “Global Culinary Art Summit” would include the primary </w:t>
      </w:r>
      <w:r w:rsidRPr="00A462B7">
        <w:rPr>
          <w:b/>
          <w:i/>
        </w:rPr>
        <w:t xml:space="preserve">stage of the plan, </w:t>
      </w:r>
      <w:r w:rsidRPr="00A462B7">
        <w:t xml:space="preserve">which has been mainly to select the venue, feasibility of the selected venue, which is suitable for all visitors to come from any location. This planning stage also includes the budget including the overall expenditure of the summit for its decoration, lights and marketing promotions and including the staffing requirements to manage guests’ services from the entry points to the exit points. As per the learned framework of core planned events, multiple stakeholders are the attractive points, who are targeted for the stage of planning of core events (Getz and Page, 2019). Secondly, </w:t>
      </w:r>
      <w:r w:rsidRPr="00A462B7">
        <w:rPr>
          <w:b/>
          <w:i/>
        </w:rPr>
        <w:t>stage two</w:t>
      </w:r>
      <w:r w:rsidRPr="00A462B7">
        <w:t xml:space="preserve"> is “</w:t>
      </w:r>
      <w:r w:rsidRPr="00A462B7">
        <w:rPr>
          <w:b/>
          <w:i/>
        </w:rPr>
        <w:t xml:space="preserve">organising the event” </w:t>
      </w:r>
      <w:r w:rsidRPr="00A462B7">
        <w:t xml:space="preserve">which has been illustrated as the marketing activities or promotion, which has been considered in the planning stage, where social media ads, and physical ads like banners, posters, and leaflets have also been equally given preference for this culinary art summit. </w:t>
      </w:r>
    </w:p>
    <w:p w14:paraId="16298D86" w14:textId="77777777" w:rsidR="005B12BC" w:rsidRPr="00A462B7" w:rsidRDefault="00000000">
      <w:r w:rsidRPr="00A462B7">
        <w:t xml:space="preserve">\This stage has been followed by the </w:t>
      </w:r>
      <w:r w:rsidRPr="00A462B7">
        <w:rPr>
          <w:b/>
          <w:i/>
        </w:rPr>
        <w:t>third stage of “measuring the event experience feedback”</w:t>
      </w:r>
      <w:r w:rsidRPr="00A462B7">
        <w:t xml:space="preserve"> which has been planned to take reviews from the visitors/guest’s post-event experience. Sustainable approaches to event measurement enhance the expectations of customers and achieve social sustainability (Mair and Smith, 2022). The </w:t>
      </w:r>
      <w:r w:rsidRPr="00A462B7">
        <w:rPr>
          <w:b/>
          <w:i/>
        </w:rPr>
        <w:t xml:space="preserve">fourth stage is to analyse </w:t>
      </w:r>
      <w:r w:rsidRPr="00A462B7">
        <w:t xml:space="preserve">the outcome of this Global Culinary Art Summit, which will be conducted. Getz and Page (2019) depicted the various forces that shape and influence cultural events and help in identifying the key strengths and weaknesses of the event outcomes and feedback. From the stated event of culinary art, it would further reconsider the areas of changes that can be modified further and ultimately </w:t>
      </w:r>
      <w:r w:rsidRPr="00A462B7">
        <w:rPr>
          <w:b/>
          <w:i/>
        </w:rPr>
        <w:t>share the final stage</w:t>
      </w:r>
      <w:r w:rsidRPr="00A462B7">
        <w:t xml:space="preserve"> of action points to advance new areas of future events. </w:t>
      </w:r>
    </w:p>
    <w:p w14:paraId="53271D67" w14:textId="77777777" w:rsidR="005B12BC" w:rsidRPr="00A462B7" w:rsidRDefault="00000000">
      <w:pPr>
        <w:pStyle w:val="Heading1"/>
      </w:pPr>
      <w:bookmarkStart w:id="2" w:name="_heading=h.1fob9te" w:colFirst="0" w:colLast="0"/>
      <w:bookmarkEnd w:id="2"/>
      <w:r w:rsidRPr="00A462B7">
        <w:lastRenderedPageBreak/>
        <w:t xml:space="preserve">3. Event Concept </w:t>
      </w:r>
    </w:p>
    <w:p w14:paraId="1E9FDC73" w14:textId="77777777" w:rsidR="005B12BC" w:rsidRPr="00A462B7" w:rsidRDefault="00000000">
      <w:pPr>
        <w:rPr>
          <w:b/>
          <w:u w:val="single"/>
        </w:rPr>
      </w:pPr>
      <w:r w:rsidRPr="00A462B7">
        <w:rPr>
          <w:b/>
          <w:u w:val="single"/>
        </w:rPr>
        <w:t xml:space="preserve">Day of Summit: </w:t>
      </w:r>
    </w:p>
    <w:p w14:paraId="75D8EE0F" w14:textId="77777777" w:rsidR="005B12BC" w:rsidRPr="00A462B7" w:rsidRDefault="00000000">
      <w:pPr>
        <w:rPr>
          <w:b/>
        </w:rPr>
      </w:pPr>
      <w:r w:rsidRPr="00A462B7">
        <w:rPr>
          <w:b/>
        </w:rPr>
        <w:t xml:space="preserve">Time in the morning: 9 AM- 11 AM </w:t>
      </w:r>
    </w:p>
    <w:p w14:paraId="1E319DD4" w14:textId="77777777" w:rsidR="005B12BC" w:rsidRPr="00A462B7" w:rsidRDefault="00000000">
      <w:pPr>
        <w:numPr>
          <w:ilvl w:val="0"/>
          <w:numId w:val="2"/>
        </w:numPr>
      </w:pPr>
      <w:r w:rsidRPr="00A462B7">
        <w:t xml:space="preserve">Cultural Welcome Dance to the guests </w:t>
      </w:r>
    </w:p>
    <w:p w14:paraId="7080828A" w14:textId="77777777" w:rsidR="005B12BC" w:rsidRPr="00A462B7" w:rsidRDefault="00000000">
      <w:pPr>
        <w:numPr>
          <w:ilvl w:val="0"/>
          <w:numId w:val="2"/>
        </w:numPr>
      </w:pPr>
      <w:r w:rsidRPr="00A462B7">
        <w:t xml:space="preserve">Speech to be held by the Cultural Secretary of the Somerset House in honour of tourism and the art of culinary practice </w:t>
      </w:r>
    </w:p>
    <w:p w14:paraId="0D1CCEA3" w14:textId="77777777" w:rsidR="005B12BC" w:rsidRPr="00A462B7" w:rsidRDefault="00000000">
      <w:pPr>
        <w:numPr>
          <w:ilvl w:val="0"/>
          <w:numId w:val="2"/>
        </w:numPr>
      </w:pPr>
      <w:r w:rsidRPr="00A462B7">
        <w:t>Meeting on the diverse culinary flavours from different locations of countries including the shared thoughts of the chief guests</w:t>
      </w:r>
    </w:p>
    <w:p w14:paraId="25300946" w14:textId="77777777" w:rsidR="005B12BC" w:rsidRPr="00A462B7" w:rsidRDefault="00000000">
      <w:pPr>
        <w:rPr>
          <w:b/>
        </w:rPr>
      </w:pPr>
      <w:r w:rsidRPr="00A462B7">
        <w:rPr>
          <w:b/>
        </w:rPr>
        <w:t xml:space="preserve">Time in the Afternoon- 12 PM-2 PM </w:t>
      </w:r>
    </w:p>
    <w:p w14:paraId="3EE095E6" w14:textId="77777777" w:rsidR="005B12BC" w:rsidRPr="00A462B7" w:rsidRDefault="00000000">
      <w:pPr>
        <w:numPr>
          <w:ilvl w:val="0"/>
          <w:numId w:val="3"/>
        </w:numPr>
      </w:pPr>
      <w:r w:rsidRPr="00A462B7">
        <w:t xml:space="preserve">Authentic meal experience of multiple cuisines from Mexican-Italian Taco, Korean BBQ Pizza, and Japanese Sushi with different flavours and many more cuisines </w:t>
      </w:r>
    </w:p>
    <w:p w14:paraId="48E37FBB" w14:textId="77777777" w:rsidR="005B12BC" w:rsidRPr="00A462B7" w:rsidRDefault="00000000">
      <w:pPr>
        <w:numPr>
          <w:ilvl w:val="0"/>
          <w:numId w:val="3"/>
        </w:numPr>
      </w:pPr>
      <w:r w:rsidRPr="00A462B7">
        <w:t xml:space="preserve">Guests will have to buy meals at affordable prices and have an authentic dining experience along with the cultural show conducted on stage. </w:t>
      </w:r>
    </w:p>
    <w:p w14:paraId="5AA80758" w14:textId="77777777" w:rsidR="005B12BC" w:rsidRPr="00A462B7" w:rsidRDefault="00000000">
      <w:pPr>
        <w:rPr>
          <w:b/>
        </w:rPr>
      </w:pPr>
      <w:r w:rsidRPr="00A462B7">
        <w:rPr>
          <w:b/>
        </w:rPr>
        <w:t>Time in the evening- 2-3 PM</w:t>
      </w:r>
    </w:p>
    <w:p w14:paraId="7B2E8FB6" w14:textId="77777777" w:rsidR="005B12BC" w:rsidRPr="00A462B7" w:rsidRDefault="00000000">
      <w:pPr>
        <w:numPr>
          <w:ilvl w:val="0"/>
          <w:numId w:val="1"/>
        </w:numPr>
      </w:pPr>
      <w:r w:rsidRPr="00A462B7">
        <w:t xml:space="preserve">Post-Lunch, there will be a conference meeting on the tasted food and cuisines and sharing of customers’ experience. </w:t>
      </w:r>
    </w:p>
    <w:p w14:paraId="444C23AA" w14:textId="77777777" w:rsidR="005B12BC" w:rsidRPr="00A462B7" w:rsidRDefault="00000000">
      <w:pPr>
        <w:numPr>
          <w:ilvl w:val="0"/>
          <w:numId w:val="1"/>
        </w:numPr>
      </w:pPr>
      <w:r w:rsidRPr="00A462B7">
        <w:t>The chief guests will be called upon stage to share their journey of culinary business introduced in the market.</w:t>
      </w:r>
    </w:p>
    <w:p w14:paraId="380115FD" w14:textId="77777777" w:rsidR="005B12BC" w:rsidRPr="00A462B7" w:rsidRDefault="00000000">
      <w:pPr>
        <w:numPr>
          <w:ilvl w:val="0"/>
          <w:numId w:val="1"/>
        </w:numPr>
      </w:pPr>
      <w:r w:rsidRPr="00A462B7">
        <w:t>Some Live video display of food preparations was discussed and food safety protocols, which were included in the latter half of the summit</w:t>
      </w:r>
    </w:p>
    <w:p w14:paraId="1CB54D99" w14:textId="77777777" w:rsidR="005B12BC" w:rsidRPr="00A462B7" w:rsidRDefault="00000000">
      <w:pPr>
        <w:pStyle w:val="Heading1"/>
      </w:pPr>
      <w:bookmarkStart w:id="3" w:name="_heading=h.3znysh7" w:colFirst="0" w:colLast="0"/>
      <w:bookmarkEnd w:id="3"/>
      <w:r w:rsidRPr="00A462B7">
        <w:t>4. Aim and objectives of the meeting/event</w:t>
      </w:r>
    </w:p>
    <w:tbl>
      <w:tblPr>
        <w:tblStyle w:val="a9"/>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10"/>
        <w:gridCol w:w="6990"/>
      </w:tblGrid>
      <w:tr w:rsidR="00A462B7" w:rsidRPr="00A462B7" w14:paraId="2B9164B2" w14:textId="77777777">
        <w:tc>
          <w:tcPr>
            <w:tcW w:w="2010" w:type="dxa"/>
            <w:shd w:val="clear" w:color="auto" w:fill="auto"/>
            <w:tcMar>
              <w:top w:w="100" w:type="dxa"/>
              <w:left w:w="100" w:type="dxa"/>
              <w:bottom w:w="100" w:type="dxa"/>
              <w:right w:w="100" w:type="dxa"/>
            </w:tcMar>
          </w:tcPr>
          <w:p w14:paraId="726EB361" w14:textId="77777777" w:rsidR="005B12BC" w:rsidRPr="00A462B7" w:rsidRDefault="00000000">
            <w:pPr>
              <w:widowControl w:val="0"/>
              <w:pBdr>
                <w:top w:val="nil"/>
                <w:left w:val="nil"/>
                <w:bottom w:val="nil"/>
                <w:right w:val="nil"/>
                <w:between w:val="nil"/>
              </w:pBdr>
              <w:spacing w:line="240" w:lineRule="auto"/>
              <w:jc w:val="center"/>
              <w:rPr>
                <w:b/>
              </w:rPr>
            </w:pPr>
            <w:r w:rsidRPr="00A462B7">
              <w:rPr>
                <w:b/>
              </w:rPr>
              <w:t xml:space="preserve">SMART </w:t>
            </w:r>
          </w:p>
        </w:tc>
        <w:tc>
          <w:tcPr>
            <w:tcW w:w="6990" w:type="dxa"/>
            <w:shd w:val="clear" w:color="auto" w:fill="auto"/>
            <w:tcMar>
              <w:top w:w="100" w:type="dxa"/>
              <w:left w:w="100" w:type="dxa"/>
              <w:bottom w:w="100" w:type="dxa"/>
              <w:right w:w="100" w:type="dxa"/>
            </w:tcMar>
          </w:tcPr>
          <w:p w14:paraId="1BE49769" w14:textId="77777777" w:rsidR="005B12BC" w:rsidRPr="00A462B7" w:rsidRDefault="00000000">
            <w:pPr>
              <w:widowControl w:val="0"/>
              <w:pBdr>
                <w:top w:val="nil"/>
                <w:left w:val="nil"/>
                <w:bottom w:val="nil"/>
                <w:right w:val="nil"/>
                <w:between w:val="nil"/>
              </w:pBdr>
              <w:spacing w:line="240" w:lineRule="auto"/>
              <w:jc w:val="center"/>
              <w:rPr>
                <w:b/>
              </w:rPr>
            </w:pPr>
            <w:r w:rsidRPr="00A462B7">
              <w:rPr>
                <w:b/>
              </w:rPr>
              <w:t xml:space="preserve">Objectives </w:t>
            </w:r>
          </w:p>
        </w:tc>
      </w:tr>
      <w:tr w:rsidR="00A462B7" w:rsidRPr="00A462B7" w14:paraId="2319EF45" w14:textId="77777777">
        <w:tc>
          <w:tcPr>
            <w:tcW w:w="2010" w:type="dxa"/>
            <w:shd w:val="clear" w:color="auto" w:fill="auto"/>
            <w:tcMar>
              <w:top w:w="100" w:type="dxa"/>
              <w:left w:w="100" w:type="dxa"/>
              <w:bottom w:w="100" w:type="dxa"/>
              <w:right w:w="100" w:type="dxa"/>
            </w:tcMar>
          </w:tcPr>
          <w:p w14:paraId="03D0DA6F" w14:textId="77777777" w:rsidR="005B12BC" w:rsidRPr="00A462B7" w:rsidRDefault="00000000">
            <w:pPr>
              <w:widowControl w:val="0"/>
              <w:pBdr>
                <w:top w:val="nil"/>
                <w:left w:val="nil"/>
                <w:bottom w:val="nil"/>
                <w:right w:val="nil"/>
                <w:between w:val="nil"/>
              </w:pBdr>
              <w:spacing w:line="240" w:lineRule="auto"/>
              <w:rPr>
                <w:b/>
              </w:rPr>
            </w:pPr>
            <w:r w:rsidRPr="00A462B7">
              <w:rPr>
                <w:b/>
              </w:rPr>
              <w:t xml:space="preserve">(S): Specific </w:t>
            </w:r>
          </w:p>
        </w:tc>
        <w:tc>
          <w:tcPr>
            <w:tcW w:w="6990" w:type="dxa"/>
            <w:shd w:val="clear" w:color="auto" w:fill="auto"/>
            <w:tcMar>
              <w:top w:w="100" w:type="dxa"/>
              <w:left w:w="100" w:type="dxa"/>
              <w:bottom w:w="100" w:type="dxa"/>
              <w:right w:w="100" w:type="dxa"/>
            </w:tcMar>
          </w:tcPr>
          <w:p w14:paraId="7E5878A9" w14:textId="77777777" w:rsidR="005B12BC" w:rsidRPr="00A462B7" w:rsidRDefault="00000000">
            <w:pPr>
              <w:widowControl w:val="0"/>
              <w:pBdr>
                <w:top w:val="nil"/>
                <w:left w:val="nil"/>
                <w:bottom w:val="nil"/>
                <w:right w:val="nil"/>
                <w:between w:val="nil"/>
              </w:pBdr>
            </w:pPr>
            <w:r w:rsidRPr="00A462B7">
              <w:t xml:space="preserve">To achieve cultural diversification of diverse stakeholders, meet at the Summit </w:t>
            </w:r>
          </w:p>
        </w:tc>
      </w:tr>
      <w:tr w:rsidR="00A462B7" w:rsidRPr="00A462B7" w14:paraId="4274B786" w14:textId="77777777">
        <w:tc>
          <w:tcPr>
            <w:tcW w:w="2010" w:type="dxa"/>
            <w:shd w:val="clear" w:color="auto" w:fill="auto"/>
            <w:tcMar>
              <w:top w:w="100" w:type="dxa"/>
              <w:left w:w="100" w:type="dxa"/>
              <w:bottom w:w="100" w:type="dxa"/>
              <w:right w:w="100" w:type="dxa"/>
            </w:tcMar>
          </w:tcPr>
          <w:p w14:paraId="34FCF7EB" w14:textId="77777777" w:rsidR="005B12BC" w:rsidRPr="00A462B7" w:rsidRDefault="00000000">
            <w:pPr>
              <w:widowControl w:val="0"/>
              <w:pBdr>
                <w:top w:val="nil"/>
                <w:left w:val="nil"/>
                <w:bottom w:val="nil"/>
                <w:right w:val="nil"/>
                <w:between w:val="nil"/>
              </w:pBdr>
              <w:spacing w:line="240" w:lineRule="auto"/>
              <w:rPr>
                <w:b/>
              </w:rPr>
            </w:pPr>
            <w:r w:rsidRPr="00A462B7">
              <w:rPr>
                <w:b/>
              </w:rPr>
              <w:t>(M) Measurable</w:t>
            </w:r>
          </w:p>
        </w:tc>
        <w:tc>
          <w:tcPr>
            <w:tcW w:w="6990" w:type="dxa"/>
            <w:shd w:val="clear" w:color="auto" w:fill="auto"/>
            <w:tcMar>
              <w:top w:w="100" w:type="dxa"/>
              <w:left w:w="100" w:type="dxa"/>
              <w:bottom w:w="100" w:type="dxa"/>
              <w:right w:w="100" w:type="dxa"/>
            </w:tcMar>
          </w:tcPr>
          <w:p w14:paraId="67BFC1A5" w14:textId="77777777" w:rsidR="005B12BC" w:rsidRPr="00A462B7" w:rsidRDefault="00000000">
            <w:pPr>
              <w:widowControl w:val="0"/>
              <w:pBdr>
                <w:top w:val="nil"/>
                <w:left w:val="nil"/>
                <w:bottom w:val="nil"/>
                <w:right w:val="nil"/>
                <w:between w:val="nil"/>
              </w:pBdr>
            </w:pPr>
            <w:r w:rsidRPr="00A462B7">
              <w:t xml:space="preserve">To measure guests’ reviews based on the multi-cuisine experience at the Summit </w:t>
            </w:r>
          </w:p>
        </w:tc>
      </w:tr>
      <w:tr w:rsidR="00A462B7" w:rsidRPr="00A462B7" w14:paraId="0A3D21C2" w14:textId="77777777">
        <w:tc>
          <w:tcPr>
            <w:tcW w:w="2010" w:type="dxa"/>
            <w:shd w:val="clear" w:color="auto" w:fill="auto"/>
            <w:tcMar>
              <w:top w:w="100" w:type="dxa"/>
              <w:left w:w="100" w:type="dxa"/>
              <w:bottom w:w="100" w:type="dxa"/>
              <w:right w:w="100" w:type="dxa"/>
            </w:tcMar>
          </w:tcPr>
          <w:p w14:paraId="12B16EB1" w14:textId="77777777" w:rsidR="005B12BC" w:rsidRPr="00A462B7" w:rsidRDefault="00000000">
            <w:pPr>
              <w:widowControl w:val="0"/>
              <w:pBdr>
                <w:top w:val="nil"/>
                <w:left w:val="nil"/>
                <w:bottom w:val="nil"/>
                <w:right w:val="nil"/>
                <w:between w:val="nil"/>
              </w:pBdr>
              <w:spacing w:line="240" w:lineRule="auto"/>
              <w:rPr>
                <w:b/>
              </w:rPr>
            </w:pPr>
            <w:r w:rsidRPr="00A462B7">
              <w:rPr>
                <w:b/>
              </w:rPr>
              <w:t>(A): Achievable</w:t>
            </w:r>
          </w:p>
        </w:tc>
        <w:tc>
          <w:tcPr>
            <w:tcW w:w="6990" w:type="dxa"/>
            <w:shd w:val="clear" w:color="auto" w:fill="auto"/>
            <w:tcMar>
              <w:top w:w="100" w:type="dxa"/>
              <w:left w:w="100" w:type="dxa"/>
              <w:bottom w:w="100" w:type="dxa"/>
              <w:right w:w="100" w:type="dxa"/>
            </w:tcMar>
          </w:tcPr>
          <w:p w14:paraId="3BF03C11" w14:textId="77777777" w:rsidR="005B12BC" w:rsidRPr="00A462B7" w:rsidRDefault="00000000">
            <w:pPr>
              <w:widowControl w:val="0"/>
              <w:pBdr>
                <w:top w:val="nil"/>
                <w:left w:val="nil"/>
                <w:bottom w:val="nil"/>
                <w:right w:val="nil"/>
                <w:between w:val="nil"/>
              </w:pBdr>
            </w:pPr>
            <w:r w:rsidRPr="00A462B7">
              <w:t xml:space="preserve">To optimise venue operations and promotional activities by scaling ticket booking double and sponsorship events </w:t>
            </w:r>
          </w:p>
        </w:tc>
      </w:tr>
      <w:tr w:rsidR="00A462B7" w:rsidRPr="00A462B7" w14:paraId="760E59AD" w14:textId="77777777">
        <w:tc>
          <w:tcPr>
            <w:tcW w:w="2010" w:type="dxa"/>
            <w:shd w:val="clear" w:color="auto" w:fill="auto"/>
            <w:tcMar>
              <w:top w:w="100" w:type="dxa"/>
              <w:left w:w="100" w:type="dxa"/>
              <w:bottom w:w="100" w:type="dxa"/>
              <w:right w:w="100" w:type="dxa"/>
            </w:tcMar>
          </w:tcPr>
          <w:p w14:paraId="6644D130" w14:textId="77777777" w:rsidR="005B12BC" w:rsidRPr="00A462B7" w:rsidRDefault="00000000">
            <w:pPr>
              <w:widowControl w:val="0"/>
              <w:pBdr>
                <w:top w:val="nil"/>
                <w:left w:val="nil"/>
                <w:bottom w:val="nil"/>
                <w:right w:val="nil"/>
                <w:between w:val="nil"/>
              </w:pBdr>
              <w:spacing w:line="240" w:lineRule="auto"/>
              <w:rPr>
                <w:b/>
              </w:rPr>
            </w:pPr>
            <w:r w:rsidRPr="00A462B7">
              <w:rPr>
                <w:b/>
              </w:rPr>
              <w:t>(R):  Realistic</w:t>
            </w:r>
          </w:p>
        </w:tc>
        <w:tc>
          <w:tcPr>
            <w:tcW w:w="6990" w:type="dxa"/>
            <w:shd w:val="clear" w:color="auto" w:fill="auto"/>
            <w:tcMar>
              <w:top w:w="100" w:type="dxa"/>
              <w:left w:w="100" w:type="dxa"/>
              <w:bottom w:w="100" w:type="dxa"/>
              <w:right w:w="100" w:type="dxa"/>
            </w:tcMar>
          </w:tcPr>
          <w:p w14:paraId="791A03BD" w14:textId="77777777" w:rsidR="005B12BC" w:rsidRPr="00A462B7" w:rsidRDefault="00000000">
            <w:pPr>
              <w:widowControl w:val="0"/>
              <w:pBdr>
                <w:top w:val="nil"/>
                <w:left w:val="nil"/>
                <w:bottom w:val="nil"/>
                <w:right w:val="nil"/>
                <w:between w:val="nil"/>
              </w:pBdr>
            </w:pPr>
            <w:r w:rsidRPr="00A462B7">
              <w:t xml:space="preserve">This would facilitate EDI in the hospitality sector by achieving </w:t>
            </w:r>
            <w:r w:rsidRPr="00A462B7">
              <w:lastRenderedPageBreak/>
              <w:t>sustainability of event management</w:t>
            </w:r>
          </w:p>
        </w:tc>
      </w:tr>
      <w:tr w:rsidR="00A462B7" w:rsidRPr="00A462B7" w14:paraId="2A3692E2" w14:textId="77777777">
        <w:tc>
          <w:tcPr>
            <w:tcW w:w="2010" w:type="dxa"/>
            <w:shd w:val="clear" w:color="auto" w:fill="auto"/>
            <w:tcMar>
              <w:top w:w="100" w:type="dxa"/>
              <w:left w:w="100" w:type="dxa"/>
              <w:bottom w:w="100" w:type="dxa"/>
              <w:right w:w="100" w:type="dxa"/>
            </w:tcMar>
          </w:tcPr>
          <w:p w14:paraId="1F9330F8" w14:textId="77777777" w:rsidR="005B12BC" w:rsidRPr="00A462B7" w:rsidRDefault="00000000">
            <w:pPr>
              <w:widowControl w:val="0"/>
              <w:pBdr>
                <w:top w:val="nil"/>
                <w:left w:val="nil"/>
                <w:bottom w:val="nil"/>
                <w:right w:val="nil"/>
                <w:between w:val="nil"/>
              </w:pBdr>
              <w:spacing w:line="240" w:lineRule="auto"/>
              <w:rPr>
                <w:b/>
              </w:rPr>
            </w:pPr>
            <w:r w:rsidRPr="00A462B7">
              <w:rPr>
                <w:b/>
              </w:rPr>
              <w:lastRenderedPageBreak/>
              <w:t xml:space="preserve">(T) Timebound </w:t>
            </w:r>
          </w:p>
        </w:tc>
        <w:tc>
          <w:tcPr>
            <w:tcW w:w="6990" w:type="dxa"/>
            <w:shd w:val="clear" w:color="auto" w:fill="auto"/>
            <w:tcMar>
              <w:top w:w="100" w:type="dxa"/>
              <w:left w:w="100" w:type="dxa"/>
              <w:bottom w:w="100" w:type="dxa"/>
              <w:right w:w="100" w:type="dxa"/>
            </w:tcMar>
          </w:tcPr>
          <w:p w14:paraId="6CCA5BF4" w14:textId="77777777" w:rsidR="005B12BC" w:rsidRPr="00A462B7" w:rsidRDefault="00000000">
            <w:pPr>
              <w:widowControl w:val="0"/>
              <w:pBdr>
                <w:top w:val="nil"/>
                <w:left w:val="nil"/>
                <w:bottom w:val="nil"/>
                <w:right w:val="nil"/>
                <w:between w:val="nil"/>
              </w:pBdr>
              <w:spacing w:line="240" w:lineRule="auto"/>
            </w:pPr>
            <w:r w:rsidRPr="00A462B7">
              <w:t xml:space="preserve">Time would take 3 to 4 months before the final Summit date </w:t>
            </w:r>
          </w:p>
        </w:tc>
      </w:tr>
    </w:tbl>
    <w:p w14:paraId="0AADA9AB" w14:textId="77777777" w:rsidR="005B12BC" w:rsidRPr="00A462B7" w:rsidRDefault="00000000">
      <w:pPr>
        <w:spacing w:before="200"/>
        <w:jc w:val="center"/>
      </w:pPr>
      <w:r w:rsidRPr="00A462B7">
        <w:rPr>
          <w:b/>
          <w:i/>
        </w:rPr>
        <w:t xml:space="preserve">Table 1: Smart Objectives </w:t>
      </w:r>
    </w:p>
    <w:p w14:paraId="4352B620" w14:textId="77777777" w:rsidR="005B12BC" w:rsidRPr="00A462B7" w:rsidRDefault="00000000">
      <w:pPr>
        <w:pStyle w:val="Heading1"/>
      </w:pPr>
      <w:bookmarkStart w:id="4" w:name="_heading=h.2et92p0" w:colFirst="0" w:colLast="0"/>
      <w:bookmarkEnd w:id="4"/>
      <w:r w:rsidRPr="00A462B7">
        <w:t xml:space="preserve">5. Event Management </w:t>
      </w:r>
    </w:p>
    <w:p w14:paraId="5721BB85" w14:textId="77777777" w:rsidR="005B12BC" w:rsidRPr="00A462B7" w:rsidRDefault="00000000">
      <w:pPr>
        <w:spacing w:after="200"/>
      </w:pPr>
      <w:r w:rsidRPr="00A462B7">
        <w:rPr>
          <w:b/>
          <w:i/>
        </w:rPr>
        <w:t xml:space="preserve">Operational Activities: </w:t>
      </w:r>
      <w:r w:rsidRPr="00A462B7">
        <w:t xml:space="preserve">The operational element includes management of the logistics, like proper venue design, catering, seating layouts and technical needs. Getz and Page (2019) in the book emphasise that </w:t>
      </w:r>
      <w:r w:rsidRPr="00A462B7">
        <w:rPr>
          <w:i/>
        </w:rPr>
        <w:t>the theory of event operations</w:t>
      </w:r>
      <w:r w:rsidRPr="00A462B7">
        <w:t xml:space="preserve"> highlights the significance of logistical planning, which guarantees timely implementation and a smooth experience for guests. In addition to these, Bladen </w:t>
      </w:r>
      <w:r w:rsidRPr="00A462B7">
        <w:rPr>
          <w:i/>
        </w:rPr>
        <w:t xml:space="preserve">et al. </w:t>
      </w:r>
      <w:r w:rsidRPr="00A462B7">
        <w:t xml:space="preserve">(2022) in the book asserted that future technologies in the event sector such as </w:t>
      </w:r>
      <w:r w:rsidRPr="00A462B7">
        <w:rPr>
          <w:i/>
        </w:rPr>
        <w:t>artificial intelligence (AI), virtual reality (VR) and augmented reality (AR)</w:t>
      </w:r>
      <w:r w:rsidRPr="00A462B7">
        <w:t xml:space="preserve"> directly influence event planning, guest experience and overall functions. Apart from these, considering event technology improvements, digital and hybrid events can be embraced (Bowdin </w:t>
      </w:r>
      <w:r w:rsidRPr="00A462B7">
        <w:rPr>
          <w:i/>
        </w:rPr>
        <w:t>et al.</w:t>
      </w:r>
      <w:r w:rsidRPr="00A462B7">
        <w:t xml:space="preserve">, 2023). These improvements have been restructuring the event sector so that these events become highly immersive, productive and captivating for international audiences. </w:t>
      </w:r>
    </w:p>
    <w:p w14:paraId="4423CB9C" w14:textId="77777777" w:rsidR="005B12BC" w:rsidRPr="00A462B7" w:rsidRDefault="00000000">
      <w:pPr>
        <w:spacing w:after="200"/>
      </w:pPr>
      <w:r w:rsidRPr="00A462B7">
        <w:rPr>
          <w:b/>
          <w:i/>
        </w:rPr>
        <w:t xml:space="preserve">Planning Activities: </w:t>
      </w:r>
      <w:r w:rsidRPr="00A462B7">
        <w:t xml:space="preserve">An appropriate plan is required, concentrating on activities like scheduling, risk administration and coordination among the staff. The </w:t>
      </w:r>
      <w:r w:rsidRPr="00A462B7">
        <w:rPr>
          <w:i/>
        </w:rPr>
        <w:t>Critical Path Method</w:t>
      </w:r>
      <w:r w:rsidRPr="00A462B7">
        <w:t xml:space="preserve"> (CPM) can be utilised here. The approach of CPM can be used to identify the longest sequence of dependent tasks in the event and prioritise the ones that require the utmost significance (Atlassian, 2024). Adding to it, fundamental skills that will be needed for proper planning include project leadership and managerial skills. The </w:t>
      </w:r>
      <w:r w:rsidRPr="00A462B7">
        <w:rPr>
          <w:b/>
          <w:i/>
        </w:rPr>
        <w:t xml:space="preserve">Event Management Body of Knowledge Model (EMBOK) </w:t>
      </w:r>
      <w:r w:rsidRPr="00A462B7">
        <w:t xml:space="preserve">can be embraced within planning activities. It delivers an organised approach across five fields, </w:t>
      </w:r>
      <w:r w:rsidRPr="00A462B7">
        <w:rPr>
          <w:i/>
        </w:rPr>
        <w:t xml:space="preserve">‘administration, design, marketing, operations and risk control’ </w:t>
      </w:r>
      <w:r w:rsidRPr="00A462B7">
        <w:t xml:space="preserve">(Embok, 2025; Ejike and Abhulimen, 2024). By combining the model, the procedure of event planning can become more methodical, efficient and adjustable to issues, guaranteeing a smooth experience. This model can additionally help in handling logistics, stakeholder attention, branding and overall implementation at the event making it a perfect network for effective event control. </w:t>
      </w:r>
    </w:p>
    <w:p w14:paraId="2C4707E6" w14:textId="77777777" w:rsidR="005B12BC" w:rsidRPr="00A462B7" w:rsidRDefault="00000000">
      <w:pPr>
        <w:spacing w:after="200"/>
        <w:jc w:val="center"/>
      </w:pPr>
      <w:r w:rsidRPr="00A462B7">
        <w:rPr>
          <w:noProof/>
        </w:rPr>
        <w:lastRenderedPageBreak/>
        <w:drawing>
          <wp:inline distT="114300" distB="114300" distL="114300" distR="114300" wp14:anchorId="6D0E58BC" wp14:editId="5A6F148A">
            <wp:extent cx="5731200" cy="2095500"/>
            <wp:effectExtent l="25400" t="25400" r="25400" b="2540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2095500"/>
                    </a:xfrm>
                    <a:prstGeom prst="rect">
                      <a:avLst/>
                    </a:prstGeom>
                    <a:ln w="25400">
                      <a:solidFill>
                        <a:srgbClr val="000000"/>
                      </a:solidFill>
                      <a:prstDash val="solid"/>
                    </a:ln>
                  </pic:spPr>
                </pic:pic>
              </a:graphicData>
            </a:graphic>
          </wp:inline>
        </w:drawing>
      </w:r>
    </w:p>
    <w:p w14:paraId="3C06CF6F" w14:textId="77777777" w:rsidR="005B12BC" w:rsidRPr="00A462B7" w:rsidRDefault="00000000">
      <w:pPr>
        <w:jc w:val="center"/>
        <w:rPr>
          <w:b/>
          <w:i/>
        </w:rPr>
      </w:pPr>
      <w:r w:rsidRPr="00A462B7">
        <w:rPr>
          <w:b/>
          <w:i/>
        </w:rPr>
        <w:t>Figure 2: Critical Path Method Approach</w:t>
      </w:r>
    </w:p>
    <w:p w14:paraId="6C5096BC" w14:textId="77777777" w:rsidR="005B12BC" w:rsidRPr="00A462B7" w:rsidRDefault="00000000">
      <w:pPr>
        <w:spacing w:after="200"/>
        <w:jc w:val="center"/>
      </w:pPr>
      <w:r w:rsidRPr="00A462B7">
        <w:t>(Inspired by Mair and Smith, 2022)</w:t>
      </w:r>
    </w:p>
    <w:p w14:paraId="6AB39A16" w14:textId="77777777" w:rsidR="005B12BC" w:rsidRPr="00A462B7" w:rsidRDefault="00000000">
      <w:pPr>
        <w:spacing w:after="200"/>
      </w:pPr>
      <w:r w:rsidRPr="00A462B7">
        <w:rPr>
          <w:b/>
          <w:i/>
        </w:rPr>
        <w:t xml:space="preserve">Marketing Activities: </w:t>
      </w:r>
      <w:r w:rsidRPr="00A462B7">
        <w:t xml:space="preserve">In order to market the proposed event, skills in digital marketing, social media marketing and content creation will be required. In order to create compelling messages, </w:t>
      </w:r>
      <w:r w:rsidRPr="00A462B7">
        <w:rPr>
          <w:i/>
        </w:rPr>
        <w:t xml:space="preserve">the storytelling framework </w:t>
      </w:r>
      <w:r w:rsidRPr="00A462B7">
        <w:t xml:space="preserve">can be embraced. Additionally, marketing in event control revolves around the </w:t>
      </w:r>
      <w:r w:rsidRPr="00A462B7">
        <w:rPr>
          <w:i/>
        </w:rPr>
        <w:t>‘theory of the 7Ps of Marketing’</w:t>
      </w:r>
      <w:r w:rsidRPr="00A462B7">
        <w:t xml:space="preserve">. This includes elements like </w:t>
      </w:r>
      <w:r w:rsidRPr="00A462B7">
        <w:rPr>
          <w:i/>
        </w:rPr>
        <w:t>‘Product, Price, Place, Promotion, People, Process and Physical Evidence’</w:t>
      </w:r>
      <w:r w:rsidRPr="00A462B7">
        <w:t xml:space="preserve">. These elements can help in positioning the event appropriately, guaranteeing it engages the correct set of audience with persuasive core benefits. Apart from this, to know more about the motivation of event attendees </w:t>
      </w:r>
      <w:r w:rsidRPr="00A462B7">
        <w:rPr>
          <w:i/>
        </w:rPr>
        <w:t xml:space="preserve">‘Maslow’s Hierarchy of Needs’ </w:t>
      </w:r>
      <w:r w:rsidRPr="00A462B7">
        <w:t>theory can also be embraced. The event can accommodate different classes of needs. This starts from basic needs to self-actualisation needs. By aligning the strategies of marketing with the needs of the event guests, event coordinators can improve attention, satisfaction and the excellence of the overall event.</w:t>
      </w:r>
    </w:p>
    <w:tbl>
      <w:tblPr>
        <w:tblStyle w:val="a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25"/>
        <w:gridCol w:w="6375"/>
      </w:tblGrid>
      <w:tr w:rsidR="00A462B7" w:rsidRPr="00A462B7" w14:paraId="7E1AF3B1" w14:textId="77777777">
        <w:tc>
          <w:tcPr>
            <w:tcW w:w="2625" w:type="dxa"/>
            <w:shd w:val="clear" w:color="auto" w:fill="auto"/>
            <w:tcMar>
              <w:top w:w="100" w:type="dxa"/>
              <w:left w:w="100" w:type="dxa"/>
              <w:bottom w:w="100" w:type="dxa"/>
              <w:right w:w="100" w:type="dxa"/>
            </w:tcMar>
          </w:tcPr>
          <w:p w14:paraId="072B3E7F" w14:textId="5FD63326" w:rsidR="005B12BC" w:rsidRPr="00A462B7" w:rsidRDefault="00000000">
            <w:pPr>
              <w:widowControl w:val="0"/>
              <w:pBdr>
                <w:top w:val="nil"/>
                <w:left w:val="nil"/>
                <w:bottom w:val="nil"/>
                <w:right w:val="nil"/>
                <w:between w:val="nil"/>
              </w:pBdr>
              <w:jc w:val="center"/>
              <w:rPr>
                <w:b/>
              </w:rPr>
            </w:pPr>
            <w:r w:rsidRPr="00A462B7">
              <w:rPr>
                <w:b/>
              </w:rPr>
              <w:t>Elements</w:t>
            </w:r>
          </w:p>
        </w:tc>
        <w:tc>
          <w:tcPr>
            <w:tcW w:w="6375" w:type="dxa"/>
            <w:shd w:val="clear" w:color="auto" w:fill="auto"/>
            <w:tcMar>
              <w:top w:w="100" w:type="dxa"/>
              <w:left w:w="100" w:type="dxa"/>
              <w:bottom w:w="100" w:type="dxa"/>
              <w:right w:w="100" w:type="dxa"/>
            </w:tcMar>
          </w:tcPr>
          <w:p w14:paraId="21095552" w14:textId="77777777" w:rsidR="005B12BC" w:rsidRPr="00A462B7" w:rsidRDefault="00000000">
            <w:pPr>
              <w:widowControl w:val="0"/>
              <w:pBdr>
                <w:top w:val="nil"/>
                <w:left w:val="nil"/>
                <w:bottom w:val="nil"/>
                <w:right w:val="nil"/>
                <w:between w:val="nil"/>
              </w:pBdr>
              <w:jc w:val="center"/>
              <w:rPr>
                <w:b/>
              </w:rPr>
            </w:pPr>
            <w:r w:rsidRPr="00A462B7">
              <w:rPr>
                <w:b/>
              </w:rPr>
              <w:t xml:space="preserve">Description </w:t>
            </w:r>
          </w:p>
        </w:tc>
      </w:tr>
      <w:tr w:rsidR="00A462B7" w:rsidRPr="00A462B7" w14:paraId="5BA64CFE" w14:textId="77777777">
        <w:tc>
          <w:tcPr>
            <w:tcW w:w="2625" w:type="dxa"/>
            <w:shd w:val="clear" w:color="auto" w:fill="auto"/>
            <w:tcMar>
              <w:top w:w="100" w:type="dxa"/>
              <w:left w:w="100" w:type="dxa"/>
              <w:bottom w:w="100" w:type="dxa"/>
              <w:right w:w="100" w:type="dxa"/>
            </w:tcMar>
          </w:tcPr>
          <w:p w14:paraId="6B03C363" w14:textId="77777777" w:rsidR="005B12BC" w:rsidRPr="00A462B7" w:rsidRDefault="00000000">
            <w:pPr>
              <w:widowControl w:val="0"/>
              <w:pBdr>
                <w:top w:val="nil"/>
                <w:left w:val="nil"/>
                <w:bottom w:val="nil"/>
                <w:right w:val="nil"/>
                <w:between w:val="nil"/>
              </w:pBdr>
              <w:jc w:val="center"/>
            </w:pPr>
            <w:r w:rsidRPr="00A462B7">
              <w:t xml:space="preserve">Product </w:t>
            </w:r>
          </w:p>
        </w:tc>
        <w:tc>
          <w:tcPr>
            <w:tcW w:w="6375" w:type="dxa"/>
            <w:shd w:val="clear" w:color="auto" w:fill="auto"/>
            <w:tcMar>
              <w:top w:w="100" w:type="dxa"/>
              <w:left w:w="100" w:type="dxa"/>
              <w:bottom w:w="100" w:type="dxa"/>
              <w:right w:w="100" w:type="dxa"/>
            </w:tcMar>
          </w:tcPr>
          <w:p w14:paraId="0A6B90FF" w14:textId="77777777" w:rsidR="005B12BC" w:rsidRPr="00A462B7" w:rsidRDefault="00000000">
            <w:pPr>
              <w:widowControl w:val="0"/>
              <w:pBdr>
                <w:top w:val="nil"/>
                <w:left w:val="nil"/>
                <w:bottom w:val="nil"/>
                <w:right w:val="nil"/>
                <w:between w:val="nil"/>
              </w:pBdr>
            </w:pPr>
            <w:r w:rsidRPr="00A462B7">
              <w:t>“Global Culinary Art Summit 2025”</w:t>
            </w:r>
          </w:p>
        </w:tc>
      </w:tr>
      <w:tr w:rsidR="00A462B7" w:rsidRPr="00A462B7" w14:paraId="7ED8F943" w14:textId="77777777">
        <w:tc>
          <w:tcPr>
            <w:tcW w:w="2625" w:type="dxa"/>
            <w:shd w:val="clear" w:color="auto" w:fill="auto"/>
            <w:tcMar>
              <w:top w:w="100" w:type="dxa"/>
              <w:left w:w="100" w:type="dxa"/>
              <w:bottom w:w="100" w:type="dxa"/>
              <w:right w:w="100" w:type="dxa"/>
            </w:tcMar>
          </w:tcPr>
          <w:p w14:paraId="15E49B9F" w14:textId="77777777" w:rsidR="005B12BC" w:rsidRPr="00A462B7" w:rsidRDefault="00000000">
            <w:pPr>
              <w:widowControl w:val="0"/>
              <w:pBdr>
                <w:top w:val="nil"/>
                <w:left w:val="nil"/>
                <w:bottom w:val="nil"/>
                <w:right w:val="nil"/>
                <w:between w:val="nil"/>
              </w:pBdr>
              <w:jc w:val="center"/>
            </w:pPr>
            <w:r w:rsidRPr="00A462B7">
              <w:t>Price</w:t>
            </w:r>
          </w:p>
        </w:tc>
        <w:tc>
          <w:tcPr>
            <w:tcW w:w="6375" w:type="dxa"/>
            <w:shd w:val="clear" w:color="auto" w:fill="auto"/>
            <w:tcMar>
              <w:top w:w="100" w:type="dxa"/>
              <w:left w:w="100" w:type="dxa"/>
              <w:bottom w:w="100" w:type="dxa"/>
              <w:right w:w="100" w:type="dxa"/>
            </w:tcMar>
          </w:tcPr>
          <w:p w14:paraId="7E32D316" w14:textId="77777777" w:rsidR="005B12BC" w:rsidRPr="00A462B7" w:rsidRDefault="00000000">
            <w:pPr>
              <w:widowControl w:val="0"/>
              <w:pBdr>
                <w:top w:val="nil"/>
                <w:left w:val="nil"/>
                <w:bottom w:val="nil"/>
                <w:right w:val="nil"/>
                <w:between w:val="nil"/>
              </w:pBdr>
            </w:pPr>
            <w:r w:rsidRPr="00A462B7">
              <w:t xml:space="preserve">Advance booking discounts can act as a pricing strategy </w:t>
            </w:r>
          </w:p>
        </w:tc>
      </w:tr>
      <w:tr w:rsidR="00A462B7" w:rsidRPr="00A462B7" w14:paraId="23C74BE0" w14:textId="77777777">
        <w:tc>
          <w:tcPr>
            <w:tcW w:w="2625" w:type="dxa"/>
            <w:shd w:val="clear" w:color="auto" w:fill="auto"/>
            <w:tcMar>
              <w:top w:w="100" w:type="dxa"/>
              <w:left w:w="100" w:type="dxa"/>
              <w:bottom w:w="100" w:type="dxa"/>
              <w:right w:w="100" w:type="dxa"/>
            </w:tcMar>
          </w:tcPr>
          <w:p w14:paraId="64DF6C5C" w14:textId="77777777" w:rsidR="005B12BC" w:rsidRPr="00A462B7" w:rsidRDefault="00000000">
            <w:pPr>
              <w:widowControl w:val="0"/>
              <w:jc w:val="center"/>
            </w:pPr>
            <w:r w:rsidRPr="00A462B7">
              <w:t>Place</w:t>
            </w:r>
          </w:p>
        </w:tc>
        <w:tc>
          <w:tcPr>
            <w:tcW w:w="6375" w:type="dxa"/>
            <w:shd w:val="clear" w:color="auto" w:fill="auto"/>
            <w:tcMar>
              <w:top w:w="100" w:type="dxa"/>
              <w:left w:w="100" w:type="dxa"/>
              <w:bottom w:w="100" w:type="dxa"/>
              <w:right w:w="100" w:type="dxa"/>
            </w:tcMar>
          </w:tcPr>
          <w:p w14:paraId="6A4CEA59" w14:textId="77777777" w:rsidR="005B12BC" w:rsidRPr="00A462B7" w:rsidRDefault="00000000">
            <w:pPr>
              <w:widowControl w:val="0"/>
              <w:pBdr>
                <w:top w:val="nil"/>
                <w:left w:val="nil"/>
                <w:bottom w:val="nil"/>
                <w:right w:val="nil"/>
                <w:between w:val="nil"/>
              </w:pBdr>
            </w:pPr>
            <w:r w:rsidRPr="00A462B7">
              <w:t>Hybrid state (Both online and offline)</w:t>
            </w:r>
          </w:p>
        </w:tc>
      </w:tr>
      <w:tr w:rsidR="00A462B7" w:rsidRPr="00A462B7" w14:paraId="7DC70C01" w14:textId="77777777">
        <w:tc>
          <w:tcPr>
            <w:tcW w:w="2625" w:type="dxa"/>
            <w:shd w:val="clear" w:color="auto" w:fill="auto"/>
            <w:tcMar>
              <w:top w:w="100" w:type="dxa"/>
              <w:left w:w="100" w:type="dxa"/>
              <w:bottom w:w="100" w:type="dxa"/>
              <w:right w:w="100" w:type="dxa"/>
            </w:tcMar>
          </w:tcPr>
          <w:p w14:paraId="2FB6874C" w14:textId="77777777" w:rsidR="005B12BC" w:rsidRPr="00A462B7" w:rsidRDefault="00000000">
            <w:pPr>
              <w:widowControl w:val="0"/>
              <w:jc w:val="center"/>
            </w:pPr>
            <w:r w:rsidRPr="00A462B7">
              <w:t>Promotion</w:t>
            </w:r>
          </w:p>
        </w:tc>
        <w:tc>
          <w:tcPr>
            <w:tcW w:w="6375" w:type="dxa"/>
            <w:shd w:val="clear" w:color="auto" w:fill="auto"/>
            <w:tcMar>
              <w:top w:w="100" w:type="dxa"/>
              <w:left w:w="100" w:type="dxa"/>
              <w:bottom w:w="100" w:type="dxa"/>
              <w:right w:w="100" w:type="dxa"/>
            </w:tcMar>
          </w:tcPr>
          <w:p w14:paraId="08714DEC" w14:textId="77777777" w:rsidR="005B12BC" w:rsidRPr="00A462B7" w:rsidRDefault="00000000">
            <w:pPr>
              <w:widowControl w:val="0"/>
              <w:pBdr>
                <w:top w:val="nil"/>
                <w:left w:val="nil"/>
                <w:bottom w:val="nil"/>
                <w:right w:val="nil"/>
                <w:between w:val="nil"/>
              </w:pBdr>
            </w:pPr>
            <w:r w:rsidRPr="00A462B7">
              <w:t xml:space="preserve">Online marketing </w:t>
            </w:r>
          </w:p>
        </w:tc>
      </w:tr>
      <w:tr w:rsidR="00A462B7" w:rsidRPr="00A462B7" w14:paraId="0CB9E344" w14:textId="77777777">
        <w:tc>
          <w:tcPr>
            <w:tcW w:w="2625" w:type="dxa"/>
            <w:shd w:val="clear" w:color="auto" w:fill="auto"/>
            <w:tcMar>
              <w:top w:w="100" w:type="dxa"/>
              <w:left w:w="100" w:type="dxa"/>
              <w:bottom w:w="100" w:type="dxa"/>
              <w:right w:w="100" w:type="dxa"/>
            </w:tcMar>
          </w:tcPr>
          <w:p w14:paraId="5824882F" w14:textId="77777777" w:rsidR="005B12BC" w:rsidRPr="00A462B7" w:rsidRDefault="00000000">
            <w:pPr>
              <w:widowControl w:val="0"/>
              <w:jc w:val="center"/>
            </w:pPr>
            <w:r w:rsidRPr="00A462B7">
              <w:t>People</w:t>
            </w:r>
          </w:p>
        </w:tc>
        <w:tc>
          <w:tcPr>
            <w:tcW w:w="6375" w:type="dxa"/>
            <w:shd w:val="clear" w:color="auto" w:fill="auto"/>
            <w:tcMar>
              <w:top w:w="100" w:type="dxa"/>
              <w:left w:w="100" w:type="dxa"/>
              <w:bottom w:w="100" w:type="dxa"/>
              <w:right w:w="100" w:type="dxa"/>
            </w:tcMar>
          </w:tcPr>
          <w:p w14:paraId="0C895CCD" w14:textId="77777777" w:rsidR="005B12BC" w:rsidRPr="00A462B7" w:rsidRDefault="00000000">
            <w:pPr>
              <w:widowControl w:val="0"/>
              <w:pBdr>
                <w:top w:val="nil"/>
                <w:left w:val="nil"/>
                <w:bottom w:val="nil"/>
                <w:right w:val="nil"/>
                <w:between w:val="nil"/>
              </w:pBdr>
            </w:pPr>
            <w:r w:rsidRPr="00A462B7">
              <w:t>Global cooks, speakers and event team</w:t>
            </w:r>
          </w:p>
        </w:tc>
      </w:tr>
      <w:tr w:rsidR="00A462B7" w:rsidRPr="00A462B7" w14:paraId="19D099F7" w14:textId="77777777">
        <w:tc>
          <w:tcPr>
            <w:tcW w:w="2625" w:type="dxa"/>
            <w:shd w:val="clear" w:color="auto" w:fill="auto"/>
            <w:tcMar>
              <w:top w:w="100" w:type="dxa"/>
              <w:left w:w="100" w:type="dxa"/>
              <w:bottom w:w="100" w:type="dxa"/>
              <w:right w:w="100" w:type="dxa"/>
            </w:tcMar>
          </w:tcPr>
          <w:p w14:paraId="5250636C" w14:textId="77777777" w:rsidR="005B12BC" w:rsidRPr="00A462B7" w:rsidRDefault="00000000">
            <w:pPr>
              <w:widowControl w:val="0"/>
              <w:jc w:val="center"/>
            </w:pPr>
            <w:r w:rsidRPr="00A462B7">
              <w:lastRenderedPageBreak/>
              <w:t xml:space="preserve">Process </w:t>
            </w:r>
          </w:p>
        </w:tc>
        <w:tc>
          <w:tcPr>
            <w:tcW w:w="6375" w:type="dxa"/>
            <w:shd w:val="clear" w:color="auto" w:fill="auto"/>
            <w:tcMar>
              <w:top w:w="100" w:type="dxa"/>
              <w:left w:w="100" w:type="dxa"/>
              <w:bottom w:w="100" w:type="dxa"/>
              <w:right w:w="100" w:type="dxa"/>
            </w:tcMar>
          </w:tcPr>
          <w:p w14:paraId="7102F727" w14:textId="77777777" w:rsidR="005B12BC" w:rsidRPr="00A462B7" w:rsidRDefault="00000000">
            <w:pPr>
              <w:widowControl w:val="0"/>
              <w:pBdr>
                <w:top w:val="nil"/>
                <w:left w:val="nil"/>
                <w:bottom w:val="nil"/>
                <w:right w:val="nil"/>
                <w:between w:val="nil"/>
              </w:pBdr>
            </w:pPr>
            <w:r w:rsidRPr="00A462B7">
              <w:t xml:space="preserve">Smooth event registration </w:t>
            </w:r>
          </w:p>
        </w:tc>
      </w:tr>
      <w:tr w:rsidR="00A462B7" w:rsidRPr="00A462B7" w14:paraId="46315057" w14:textId="77777777">
        <w:tc>
          <w:tcPr>
            <w:tcW w:w="2625" w:type="dxa"/>
            <w:shd w:val="clear" w:color="auto" w:fill="auto"/>
            <w:tcMar>
              <w:top w:w="100" w:type="dxa"/>
              <w:left w:w="100" w:type="dxa"/>
              <w:bottom w:w="100" w:type="dxa"/>
              <w:right w:w="100" w:type="dxa"/>
            </w:tcMar>
          </w:tcPr>
          <w:p w14:paraId="72AF69E0" w14:textId="77777777" w:rsidR="005B12BC" w:rsidRPr="00A462B7" w:rsidRDefault="00000000">
            <w:pPr>
              <w:widowControl w:val="0"/>
              <w:jc w:val="center"/>
            </w:pPr>
            <w:r w:rsidRPr="00A462B7">
              <w:t>Physical Evidence</w:t>
            </w:r>
          </w:p>
        </w:tc>
        <w:tc>
          <w:tcPr>
            <w:tcW w:w="6375" w:type="dxa"/>
            <w:shd w:val="clear" w:color="auto" w:fill="auto"/>
            <w:tcMar>
              <w:top w:w="100" w:type="dxa"/>
              <w:left w:w="100" w:type="dxa"/>
              <w:bottom w:w="100" w:type="dxa"/>
              <w:right w:w="100" w:type="dxa"/>
            </w:tcMar>
          </w:tcPr>
          <w:p w14:paraId="4E7DABB6" w14:textId="56D5B6E4" w:rsidR="005B12BC" w:rsidRPr="00A462B7" w:rsidRDefault="00000000">
            <w:pPr>
              <w:widowControl w:val="0"/>
              <w:pBdr>
                <w:top w:val="nil"/>
                <w:left w:val="nil"/>
                <w:bottom w:val="nil"/>
                <w:right w:val="nil"/>
                <w:between w:val="nil"/>
              </w:pBdr>
            </w:pPr>
            <w:r w:rsidRPr="00A462B7">
              <w:t xml:space="preserve">Branding with the help of event merchandise </w:t>
            </w:r>
          </w:p>
        </w:tc>
      </w:tr>
    </w:tbl>
    <w:p w14:paraId="6CE3F0AB" w14:textId="4DB617A7" w:rsidR="005B12BC" w:rsidRPr="00A462B7" w:rsidRDefault="00000000">
      <w:pPr>
        <w:spacing w:before="200" w:after="200"/>
        <w:jc w:val="center"/>
      </w:pPr>
      <w:r w:rsidRPr="00A462B7">
        <w:rPr>
          <w:b/>
          <w:i/>
        </w:rPr>
        <w:t xml:space="preserve">Table 2: 7 </w:t>
      </w:r>
      <w:r w:rsidR="00DE080A" w:rsidRPr="00A462B7">
        <w:rPr>
          <w:b/>
          <w:i/>
        </w:rPr>
        <w:t>Ps</w:t>
      </w:r>
      <w:r w:rsidRPr="00A462B7">
        <w:rPr>
          <w:b/>
          <w:i/>
        </w:rPr>
        <w:t xml:space="preserve"> of Marketing </w:t>
      </w:r>
    </w:p>
    <w:p w14:paraId="7F94D2DE" w14:textId="77777777" w:rsidR="005B12BC" w:rsidRPr="00A462B7" w:rsidRDefault="00000000">
      <w:pPr>
        <w:pStyle w:val="Heading1"/>
        <w:rPr>
          <w:rFonts w:ascii="Arial" w:eastAsia="Arial" w:hAnsi="Arial" w:cs="Arial"/>
          <w:b w:val="0"/>
          <w:sz w:val="40"/>
          <w:szCs w:val="40"/>
        </w:rPr>
      </w:pPr>
      <w:bookmarkStart w:id="5" w:name="_heading=h.tyjcwt" w:colFirst="0" w:colLast="0"/>
      <w:bookmarkEnd w:id="5"/>
      <w:r w:rsidRPr="00A462B7">
        <w:t xml:space="preserve">6. Event Budget </w:t>
      </w:r>
    </w:p>
    <w:p w14:paraId="0B6A8D81" w14:textId="77777777" w:rsidR="005B12BC" w:rsidRPr="00A462B7" w:rsidRDefault="00000000">
      <w:pPr>
        <w:spacing w:after="200"/>
      </w:pPr>
      <w:r w:rsidRPr="00A462B7">
        <w:rPr>
          <w:b/>
          <w:i/>
        </w:rPr>
        <w:t xml:space="preserve">Breakdown of Expenditure </w:t>
      </w:r>
    </w:p>
    <w:tbl>
      <w:tblPr>
        <w:tblStyle w:val="ab"/>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790"/>
        <w:gridCol w:w="3210"/>
      </w:tblGrid>
      <w:tr w:rsidR="00A462B7" w:rsidRPr="00A462B7" w14:paraId="77731C19" w14:textId="77777777">
        <w:tc>
          <w:tcPr>
            <w:tcW w:w="5790" w:type="dxa"/>
            <w:shd w:val="clear" w:color="auto" w:fill="auto"/>
            <w:tcMar>
              <w:top w:w="100" w:type="dxa"/>
              <w:left w:w="100" w:type="dxa"/>
              <w:bottom w:w="100" w:type="dxa"/>
              <w:right w:w="100" w:type="dxa"/>
            </w:tcMar>
          </w:tcPr>
          <w:p w14:paraId="11C35546" w14:textId="77777777" w:rsidR="005B12BC" w:rsidRPr="00A462B7" w:rsidRDefault="00000000">
            <w:pPr>
              <w:widowControl w:val="0"/>
              <w:jc w:val="center"/>
              <w:rPr>
                <w:b/>
              </w:rPr>
            </w:pPr>
            <w:r w:rsidRPr="00A462B7">
              <w:rPr>
                <w:b/>
              </w:rPr>
              <w:t xml:space="preserve">Description </w:t>
            </w:r>
          </w:p>
        </w:tc>
        <w:tc>
          <w:tcPr>
            <w:tcW w:w="3210" w:type="dxa"/>
            <w:shd w:val="clear" w:color="auto" w:fill="auto"/>
            <w:tcMar>
              <w:top w:w="100" w:type="dxa"/>
              <w:left w:w="100" w:type="dxa"/>
              <w:bottom w:w="100" w:type="dxa"/>
              <w:right w:w="100" w:type="dxa"/>
            </w:tcMar>
          </w:tcPr>
          <w:p w14:paraId="0DAB15E1" w14:textId="77777777" w:rsidR="005B12BC" w:rsidRPr="00A462B7" w:rsidRDefault="00000000">
            <w:pPr>
              <w:widowControl w:val="0"/>
              <w:jc w:val="center"/>
              <w:rPr>
                <w:b/>
              </w:rPr>
            </w:pPr>
            <w:r w:rsidRPr="00A462B7">
              <w:rPr>
                <w:b/>
              </w:rPr>
              <w:t>Estimated Costs (in £)</w:t>
            </w:r>
          </w:p>
        </w:tc>
      </w:tr>
      <w:tr w:rsidR="00A462B7" w:rsidRPr="00A462B7" w14:paraId="6D849B66" w14:textId="77777777">
        <w:tc>
          <w:tcPr>
            <w:tcW w:w="5790" w:type="dxa"/>
            <w:shd w:val="clear" w:color="auto" w:fill="auto"/>
            <w:tcMar>
              <w:top w:w="100" w:type="dxa"/>
              <w:left w:w="100" w:type="dxa"/>
              <w:bottom w:w="100" w:type="dxa"/>
              <w:right w:w="100" w:type="dxa"/>
            </w:tcMar>
          </w:tcPr>
          <w:p w14:paraId="1609D03D" w14:textId="77777777" w:rsidR="005B12BC" w:rsidRPr="00A462B7" w:rsidRDefault="00000000">
            <w:pPr>
              <w:widowControl w:val="0"/>
            </w:pPr>
            <w:r w:rsidRPr="00A462B7">
              <w:t>Operational resources (catering, decorations, lighting)</w:t>
            </w:r>
          </w:p>
        </w:tc>
        <w:tc>
          <w:tcPr>
            <w:tcW w:w="3210" w:type="dxa"/>
            <w:shd w:val="clear" w:color="auto" w:fill="auto"/>
            <w:tcMar>
              <w:top w:w="100" w:type="dxa"/>
              <w:left w:w="100" w:type="dxa"/>
              <w:bottom w:w="100" w:type="dxa"/>
              <w:right w:w="100" w:type="dxa"/>
            </w:tcMar>
          </w:tcPr>
          <w:p w14:paraId="11867008" w14:textId="77777777" w:rsidR="005B12BC" w:rsidRPr="00A462B7" w:rsidRDefault="00000000">
            <w:pPr>
              <w:widowControl w:val="0"/>
              <w:jc w:val="center"/>
            </w:pPr>
            <w:r w:rsidRPr="00A462B7">
              <w:t>£12,000</w:t>
            </w:r>
          </w:p>
        </w:tc>
      </w:tr>
      <w:tr w:rsidR="00A462B7" w:rsidRPr="00A462B7" w14:paraId="770298F8" w14:textId="77777777">
        <w:tc>
          <w:tcPr>
            <w:tcW w:w="5790" w:type="dxa"/>
            <w:shd w:val="clear" w:color="auto" w:fill="auto"/>
            <w:tcMar>
              <w:top w:w="100" w:type="dxa"/>
              <w:left w:w="100" w:type="dxa"/>
              <w:bottom w:w="100" w:type="dxa"/>
              <w:right w:w="100" w:type="dxa"/>
            </w:tcMar>
          </w:tcPr>
          <w:p w14:paraId="134A969D" w14:textId="77777777" w:rsidR="005B12BC" w:rsidRPr="00A462B7" w:rsidRDefault="00000000">
            <w:pPr>
              <w:widowControl w:val="0"/>
            </w:pPr>
            <w:r w:rsidRPr="00A462B7">
              <w:t>Marketing and promotional resources (banners, ads, social media)</w:t>
            </w:r>
          </w:p>
        </w:tc>
        <w:tc>
          <w:tcPr>
            <w:tcW w:w="3210" w:type="dxa"/>
            <w:shd w:val="clear" w:color="auto" w:fill="auto"/>
            <w:tcMar>
              <w:top w:w="100" w:type="dxa"/>
              <w:left w:w="100" w:type="dxa"/>
              <w:bottom w:w="100" w:type="dxa"/>
              <w:right w:w="100" w:type="dxa"/>
            </w:tcMar>
          </w:tcPr>
          <w:p w14:paraId="2F80B092" w14:textId="77777777" w:rsidR="005B12BC" w:rsidRPr="00A462B7" w:rsidRDefault="00000000">
            <w:pPr>
              <w:widowControl w:val="0"/>
              <w:jc w:val="center"/>
            </w:pPr>
            <w:r w:rsidRPr="00A462B7">
              <w:t>£3,000</w:t>
            </w:r>
          </w:p>
        </w:tc>
      </w:tr>
      <w:tr w:rsidR="00A462B7" w:rsidRPr="00A462B7" w14:paraId="0DF15968" w14:textId="77777777">
        <w:tc>
          <w:tcPr>
            <w:tcW w:w="5790" w:type="dxa"/>
            <w:shd w:val="clear" w:color="auto" w:fill="auto"/>
            <w:tcMar>
              <w:top w:w="100" w:type="dxa"/>
              <w:left w:w="100" w:type="dxa"/>
              <w:bottom w:w="100" w:type="dxa"/>
              <w:right w:w="100" w:type="dxa"/>
            </w:tcMar>
          </w:tcPr>
          <w:p w14:paraId="39B34A52" w14:textId="77777777" w:rsidR="005B12BC" w:rsidRPr="00A462B7" w:rsidRDefault="00000000">
            <w:pPr>
              <w:widowControl w:val="0"/>
            </w:pPr>
            <w:r w:rsidRPr="00A462B7">
              <w:t xml:space="preserve">Rental expenses of the venue </w:t>
            </w:r>
          </w:p>
        </w:tc>
        <w:tc>
          <w:tcPr>
            <w:tcW w:w="3210" w:type="dxa"/>
            <w:shd w:val="clear" w:color="auto" w:fill="auto"/>
            <w:tcMar>
              <w:top w:w="100" w:type="dxa"/>
              <w:left w:w="100" w:type="dxa"/>
              <w:bottom w:w="100" w:type="dxa"/>
              <w:right w:w="100" w:type="dxa"/>
            </w:tcMar>
          </w:tcPr>
          <w:p w14:paraId="2E36F8BE" w14:textId="77777777" w:rsidR="005B12BC" w:rsidRPr="00A462B7" w:rsidRDefault="00000000">
            <w:pPr>
              <w:widowControl w:val="0"/>
              <w:jc w:val="center"/>
            </w:pPr>
            <w:r w:rsidRPr="00A462B7">
              <w:t>£2,000</w:t>
            </w:r>
          </w:p>
        </w:tc>
      </w:tr>
      <w:tr w:rsidR="00A462B7" w:rsidRPr="00A462B7" w14:paraId="2712FAAC" w14:textId="77777777">
        <w:tc>
          <w:tcPr>
            <w:tcW w:w="5790" w:type="dxa"/>
            <w:shd w:val="clear" w:color="auto" w:fill="auto"/>
            <w:tcMar>
              <w:top w:w="100" w:type="dxa"/>
              <w:left w:w="100" w:type="dxa"/>
              <w:bottom w:w="100" w:type="dxa"/>
              <w:right w:w="100" w:type="dxa"/>
            </w:tcMar>
          </w:tcPr>
          <w:p w14:paraId="7EFFB016" w14:textId="77777777" w:rsidR="005B12BC" w:rsidRPr="00A462B7" w:rsidRDefault="00000000">
            <w:pPr>
              <w:widowControl w:val="0"/>
            </w:pPr>
            <w:r w:rsidRPr="00A462B7">
              <w:t xml:space="preserve">Charges of staffing and volunteering </w:t>
            </w:r>
          </w:p>
        </w:tc>
        <w:tc>
          <w:tcPr>
            <w:tcW w:w="3210" w:type="dxa"/>
            <w:shd w:val="clear" w:color="auto" w:fill="auto"/>
            <w:tcMar>
              <w:top w:w="100" w:type="dxa"/>
              <w:left w:w="100" w:type="dxa"/>
              <w:bottom w:w="100" w:type="dxa"/>
              <w:right w:w="100" w:type="dxa"/>
            </w:tcMar>
          </w:tcPr>
          <w:p w14:paraId="32133CDF" w14:textId="77777777" w:rsidR="005B12BC" w:rsidRPr="00A462B7" w:rsidRDefault="00000000">
            <w:pPr>
              <w:widowControl w:val="0"/>
              <w:jc w:val="center"/>
            </w:pPr>
            <w:r w:rsidRPr="00A462B7">
              <w:t>£2,000</w:t>
            </w:r>
          </w:p>
        </w:tc>
      </w:tr>
      <w:tr w:rsidR="00A462B7" w:rsidRPr="00A462B7" w14:paraId="4A2823D7" w14:textId="77777777">
        <w:tc>
          <w:tcPr>
            <w:tcW w:w="5790" w:type="dxa"/>
            <w:shd w:val="clear" w:color="auto" w:fill="auto"/>
            <w:tcMar>
              <w:top w:w="100" w:type="dxa"/>
              <w:left w:w="100" w:type="dxa"/>
              <w:bottom w:w="100" w:type="dxa"/>
              <w:right w:w="100" w:type="dxa"/>
            </w:tcMar>
          </w:tcPr>
          <w:p w14:paraId="1E277326" w14:textId="77777777" w:rsidR="005B12BC" w:rsidRPr="00A462B7" w:rsidRDefault="00000000">
            <w:pPr>
              <w:widowControl w:val="0"/>
              <w:rPr>
                <w:b/>
              </w:rPr>
            </w:pPr>
            <w:r w:rsidRPr="00A462B7">
              <w:rPr>
                <w:b/>
              </w:rPr>
              <w:t xml:space="preserve">Total expenditure </w:t>
            </w:r>
          </w:p>
        </w:tc>
        <w:tc>
          <w:tcPr>
            <w:tcW w:w="3210" w:type="dxa"/>
            <w:shd w:val="clear" w:color="auto" w:fill="auto"/>
            <w:tcMar>
              <w:top w:w="100" w:type="dxa"/>
              <w:left w:w="100" w:type="dxa"/>
              <w:bottom w:w="100" w:type="dxa"/>
              <w:right w:w="100" w:type="dxa"/>
            </w:tcMar>
          </w:tcPr>
          <w:p w14:paraId="6A794A66" w14:textId="77777777" w:rsidR="005B12BC" w:rsidRPr="00A462B7" w:rsidRDefault="00000000">
            <w:pPr>
              <w:widowControl w:val="0"/>
              <w:jc w:val="center"/>
              <w:rPr>
                <w:b/>
              </w:rPr>
            </w:pPr>
            <w:r w:rsidRPr="00A462B7">
              <w:rPr>
                <w:b/>
              </w:rPr>
              <w:t>£19,000</w:t>
            </w:r>
          </w:p>
        </w:tc>
      </w:tr>
    </w:tbl>
    <w:p w14:paraId="00F3C175" w14:textId="77777777" w:rsidR="005B12BC" w:rsidRPr="00A462B7" w:rsidRDefault="00000000">
      <w:pPr>
        <w:spacing w:before="200" w:after="200"/>
        <w:jc w:val="center"/>
        <w:rPr>
          <w:b/>
        </w:rPr>
      </w:pPr>
      <w:r w:rsidRPr="00A462B7">
        <w:rPr>
          <w:b/>
          <w:i/>
        </w:rPr>
        <w:t>Table 3: Anticipated Breakdown of Expenditure</w:t>
      </w:r>
      <w:r w:rsidRPr="00A462B7">
        <w:rPr>
          <w:b/>
        </w:rPr>
        <w:t xml:space="preserve"> </w:t>
      </w:r>
    </w:p>
    <w:p w14:paraId="22514A85" w14:textId="77777777" w:rsidR="005B12BC" w:rsidRPr="00A462B7" w:rsidRDefault="00000000">
      <w:pPr>
        <w:spacing w:before="200" w:after="200"/>
        <w:rPr>
          <w:b/>
        </w:rPr>
      </w:pPr>
      <w:r w:rsidRPr="00A462B7">
        <w:rPr>
          <w:b/>
          <w:i/>
        </w:rPr>
        <w:t xml:space="preserve">Predicted revenue </w:t>
      </w:r>
    </w:p>
    <w:tbl>
      <w:tblPr>
        <w:tblStyle w:val="ac"/>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835"/>
        <w:gridCol w:w="3165"/>
      </w:tblGrid>
      <w:tr w:rsidR="00A462B7" w:rsidRPr="00A462B7" w14:paraId="2F59D585" w14:textId="77777777">
        <w:tc>
          <w:tcPr>
            <w:tcW w:w="5835" w:type="dxa"/>
            <w:shd w:val="clear" w:color="auto" w:fill="auto"/>
            <w:tcMar>
              <w:top w:w="100" w:type="dxa"/>
              <w:left w:w="100" w:type="dxa"/>
              <w:bottom w:w="100" w:type="dxa"/>
              <w:right w:w="100" w:type="dxa"/>
            </w:tcMar>
          </w:tcPr>
          <w:p w14:paraId="23A49FD2" w14:textId="77777777" w:rsidR="005B12BC" w:rsidRPr="00A462B7" w:rsidRDefault="00000000">
            <w:pPr>
              <w:widowControl w:val="0"/>
              <w:jc w:val="center"/>
              <w:rPr>
                <w:b/>
              </w:rPr>
            </w:pPr>
            <w:r w:rsidRPr="00A462B7">
              <w:rPr>
                <w:b/>
              </w:rPr>
              <w:t xml:space="preserve">Sources of Income </w:t>
            </w:r>
          </w:p>
        </w:tc>
        <w:tc>
          <w:tcPr>
            <w:tcW w:w="3165" w:type="dxa"/>
            <w:shd w:val="clear" w:color="auto" w:fill="auto"/>
            <w:tcMar>
              <w:top w:w="100" w:type="dxa"/>
              <w:left w:w="100" w:type="dxa"/>
              <w:bottom w:w="100" w:type="dxa"/>
              <w:right w:w="100" w:type="dxa"/>
            </w:tcMar>
          </w:tcPr>
          <w:p w14:paraId="7D93EF8C" w14:textId="77777777" w:rsidR="005B12BC" w:rsidRPr="00A462B7" w:rsidRDefault="00000000">
            <w:pPr>
              <w:widowControl w:val="0"/>
              <w:jc w:val="center"/>
              <w:rPr>
                <w:b/>
              </w:rPr>
            </w:pPr>
            <w:r w:rsidRPr="00A462B7">
              <w:rPr>
                <w:b/>
              </w:rPr>
              <w:t>Revenue (in £)</w:t>
            </w:r>
          </w:p>
        </w:tc>
      </w:tr>
      <w:tr w:rsidR="00A462B7" w:rsidRPr="00A462B7" w14:paraId="30AD8CED" w14:textId="77777777">
        <w:tc>
          <w:tcPr>
            <w:tcW w:w="5835" w:type="dxa"/>
            <w:shd w:val="clear" w:color="auto" w:fill="auto"/>
            <w:tcMar>
              <w:top w:w="100" w:type="dxa"/>
              <w:left w:w="100" w:type="dxa"/>
              <w:bottom w:w="100" w:type="dxa"/>
              <w:right w:w="100" w:type="dxa"/>
            </w:tcMar>
          </w:tcPr>
          <w:p w14:paraId="246110BB" w14:textId="77777777" w:rsidR="005B12BC" w:rsidRPr="00A462B7" w:rsidRDefault="00000000">
            <w:pPr>
              <w:widowControl w:val="0"/>
            </w:pPr>
            <w:r w:rsidRPr="00A462B7">
              <w:t xml:space="preserve">Sale amount from tickets </w:t>
            </w:r>
          </w:p>
        </w:tc>
        <w:tc>
          <w:tcPr>
            <w:tcW w:w="3165" w:type="dxa"/>
            <w:shd w:val="clear" w:color="auto" w:fill="auto"/>
            <w:tcMar>
              <w:top w:w="100" w:type="dxa"/>
              <w:left w:w="100" w:type="dxa"/>
              <w:bottom w:w="100" w:type="dxa"/>
              <w:right w:w="100" w:type="dxa"/>
            </w:tcMar>
          </w:tcPr>
          <w:p w14:paraId="3ACB9F5D" w14:textId="77777777" w:rsidR="005B12BC" w:rsidRPr="00A462B7" w:rsidRDefault="00000000">
            <w:pPr>
              <w:widowControl w:val="0"/>
              <w:jc w:val="center"/>
            </w:pPr>
            <w:r w:rsidRPr="00A462B7">
              <w:t>£10,000</w:t>
            </w:r>
          </w:p>
        </w:tc>
      </w:tr>
      <w:tr w:rsidR="00A462B7" w:rsidRPr="00A462B7" w14:paraId="547F3B89" w14:textId="77777777">
        <w:tc>
          <w:tcPr>
            <w:tcW w:w="5835" w:type="dxa"/>
            <w:shd w:val="clear" w:color="auto" w:fill="auto"/>
            <w:tcMar>
              <w:top w:w="100" w:type="dxa"/>
              <w:left w:w="100" w:type="dxa"/>
              <w:bottom w:w="100" w:type="dxa"/>
              <w:right w:w="100" w:type="dxa"/>
            </w:tcMar>
          </w:tcPr>
          <w:p w14:paraId="0D042748" w14:textId="77777777" w:rsidR="005B12BC" w:rsidRPr="00A462B7" w:rsidRDefault="00000000">
            <w:pPr>
              <w:widowControl w:val="0"/>
            </w:pPr>
            <w:r w:rsidRPr="00A462B7">
              <w:t xml:space="preserve">Stall fees </w:t>
            </w:r>
          </w:p>
        </w:tc>
        <w:tc>
          <w:tcPr>
            <w:tcW w:w="3165" w:type="dxa"/>
            <w:shd w:val="clear" w:color="auto" w:fill="auto"/>
            <w:tcMar>
              <w:top w:w="100" w:type="dxa"/>
              <w:left w:w="100" w:type="dxa"/>
              <w:bottom w:w="100" w:type="dxa"/>
              <w:right w:w="100" w:type="dxa"/>
            </w:tcMar>
          </w:tcPr>
          <w:p w14:paraId="7363BE0F" w14:textId="77777777" w:rsidR="005B12BC" w:rsidRPr="00A462B7" w:rsidRDefault="00000000">
            <w:pPr>
              <w:widowControl w:val="0"/>
              <w:jc w:val="center"/>
            </w:pPr>
            <w:r w:rsidRPr="00A462B7">
              <w:t>£7,500</w:t>
            </w:r>
          </w:p>
        </w:tc>
      </w:tr>
      <w:tr w:rsidR="00A462B7" w:rsidRPr="00A462B7" w14:paraId="6A7AC47C" w14:textId="77777777">
        <w:tc>
          <w:tcPr>
            <w:tcW w:w="5835" w:type="dxa"/>
            <w:shd w:val="clear" w:color="auto" w:fill="auto"/>
            <w:tcMar>
              <w:top w:w="100" w:type="dxa"/>
              <w:left w:w="100" w:type="dxa"/>
              <w:bottom w:w="100" w:type="dxa"/>
              <w:right w:w="100" w:type="dxa"/>
            </w:tcMar>
          </w:tcPr>
          <w:p w14:paraId="301BDACD" w14:textId="77777777" w:rsidR="005B12BC" w:rsidRPr="00A462B7" w:rsidRDefault="00000000">
            <w:pPr>
              <w:widowControl w:val="0"/>
            </w:pPr>
            <w:r w:rsidRPr="00A462B7">
              <w:t xml:space="preserve">Fees from sponsorship </w:t>
            </w:r>
          </w:p>
        </w:tc>
        <w:tc>
          <w:tcPr>
            <w:tcW w:w="3165" w:type="dxa"/>
            <w:shd w:val="clear" w:color="auto" w:fill="auto"/>
            <w:tcMar>
              <w:top w:w="100" w:type="dxa"/>
              <w:left w:w="100" w:type="dxa"/>
              <w:bottom w:w="100" w:type="dxa"/>
              <w:right w:w="100" w:type="dxa"/>
            </w:tcMar>
          </w:tcPr>
          <w:p w14:paraId="37A5B0C2" w14:textId="77777777" w:rsidR="005B12BC" w:rsidRPr="00A462B7" w:rsidRDefault="00000000">
            <w:pPr>
              <w:widowControl w:val="0"/>
              <w:jc w:val="center"/>
            </w:pPr>
            <w:r w:rsidRPr="00A462B7">
              <w:t>£3,000</w:t>
            </w:r>
          </w:p>
        </w:tc>
      </w:tr>
      <w:tr w:rsidR="00A462B7" w:rsidRPr="00A462B7" w14:paraId="30AA30B5" w14:textId="77777777">
        <w:tc>
          <w:tcPr>
            <w:tcW w:w="5835" w:type="dxa"/>
            <w:shd w:val="clear" w:color="auto" w:fill="auto"/>
            <w:tcMar>
              <w:top w:w="100" w:type="dxa"/>
              <w:left w:w="100" w:type="dxa"/>
              <w:bottom w:w="100" w:type="dxa"/>
              <w:right w:w="100" w:type="dxa"/>
            </w:tcMar>
          </w:tcPr>
          <w:p w14:paraId="02D0CA3A" w14:textId="77777777" w:rsidR="005B12BC" w:rsidRPr="00A462B7" w:rsidRDefault="00000000">
            <w:pPr>
              <w:widowControl w:val="0"/>
              <w:rPr>
                <w:b/>
              </w:rPr>
            </w:pPr>
            <w:r w:rsidRPr="00A462B7">
              <w:rPr>
                <w:b/>
              </w:rPr>
              <w:t xml:space="preserve">Total income </w:t>
            </w:r>
          </w:p>
        </w:tc>
        <w:tc>
          <w:tcPr>
            <w:tcW w:w="3165" w:type="dxa"/>
            <w:shd w:val="clear" w:color="auto" w:fill="auto"/>
            <w:tcMar>
              <w:top w:w="100" w:type="dxa"/>
              <w:left w:w="100" w:type="dxa"/>
              <w:bottom w:w="100" w:type="dxa"/>
              <w:right w:w="100" w:type="dxa"/>
            </w:tcMar>
          </w:tcPr>
          <w:p w14:paraId="1EEACC3E" w14:textId="77777777" w:rsidR="005B12BC" w:rsidRPr="00A462B7" w:rsidRDefault="00000000">
            <w:pPr>
              <w:widowControl w:val="0"/>
              <w:jc w:val="center"/>
              <w:rPr>
                <w:b/>
              </w:rPr>
            </w:pPr>
            <w:r w:rsidRPr="00A462B7">
              <w:rPr>
                <w:b/>
              </w:rPr>
              <w:t>£20,500</w:t>
            </w:r>
          </w:p>
        </w:tc>
      </w:tr>
    </w:tbl>
    <w:p w14:paraId="0C1B537E" w14:textId="77777777" w:rsidR="005B12BC" w:rsidRPr="00A462B7" w:rsidRDefault="00000000">
      <w:pPr>
        <w:spacing w:before="200" w:after="200"/>
        <w:jc w:val="center"/>
        <w:rPr>
          <w:b/>
          <w:i/>
        </w:rPr>
      </w:pPr>
      <w:r w:rsidRPr="00A462B7">
        <w:rPr>
          <w:b/>
          <w:i/>
        </w:rPr>
        <w:t xml:space="preserve">Table 4: Predicted Income from the Event  </w:t>
      </w:r>
    </w:p>
    <w:p w14:paraId="0F5EC40C" w14:textId="77777777" w:rsidR="005B12BC" w:rsidRPr="00A462B7" w:rsidRDefault="00000000">
      <w:pPr>
        <w:spacing w:before="200" w:after="200"/>
      </w:pPr>
      <w:r w:rsidRPr="00A462B7">
        <w:t xml:space="preserve">The above table presents predicted income through the event and the expenses that will be incurred for the event. The fundamental expenses contain costs of operational activities which </w:t>
      </w:r>
      <w:r w:rsidRPr="00A462B7">
        <w:lastRenderedPageBreak/>
        <w:t xml:space="preserve">include catering, lighting, and decorations costing around £12,000. Adding to it, the marketing and advertising resources which include banners, adverts and usage of social media will cost approximately £3,000. The generation of revenue primarily comes from the sales of tickets ranging around £10,000 in total and fees of stalls ranging around £7,500, which indicate the anticipated attendance and food-related exhibits. </w:t>
      </w:r>
    </w:p>
    <w:p w14:paraId="4193A779" w14:textId="77777777" w:rsidR="005B12BC" w:rsidRPr="00A462B7" w:rsidRDefault="00000000">
      <w:pPr>
        <w:pStyle w:val="Heading1"/>
      </w:pPr>
      <w:bookmarkStart w:id="6" w:name="_heading=h.3dy6vkm" w:colFirst="0" w:colLast="0"/>
      <w:bookmarkEnd w:id="6"/>
      <w:r w:rsidRPr="00A462B7">
        <w:t xml:space="preserve">7. Industry Trends/issues/Impacts </w:t>
      </w:r>
    </w:p>
    <w:p w14:paraId="588C9FC0" w14:textId="77777777" w:rsidR="005B12BC" w:rsidRPr="00A462B7" w:rsidRDefault="00000000">
      <w:pPr>
        <w:spacing w:after="200"/>
      </w:pPr>
      <w:r w:rsidRPr="00A462B7">
        <w:t xml:space="preserve">One significant trend in events is the </w:t>
      </w:r>
      <w:r w:rsidRPr="00A462B7">
        <w:rPr>
          <w:b/>
          <w:i/>
        </w:rPr>
        <w:t>increasing need for diversity and inclusion</w:t>
      </w:r>
      <w:r w:rsidRPr="00A462B7">
        <w:t xml:space="preserve"> (EDI). This mentioned trend is highly applicable to the proposed event ‘Global Culinary Art Summit 2025’. This is because the theme of the proposed event directly concentrates on the aspects of Equality, Diversity, and Inclusion (EDI). As per a report by Event Organisers Summit (2023), the incorporation of cosmopolitan significances within events, such as those indicated in the mixed cuisines featured in the conference, glorifies cultural interaction and inclusivity. </w:t>
      </w:r>
    </w:p>
    <w:p w14:paraId="25D97DF1" w14:textId="77777777" w:rsidR="005B12BC" w:rsidRPr="00A462B7" w:rsidRDefault="00000000">
      <w:pPr>
        <w:spacing w:after="200"/>
        <w:jc w:val="center"/>
      </w:pPr>
      <w:r w:rsidRPr="00A462B7">
        <w:rPr>
          <w:noProof/>
        </w:rPr>
        <w:drawing>
          <wp:inline distT="114300" distB="114300" distL="114300" distR="114300" wp14:anchorId="7273CFDE" wp14:editId="5FFA5A67">
            <wp:extent cx="3643077" cy="3175384"/>
            <wp:effectExtent l="25400" t="25400" r="25400" b="25400"/>
            <wp:docPr id="1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3643077" cy="3175384"/>
                    </a:xfrm>
                    <a:prstGeom prst="rect">
                      <a:avLst/>
                    </a:prstGeom>
                    <a:ln w="25400">
                      <a:solidFill>
                        <a:srgbClr val="000000"/>
                      </a:solidFill>
                      <a:prstDash val="solid"/>
                    </a:ln>
                  </pic:spPr>
                </pic:pic>
              </a:graphicData>
            </a:graphic>
          </wp:inline>
        </w:drawing>
      </w:r>
    </w:p>
    <w:p w14:paraId="23C13D53" w14:textId="77777777" w:rsidR="005B12BC" w:rsidRPr="00A462B7" w:rsidRDefault="00000000">
      <w:pPr>
        <w:jc w:val="center"/>
        <w:rPr>
          <w:b/>
          <w:i/>
        </w:rPr>
      </w:pPr>
      <w:r w:rsidRPr="00A462B7">
        <w:rPr>
          <w:b/>
          <w:i/>
        </w:rPr>
        <w:t xml:space="preserve">Figure 3: Expected crowd at the Event </w:t>
      </w:r>
    </w:p>
    <w:p w14:paraId="475A6A86" w14:textId="77777777" w:rsidR="005B12BC" w:rsidRPr="00A462B7" w:rsidRDefault="00000000">
      <w:pPr>
        <w:spacing w:after="200"/>
        <w:jc w:val="center"/>
      </w:pPr>
      <w:r w:rsidRPr="00A462B7">
        <w:t>(Source: Delicious, 2024)</w:t>
      </w:r>
    </w:p>
    <w:p w14:paraId="72B57A8E" w14:textId="77777777" w:rsidR="005B12BC" w:rsidRPr="00A462B7" w:rsidRDefault="00000000">
      <w:pPr>
        <w:spacing w:after="200"/>
      </w:pPr>
      <w:r w:rsidRPr="00A462B7">
        <w:t xml:space="preserve">Moving ahead, the </w:t>
      </w:r>
      <w:r w:rsidRPr="00A462B7">
        <w:rPr>
          <w:b/>
          <w:i/>
        </w:rPr>
        <w:t>advancement of hybrid events</w:t>
      </w:r>
      <w:r w:rsidRPr="00A462B7">
        <w:t xml:space="preserve"> is another prevailing trend that blends participation in both, physical and digital forms (Live Events, 2024; Eclipse Global, 2025). The ‘Global Culinary Art Summit’ is prepared as a physical occasion at the location, Somerset </w:t>
      </w:r>
      <w:r w:rsidRPr="00A462B7">
        <w:lastRenderedPageBreak/>
        <w:t xml:space="preserve">House, but due to this trend, hybrid components could be combined, particularly for international chefs and industry executives who may not be able to attend the event in person. </w:t>
      </w:r>
    </w:p>
    <w:p w14:paraId="372B9EA9" w14:textId="77777777" w:rsidR="005B12BC" w:rsidRPr="00A462B7" w:rsidRDefault="00000000">
      <w:pPr>
        <w:spacing w:after="200"/>
      </w:pPr>
      <w:r w:rsidRPr="00A462B7">
        <w:t xml:space="preserve">The significant </w:t>
      </w:r>
      <w:r w:rsidRPr="00A462B7">
        <w:rPr>
          <w:b/>
          <w:i/>
        </w:rPr>
        <w:t xml:space="preserve">impact of sustainability and environmental aspects </w:t>
      </w:r>
      <w:r w:rsidRPr="00A462B7">
        <w:t>are also important matters in the UK event industry, with numerous events redirecting to environmentally friendly approaches (Chemmanur, 2024). The proposed ‘Global Culinary Art Summit 2025’ can handle these problems by sourcing regional, sustainable elements and decreasing waste, indicating a responsibility towards environmental obligation.</w:t>
      </w:r>
    </w:p>
    <w:p w14:paraId="1F7283A7" w14:textId="77777777" w:rsidR="005B12BC" w:rsidRPr="00A462B7" w:rsidRDefault="00000000">
      <w:pPr>
        <w:spacing w:after="200"/>
      </w:pPr>
      <w:r w:rsidRPr="00A462B7">
        <w:t xml:space="preserve">The </w:t>
      </w:r>
      <w:r w:rsidRPr="00A462B7">
        <w:rPr>
          <w:b/>
          <w:i/>
        </w:rPr>
        <w:t xml:space="preserve">growing number of food carnivals </w:t>
      </w:r>
      <w:r w:rsidRPr="00A462B7">
        <w:t xml:space="preserve">and </w:t>
      </w:r>
      <w:r w:rsidRPr="00A462B7">
        <w:rPr>
          <w:b/>
          <w:i/>
        </w:rPr>
        <w:t xml:space="preserve">identical cultural occasions </w:t>
      </w:r>
      <w:r w:rsidRPr="00A462B7">
        <w:t>across the UK can also act as challenges to the proposed summit with consideration of competition (Delicious, 2024). Yet, advertising the distinctive EDI theme within a culinary aspect, with the occasion attended by well-known chefs like Thomas Keller and Jamie Oliver can offer a distinguishing angle that can support the event to outshine in a crowded industry.</w:t>
      </w:r>
    </w:p>
    <w:p w14:paraId="0731515F" w14:textId="77777777" w:rsidR="005B12BC" w:rsidRPr="00A462B7" w:rsidRDefault="00000000">
      <w:pPr>
        <w:pStyle w:val="Heading1"/>
      </w:pPr>
      <w:bookmarkStart w:id="7" w:name="_heading=h.1t3h5sf" w:colFirst="0" w:colLast="0"/>
      <w:bookmarkEnd w:id="7"/>
      <w:r w:rsidRPr="00A462B7">
        <w:t xml:space="preserve">8. Situational and Cultural Considerations </w:t>
      </w:r>
    </w:p>
    <w:p w14:paraId="0A0B69BB" w14:textId="77777777" w:rsidR="005B12BC" w:rsidRPr="00A462B7" w:rsidRDefault="00000000">
      <w:pPr>
        <w:pStyle w:val="Heading2"/>
        <w:spacing w:after="200"/>
      </w:pPr>
      <w:bookmarkStart w:id="8" w:name="_heading=h.4d34og8" w:colFirst="0" w:colLast="0"/>
      <w:bookmarkEnd w:id="8"/>
      <w:r w:rsidRPr="00A462B7">
        <w:t xml:space="preserve">8.1 PESTLE </w:t>
      </w:r>
    </w:p>
    <w:p w14:paraId="72E3D198" w14:textId="77777777" w:rsidR="005B12BC" w:rsidRPr="00A462B7" w:rsidRDefault="00000000">
      <w:pPr>
        <w:spacing w:after="200"/>
        <w:rPr>
          <w:b/>
          <w:i/>
        </w:rPr>
      </w:pPr>
      <w:r w:rsidRPr="00A462B7">
        <w:rPr>
          <w:b/>
          <w:i/>
        </w:rPr>
        <w:t>Political Factors</w:t>
      </w:r>
    </w:p>
    <w:p w14:paraId="28ECA9EF" w14:textId="77777777" w:rsidR="005B12BC" w:rsidRPr="00A462B7" w:rsidRDefault="00000000">
      <w:pPr>
        <w:spacing w:after="200"/>
      </w:pPr>
      <w:r w:rsidRPr="00A462B7">
        <w:t xml:space="preserve">The UK’s political environment is stable, making its hosting quite easy. The theme of Equality, Diversity and Inclusion (EDI) and government-funded cultural projects; this event is culturally and politically relevant (Gov.uk, 2020). However, political uncertainties (such as Brexit) have brought added complications to international collaborations (Gov.uk, 2020; Du </w:t>
      </w:r>
      <w:r w:rsidRPr="00A462B7">
        <w:rPr>
          <w:i/>
        </w:rPr>
        <w:t>et al.,</w:t>
      </w:r>
      <w:r w:rsidRPr="00A462B7">
        <w:t xml:space="preserve"> 2023). These risks can be mitigated through close coordination with embassies and compliance with travel regulations.</w:t>
      </w:r>
    </w:p>
    <w:p w14:paraId="1A3FF717" w14:textId="77777777" w:rsidR="005B12BC" w:rsidRPr="00A462B7" w:rsidRDefault="00000000">
      <w:pPr>
        <w:spacing w:after="200"/>
        <w:rPr>
          <w:b/>
          <w:i/>
        </w:rPr>
      </w:pPr>
      <w:r w:rsidRPr="00A462B7">
        <w:rPr>
          <w:b/>
          <w:i/>
        </w:rPr>
        <w:t>Economic Factors</w:t>
      </w:r>
    </w:p>
    <w:p w14:paraId="22F6E8DA" w14:textId="77777777" w:rsidR="005B12BC" w:rsidRPr="00A462B7" w:rsidRDefault="00000000">
      <w:pPr>
        <w:spacing w:after="200"/>
      </w:pPr>
      <w:r w:rsidRPr="00A462B7">
        <w:t>This also shows the economic viability of food festivals, as interest in the Millennial population has grown considerably in attracting international cuisines. The problem comes down to economics; inflation and the prices of venue rentals, catering, and marketing. To solve this issue, the event will have this strategic budget with ticket sales as one of its revenue streams.</w:t>
      </w:r>
    </w:p>
    <w:p w14:paraId="754FAF36" w14:textId="77777777" w:rsidR="005B12BC" w:rsidRPr="00A462B7" w:rsidRDefault="00000000">
      <w:pPr>
        <w:spacing w:after="200"/>
        <w:rPr>
          <w:b/>
          <w:i/>
        </w:rPr>
      </w:pPr>
      <w:r w:rsidRPr="00A462B7">
        <w:rPr>
          <w:b/>
          <w:i/>
        </w:rPr>
        <w:t>Social Factors</w:t>
      </w:r>
    </w:p>
    <w:p w14:paraId="0D01976B" w14:textId="77777777" w:rsidR="005B12BC" w:rsidRPr="00A462B7" w:rsidRDefault="00000000">
      <w:pPr>
        <w:spacing w:after="200"/>
      </w:pPr>
      <w:r w:rsidRPr="00A462B7">
        <w:lastRenderedPageBreak/>
        <w:t>Current social trends echo the theme of the summit, Equality, Diversity, and Inclusion. They also target consumers, who are particularly sensitive to social causes, and demand brands and events which ideally promote inclusivity. According to recent studies, 27.7% of people publicly post about their experiences on social media platforms, sharing with the world how emotionally interested they are in the event they are attending (Clark, 2024). Also, the UK’s multicultural society has a large potential audience interested in different culinary traditions. But cultural sensitivities are important.</w:t>
      </w:r>
    </w:p>
    <w:p w14:paraId="111A8D76" w14:textId="77777777" w:rsidR="005B12BC" w:rsidRPr="00A462B7" w:rsidRDefault="00000000">
      <w:pPr>
        <w:spacing w:after="200"/>
        <w:rPr>
          <w:b/>
          <w:i/>
        </w:rPr>
      </w:pPr>
      <w:r w:rsidRPr="00A462B7">
        <w:rPr>
          <w:b/>
          <w:i/>
        </w:rPr>
        <w:t>Technological Factors</w:t>
      </w:r>
    </w:p>
    <w:p w14:paraId="42B19413" w14:textId="77777777" w:rsidR="005B12BC" w:rsidRPr="00A462B7" w:rsidRDefault="00000000">
      <w:pPr>
        <w:spacing w:after="200"/>
      </w:pPr>
      <w:r w:rsidRPr="00A462B7">
        <w:t>Digital technology adoption is increasingly becoming a trend in the UK and their adoption of new digital technologies has been driven by increasing productivity and efficiencies (Statista, 2023; Gov UK, 2023). Technological innovation on-site with live streaming, interactive displays and QR code menus will enhance the guest experience.</w:t>
      </w:r>
    </w:p>
    <w:p w14:paraId="318A7D30" w14:textId="77777777" w:rsidR="005B12BC" w:rsidRPr="00A462B7" w:rsidRDefault="00000000">
      <w:pPr>
        <w:spacing w:after="200"/>
        <w:rPr>
          <w:b/>
          <w:i/>
        </w:rPr>
      </w:pPr>
      <w:r w:rsidRPr="00A462B7">
        <w:rPr>
          <w:b/>
          <w:i/>
        </w:rPr>
        <w:t>Environmental Factors</w:t>
      </w:r>
    </w:p>
    <w:p w14:paraId="28F15D93" w14:textId="77777777" w:rsidR="005B12BC" w:rsidRPr="00A462B7" w:rsidRDefault="00000000">
      <w:pPr>
        <w:spacing w:after="200"/>
      </w:pPr>
      <w:r w:rsidRPr="00A462B7">
        <w:t>The events industry is moving towards being more sustainable and this summit will focus on environmentally friendly practices. Among the measures, are the use of biodegradable material for decorations, smart planning to reduce food waste, and contracting vendors who follow eco-friendly standards. The event can attract environmentally conscious attendees through these efforts and serve as an example of sustainable hospitality practices.</w:t>
      </w:r>
    </w:p>
    <w:p w14:paraId="4E9FA0A6" w14:textId="77777777" w:rsidR="005B12BC" w:rsidRPr="00A462B7" w:rsidRDefault="00000000">
      <w:pPr>
        <w:spacing w:after="200"/>
        <w:rPr>
          <w:b/>
          <w:i/>
        </w:rPr>
      </w:pPr>
      <w:r w:rsidRPr="00A462B7">
        <w:rPr>
          <w:b/>
          <w:i/>
        </w:rPr>
        <w:t>Legal Factors</w:t>
      </w:r>
    </w:p>
    <w:p w14:paraId="5CE2EEBF" w14:textId="77777777" w:rsidR="005B12BC" w:rsidRPr="00A462B7" w:rsidRDefault="00000000">
      <w:pPr>
        <w:spacing w:after="200"/>
      </w:pPr>
      <w:r w:rsidRPr="00A462B7">
        <w:t xml:space="preserve">It pays to comply with UK health and safety regulations. Vendors and chefs that will be contracted will have their terms well covered so all legal obligations are met when a purchase is made. The event will also follow GDPR (General Data Protection Regulation) for online ticketing and marketing activities for handling attendee data respectively. </w:t>
      </w:r>
    </w:p>
    <w:p w14:paraId="08EE0B8D" w14:textId="77777777" w:rsidR="005B12BC" w:rsidRPr="00A462B7" w:rsidRDefault="00000000">
      <w:pPr>
        <w:spacing w:after="200"/>
        <w:jc w:val="center"/>
      </w:pPr>
      <w:r w:rsidRPr="00A462B7">
        <w:rPr>
          <w:noProof/>
        </w:rPr>
        <w:drawing>
          <wp:inline distT="114300" distB="114300" distL="114300" distR="114300" wp14:anchorId="226B0AD8" wp14:editId="7F8BC9BF">
            <wp:extent cx="4972050" cy="1781175"/>
            <wp:effectExtent l="25400" t="25400" r="25400" b="25400"/>
            <wp:docPr id="1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l="6478" t="13719" r="6810"/>
                    <a:stretch>
                      <a:fillRect/>
                    </a:stretch>
                  </pic:blipFill>
                  <pic:spPr>
                    <a:xfrm>
                      <a:off x="0" y="0"/>
                      <a:ext cx="4972050" cy="1781175"/>
                    </a:xfrm>
                    <a:prstGeom prst="rect">
                      <a:avLst/>
                    </a:prstGeom>
                    <a:ln w="25400">
                      <a:solidFill>
                        <a:srgbClr val="000000"/>
                      </a:solidFill>
                      <a:prstDash val="solid"/>
                    </a:ln>
                  </pic:spPr>
                </pic:pic>
              </a:graphicData>
            </a:graphic>
          </wp:inline>
        </w:drawing>
      </w:r>
    </w:p>
    <w:p w14:paraId="2F3DE4DC" w14:textId="77777777" w:rsidR="005B12BC" w:rsidRPr="00A462B7" w:rsidRDefault="00000000">
      <w:pPr>
        <w:jc w:val="center"/>
        <w:rPr>
          <w:b/>
          <w:i/>
        </w:rPr>
      </w:pPr>
      <w:r w:rsidRPr="00A462B7">
        <w:rPr>
          <w:b/>
          <w:i/>
        </w:rPr>
        <w:lastRenderedPageBreak/>
        <w:t xml:space="preserve">Figure 4: GDPR Principles </w:t>
      </w:r>
    </w:p>
    <w:p w14:paraId="74818E15" w14:textId="77777777" w:rsidR="005B12BC" w:rsidRPr="00A462B7" w:rsidRDefault="00000000">
      <w:pPr>
        <w:spacing w:after="200"/>
        <w:jc w:val="center"/>
      </w:pPr>
      <w:r w:rsidRPr="00A462B7">
        <w:t>(Source: Gov.uk, 2020)</w:t>
      </w:r>
    </w:p>
    <w:p w14:paraId="2934A461" w14:textId="77777777" w:rsidR="005B12BC" w:rsidRPr="00A462B7" w:rsidRDefault="00000000">
      <w:pPr>
        <w:spacing w:after="200"/>
        <w:rPr>
          <w:b/>
          <w:i/>
        </w:rPr>
      </w:pPr>
      <w:r w:rsidRPr="00A462B7">
        <w:rPr>
          <w:b/>
          <w:i/>
        </w:rPr>
        <w:t>Evaluation of the PESTLE analysis</w:t>
      </w:r>
    </w:p>
    <w:p w14:paraId="6392F4AE" w14:textId="77777777" w:rsidR="005B12BC" w:rsidRPr="00A462B7" w:rsidRDefault="00000000">
      <w:pPr>
        <w:spacing w:after="200"/>
      </w:pPr>
      <w:r w:rsidRPr="00A462B7">
        <w:t>On the political factor, cultural events are favoured with a stable UK environment but logistically Brexit is problematic. However, regardless of the inflationary pressures, the economic demands for international cuisines ensure profitability. The socially oriented event that emphasises Equality, Diversity and Inclusion, takes the cue from societal values of cultural diversity and social media engagement. Sustainability measures are eco-friendly and environmentally. Application to food safety regulations and GDPR is legally obligatory. Overall, PESTEL shows both opportunities and manageable challenges.</w:t>
      </w:r>
    </w:p>
    <w:p w14:paraId="17C19014" w14:textId="77777777" w:rsidR="005B12BC" w:rsidRPr="00A462B7" w:rsidRDefault="00000000">
      <w:pPr>
        <w:pStyle w:val="Heading1"/>
        <w:spacing w:after="200"/>
      </w:pPr>
      <w:bookmarkStart w:id="9" w:name="_heading=h.2s8eyo1" w:colFirst="0" w:colLast="0"/>
      <w:bookmarkEnd w:id="9"/>
      <w:r w:rsidRPr="00A462B7">
        <w:t xml:space="preserve">9. Conclusion </w:t>
      </w:r>
    </w:p>
    <w:p w14:paraId="77C11313" w14:textId="77777777" w:rsidR="005B12BC" w:rsidRPr="00A462B7" w:rsidRDefault="00000000">
      <w:pPr>
        <w:spacing w:before="240" w:after="240"/>
      </w:pPr>
      <w:r w:rsidRPr="00A462B7">
        <w:t xml:space="preserve">The report can be concluded based on the findings made for the proposal of an event in the UK named the </w:t>
      </w:r>
      <w:r w:rsidRPr="00A462B7">
        <w:rPr>
          <w:i/>
        </w:rPr>
        <w:t>‘Global Culinary Art Summit 2025’</w:t>
      </w:r>
      <w:r w:rsidRPr="00A462B7">
        <w:t xml:space="preserve">. The event marks the inclusion of ‘Equality, Diversity, and Inclusion’ (EDI) in the hospitality sector, organised at Somerset House, London for around 300 visitors. The event targets ‘millennials, experts and students, incorporating cultural events and unique culinary experiences. The budget predicts £20,500 revenue against the expenses of around £19,000, indicating a surplus of almost £1,500. Further, key techniques comprise hybrid involvement, sustainable approaches and marketing through social media. Lastly, a PESTLE analysis emphasises the UK’s political strength, monetary issues, and cultural effectiveness. By corresponding with trends prevailing in the industry and highlighting diversity, the summit aims to offer a remarkable platform to glorify inclusivity and join the global community in the hospitality sector. </w:t>
      </w:r>
    </w:p>
    <w:p w14:paraId="4505A881" w14:textId="77777777" w:rsidR="005B12BC" w:rsidRPr="00A462B7" w:rsidRDefault="00000000">
      <w:pPr>
        <w:spacing w:line="276" w:lineRule="auto"/>
        <w:jc w:val="left"/>
        <w:rPr>
          <w:b/>
        </w:rPr>
      </w:pPr>
      <w:r w:rsidRPr="00A462B7">
        <w:br w:type="page"/>
      </w:r>
    </w:p>
    <w:p w14:paraId="051E2639" w14:textId="77777777" w:rsidR="005B12BC" w:rsidRPr="00A462B7" w:rsidRDefault="00000000">
      <w:pPr>
        <w:pStyle w:val="Heading1"/>
      </w:pPr>
      <w:bookmarkStart w:id="10" w:name="_heading=h.17dp8vu" w:colFirst="0" w:colLast="0"/>
      <w:bookmarkEnd w:id="10"/>
      <w:r w:rsidRPr="00A462B7">
        <w:lastRenderedPageBreak/>
        <w:t xml:space="preserve">10. References </w:t>
      </w:r>
    </w:p>
    <w:p w14:paraId="70AD0583" w14:textId="77777777" w:rsidR="005B12BC" w:rsidRPr="00A462B7" w:rsidRDefault="00000000">
      <w:pPr>
        <w:spacing w:after="200"/>
      </w:pPr>
      <w:r w:rsidRPr="00A462B7">
        <w:t xml:space="preserve">Atlassian, (2024) </w:t>
      </w:r>
      <w:r w:rsidRPr="00A462B7">
        <w:rPr>
          <w:i/>
        </w:rPr>
        <w:t>Mastering critical path method in project management.</w:t>
      </w:r>
      <w:r w:rsidRPr="00A462B7">
        <w:t xml:space="preserve"> Available at: </w:t>
      </w:r>
      <w:hyperlink r:id="rId13">
        <w:r w:rsidR="005B12BC" w:rsidRPr="00A462B7">
          <w:rPr>
            <w:u w:val="single"/>
          </w:rPr>
          <w:t>https://www.atlassian.com/work-management/project-management/critical-path-method</w:t>
        </w:r>
      </w:hyperlink>
      <w:r w:rsidRPr="00A462B7">
        <w:t xml:space="preserve"> (Accessed: 27 January 2025)  </w:t>
      </w:r>
    </w:p>
    <w:p w14:paraId="38B96442" w14:textId="77777777" w:rsidR="005B12BC" w:rsidRPr="00A462B7" w:rsidRDefault="00000000">
      <w:pPr>
        <w:spacing w:after="200"/>
      </w:pPr>
      <w:r w:rsidRPr="00A462B7">
        <w:t xml:space="preserve">Bladen, C., Kennell, J., Abson, E. and Wilde, N. (2022) </w:t>
      </w:r>
      <w:r w:rsidRPr="00A462B7">
        <w:rPr>
          <w:i/>
        </w:rPr>
        <w:t>Events management: An introduction</w:t>
      </w:r>
      <w:r w:rsidRPr="00A462B7">
        <w:t>. Routledge.</w:t>
      </w:r>
    </w:p>
    <w:p w14:paraId="3B480095" w14:textId="77777777" w:rsidR="005B12BC" w:rsidRPr="00A462B7" w:rsidRDefault="00000000">
      <w:pPr>
        <w:spacing w:after="200"/>
      </w:pPr>
      <w:r w:rsidRPr="00A462B7">
        <w:t xml:space="preserve">Bowdin, G.A., Allen, J., Harris, R., Jago, L., O'toole, W. and McDonnell, I. (2023) </w:t>
      </w:r>
      <w:r w:rsidRPr="00A462B7">
        <w:rPr>
          <w:i/>
        </w:rPr>
        <w:t>Events management</w:t>
      </w:r>
      <w:r w:rsidRPr="00A462B7">
        <w:t>. Routledge.</w:t>
      </w:r>
    </w:p>
    <w:p w14:paraId="544B2E57" w14:textId="77777777" w:rsidR="005B12BC" w:rsidRPr="00A462B7" w:rsidRDefault="00000000">
      <w:pPr>
        <w:spacing w:after="200"/>
      </w:pPr>
      <w:r w:rsidRPr="00A462B7">
        <w:t xml:space="preserve">Chemmanur, A., (2024) </w:t>
      </w:r>
      <w:r w:rsidRPr="00A462B7">
        <w:rPr>
          <w:i/>
        </w:rPr>
        <w:t>Sustainability in the hospitality industry.</w:t>
      </w:r>
      <w:r w:rsidRPr="00A462B7">
        <w:t xml:space="preserve"> Available at: </w:t>
      </w:r>
      <w:hyperlink r:id="rId14">
        <w:r w:rsidR="005B12BC" w:rsidRPr="00A462B7">
          <w:rPr>
            <w:u w:val="single"/>
          </w:rPr>
          <w:t>https://www.deloitte.com/uk/en/Industries/consumer/sustainability-in-the-hospitality-industry.html</w:t>
        </w:r>
      </w:hyperlink>
      <w:r w:rsidRPr="00A462B7">
        <w:t xml:space="preserve"> (Accessed: 27 January 2025)</w:t>
      </w:r>
    </w:p>
    <w:p w14:paraId="633DB41E" w14:textId="77777777" w:rsidR="005B12BC" w:rsidRPr="00A462B7" w:rsidRDefault="00000000">
      <w:pPr>
        <w:spacing w:after="200"/>
      </w:pPr>
      <w:r w:rsidRPr="00A462B7">
        <w:t xml:space="preserve">Clark, D. (2024) </w:t>
      </w:r>
      <w:r w:rsidRPr="00A462B7">
        <w:rPr>
          <w:i/>
        </w:rPr>
        <w:t>Personal actions to support diversity and inclusion UK 2021</w:t>
      </w:r>
      <w:r w:rsidRPr="00A462B7">
        <w:t>. Available at: https://www.statista.com/statistics/1257393/diversity-and-inclusion-workplace/ (Accessed: 27 January 2025)</w:t>
      </w:r>
    </w:p>
    <w:p w14:paraId="5133CE0C" w14:textId="77777777" w:rsidR="005B12BC" w:rsidRPr="00A462B7" w:rsidRDefault="00000000">
      <w:pPr>
        <w:spacing w:after="200"/>
      </w:pPr>
      <w:r w:rsidRPr="00A462B7">
        <w:t xml:space="preserve">Delicious (2024) </w:t>
      </w:r>
      <w:r w:rsidRPr="00A462B7">
        <w:rPr>
          <w:i/>
        </w:rPr>
        <w:t>The best UK food festivals happening this summer 2024.</w:t>
      </w:r>
      <w:r w:rsidRPr="00A462B7">
        <w:t xml:space="preserve"> Available at:</w:t>
      </w:r>
      <w:hyperlink r:id="rId15">
        <w:r w:rsidR="005B12BC" w:rsidRPr="00A462B7">
          <w:t xml:space="preserve"> </w:t>
        </w:r>
      </w:hyperlink>
      <w:hyperlink r:id="rId16">
        <w:r w:rsidR="005B12BC" w:rsidRPr="00A462B7">
          <w:rPr>
            <w:u w:val="single"/>
          </w:rPr>
          <w:t>https://www.deliciousmagazine.co.uk/uk-food-festivals-summer/</w:t>
        </w:r>
      </w:hyperlink>
      <w:r w:rsidRPr="00A462B7">
        <w:t xml:space="preserve"> (Accessed: 27 January 2025)</w:t>
      </w:r>
    </w:p>
    <w:p w14:paraId="4B747275" w14:textId="77777777" w:rsidR="005B12BC" w:rsidRPr="00A462B7" w:rsidRDefault="00000000">
      <w:pPr>
        <w:spacing w:after="200"/>
      </w:pPr>
      <w:r w:rsidRPr="00A462B7">
        <w:t xml:space="preserve">Du, J., Satoglu, E.B. and Shepotylo, O. (2023) ‘How did Brexit affect UK trade?’, </w:t>
      </w:r>
      <w:r w:rsidRPr="00A462B7">
        <w:rPr>
          <w:i/>
        </w:rPr>
        <w:t>Contemporary Social Science</w:t>
      </w:r>
      <w:r w:rsidRPr="00A462B7">
        <w:t>, 18(2), pp.266-283.</w:t>
      </w:r>
    </w:p>
    <w:p w14:paraId="4D57D303" w14:textId="77777777" w:rsidR="005B12BC" w:rsidRPr="00A462B7" w:rsidRDefault="00000000">
      <w:pPr>
        <w:spacing w:after="200"/>
      </w:pPr>
      <w:r w:rsidRPr="00A462B7">
        <w:t xml:space="preserve">Eclipse Global (2025) </w:t>
      </w:r>
      <w:r w:rsidRPr="00A462B7">
        <w:rPr>
          <w:i/>
        </w:rPr>
        <w:t>Blending Live and Digital Elements In Events: Strategies for Success.</w:t>
      </w:r>
      <w:r w:rsidRPr="00A462B7">
        <w:t xml:space="preserve"> Available at:  </w:t>
      </w:r>
      <w:hyperlink r:id="rId17">
        <w:r w:rsidR="005B12BC" w:rsidRPr="00A462B7">
          <w:rPr>
            <w:u w:val="single"/>
          </w:rPr>
          <w:t>https://eclipse.global/blending-live-and-digital-elements-events/</w:t>
        </w:r>
      </w:hyperlink>
      <w:r w:rsidRPr="00A462B7">
        <w:t xml:space="preserve"> (Accessed: 25 February 2025)</w:t>
      </w:r>
    </w:p>
    <w:p w14:paraId="3D46F222" w14:textId="77777777" w:rsidR="005B12BC" w:rsidRPr="00A462B7" w:rsidRDefault="00000000">
      <w:pPr>
        <w:spacing w:after="200"/>
      </w:pPr>
      <w:r w:rsidRPr="00A462B7">
        <w:t xml:space="preserve">Ejike, O.G. and Abhulimen, A.O., (2024) ‘Conceptual framework for enhancing project management practices among women entrepreneurs in event management’, </w:t>
      </w:r>
      <w:r w:rsidRPr="00A462B7">
        <w:rPr>
          <w:i/>
        </w:rPr>
        <w:t>International Journal of Scholarly Research in Multidisciplinary Studies</w:t>
      </w:r>
      <w:r w:rsidRPr="00A462B7">
        <w:t xml:space="preserve">, 5(1). </w:t>
      </w:r>
    </w:p>
    <w:p w14:paraId="65C3C63C" w14:textId="77777777" w:rsidR="005B12BC" w:rsidRPr="00A462B7" w:rsidRDefault="00000000">
      <w:pPr>
        <w:spacing w:after="200"/>
      </w:pPr>
      <w:r w:rsidRPr="00A462B7">
        <w:t xml:space="preserve">Embok (2025) </w:t>
      </w:r>
      <w:r w:rsidRPr="00A462B7">
        <w:rPr>
          <w:i/>
        </w:rPr>
        <w:t>Domains.</w:t>
      </w:r>
      <w:r w:rsidRPr="00A462B7">
        <w:t xml:space="preserve"> Available at:  </w:t>
      </w:r>
      <w:hyperlink r:id="rId18">
        <w:r w:rsidR="005B12BC" w:rsidRPr="00A462B7">
          <w:rPr>
            <w:u w:val="single"/>
          </w:rPr>
          <w:t>https://www.embok.org/index.php/domains-page</w:t>
        </w:r>
      </w:hyperlink>
      <w:r w:rsidRPr="00A462B7">
        <w:t xml:space="preserve"> (Accessed: 27 January 2025)</w:t>
      </w:r>
    </w:p>
    <w:p w14:paraId="2298DB5E" w14:textId="77777777" w:rsidR="005B12BC" w:rsidRPr="00A462B7" w:rsidRDefault="00000000">
      <w:pPr>
        <w:spacing w:after="200"/>
      </w:pPr>
      <w:r w:rsidRPr="00A462B7">
        <w:lastRenderedPageBreak/>
        <w:t xml:space="preserve">Event Organisers Summit (2023) </w:t>
      </w:r>
      <w:r w:rsidRPr="00A462B7">
        <w:rPr>
          <w:i/>
        </w:rPr>
        <w:t>Venue Sustainability: A transformative trend in UK event management.</w:t>
      </w:r>
      <w:r w:rsidRPr="00A462B7">
        <w:t xml:space="preserve"> Available at: </w:t>
      </w:r>
      <w:hyperlink r:id="rId19">
        <w:r w:rsidR="005B12BC" w:rsidRPr="00A462B7">
          <w:rPr>
            <w:u w:val="single"/>
          </w:rPr>
          <w:t>https://eventorganiserssummit.co.uk/venue-sustainability-a-transformative-trend-in-uk-event-management/</w:t>
        </w:r>
      </w:hyperlink>
      <w:r w:rsidRPr="00A462B7">
        <w:t xml:space="preserve"> (Accessed: 27 January 2025)</w:t>
      </w:r>
    </w:p>
    <w:p w14:paraId="5D246A61" w14:textId="77777777" w:rsidR="005B12BC" w:rsidRPr="00A462B7" w:rsidRDefault="00000000">
      <w:pPr>
        <w:spacing w:after="200"/>
      </w:pPr>
      <w:r w:rsidRPr="00A462B7">
        <w:t xml:space="preserve">Fox, D. et al. (2014) </w:t>
      </w:r>
      <w:r w:rsidRPr="00A462B7">
        <w:rPr>
          <w:i/>
        </w:rPr>
        <w:t>Doing events research: from theory to practice</w:t>
      </w:r>
      <w:r w:rsidRPr="00A462B7">
        <w:t>. Routledge: Oxford</w:t>
      </w:r>
    </w:p>
    <w:p w14:paraId="59120525" w14:textId="77777777" w:rsidR="005B12BC" w:rsidRPr="00A462B7" w:rsidRDefault="00000000">
      <w:pPr>
        <w:spacing w:after="200"/>
      </w:pPr>
      <w:r w:rsidRPr="00A462B7">
        <w:t xml:space="preserve">Getz, D. and Page, S.J., (2019) </w:t>
      </w:r>
      <w:r w:rsidRPr="00A462B7">
        <w:rPr>
          <w:i/>
        </w:rPr>
        <w:t>Event studies: Theory, research and policy for planned events</w:t>
      </w:r>
      <w:r w:rsidRPr="00A462B7">
        <w:t>. Routledge.</w:t>
      </w:r>
    </w:p>
    <w:p w14:paraId="235C4A97" w14:textId="77777777" w:rsidR="005B12BC" w:rsidRPr="00A462B7" w:rsidRDefault="00000000">
      <w:pPr>
        <w:spacing w:after="200"/>
      </w:pPr>
      <w:r w:rsidRPr="00A462B7">
        <w:t xml:space="preserve">Gore, S., Borde, N. and Hegde Desai, P., (2024) ‘Mapping tourism strategy patterns on tourism area life cycle’, </w:t>
      </w:r>
      <w:r w:rsidRPr="00A462B7">
        <w:rPr>
          <w:i/>
        </w:rPr>
        <w:t>Journal of Hospitality and Tourism Insights</w:t>
      </w:r>
      <w:r w:rsidRPr="00A462B7">
        <w:t>, 7(1), pp.329-351.</w:t>
      </w:r>
    </w:p>
    <w:p w14:paraId="26A636C8" w14:textId="77777777" w:rsidR="005B12BC" w:rsidRPr="00A462B7" w:rsidRDefault="00000000">
      <w:pPr>
        <w:spacing w:after="200"/>
      </w:pPr>
      <w:r w:rsidRPr="00A462B7">
        <w:t xml:space="preserve">Gov.uk (2020) </w:t>
      </w:r>
      <w:r w:rsidRPr="00A462B7">
        <w:rPr>
          <w:i/>
        </w:rPr>
        <w:t>Equality, Diversity and Inclusion Strategy 2020 to 2024</w:t>
      </w:r>
      <w:r w:rsidRPr="00A462B7">
        <w:t>. Available at: https://www.gov.uk/government/publications/cma-diversity-and-inclusion-strategy-2020-to-2024/equality-diversity-and-inclusion-strategy-2020-to-2024 (Accessed 27 January 2025).</w:t>
      </w:r>
    </w:p>
    <w:p w14:paraId="51906BC6" w14:textId="77777777" w:rsidR="005B12BC" w:rsidRPr="00A462B7" w:rsidRDefault="00000000">
      <w:pPr>
        <w:spacing w:after="200"/>
      </w:pPr>
      <w:r w:rsidRPr="00A462B7">
        <w:t xml:space="preserve">Gov UK (2023) </w:t>
      </w:r>
      <w:r w:rsidRPr="00A462B7">
        <w:rPr>
          <w:i/>
        </w:rPr>
        <w:t>Trends in Digital Markets.</w:t>
      </w:r>
      <w:r w:rsidRPr="00A462B7">
        <w:t xml:space="preserve"> Available at:  </w:t>
      </w:r>
      <w:hyperlink r:id="rId20">
        <w:r w:rsidR="005B12BC" w:rsidRPr="00A462B7">
          <w:rPr>
            <w:u w:val="single"/>
          </w:rPr>
          <w:t>https://assets.publishing.service.gov.uk/media/657ad2ab254aaa0010050d0c/__Trends_in_Digital_Markets__.pdf</w:t>
        </w:r>
      </w:hyperlink>
      <w:r w:rsidRPr="00A462B7">
        <w:t xml:space="preserve"> (Accessed: 25 February 2025)</w:t>
      </w:r>
    </w:p>
    <w:p w14:paraId="2C8371F5" w14:textId="77777777" w:rsidR="005B12BC" w:rsidRPr="00A462B7" w:rsidRDefault="00000000">
      <w:pPr>
        <w:spacing w:after="200"/>
      </w:pPr>
      <w:r w:rsidRPr="00A462B7">
        <w:t xml:space="preserve">Jones-Evans, D. (2022) </w:t>
      </w:r>
      <w:r w:rsidRPr="00A462B7">
        <w:rPr>
          <w:i/>
        </w:rPr>
        <w:t>The huge economic impact of the UK's event industry.</w:t>
      </w:r>
      <w:r w:rsidRPr="00A462B7">
        <w:t xml:space="preserve"> Available at: </w:t>
      </w:r>
      <w:hyperlink r:id="rId21">
        <w:r w:rsidR="005B12BC" w:rsidRPr="00A462B7">
          <w:rPr>
            <w:u w:val="single"/>
          </w:rPr>
          <w:t>https://www.business-live.co.uk/opinion-analysis/huge-economic-impact-uks-event-23563660</w:t>
        </w:r>
      </w:hyperlink>
      <w:r w:rsidRPr="00A462B7">
        <w:t xml:space="preserve"> (Accessed: 27 January 2025)</w:t>
      </w:r>
    </w:p>
    <w:p w14:paraId="49B7947A" w14:textId="77777777" w:rsidR="005B12BC" w:rsidRPr="00A462B7" w:rsidRDefault="00000000">
      <w:pPr>
        <w:spacing w:after="200"/>
      </w:pPr>
      <w:r w:rsidRPr="00A462B7">
        <w:t xml:space="preserve">Live Events (2024) </w:t>
      </w:r>
      <w:r w:rsidRPr="00A462B7">
        <w:rPr>
          <w:i/>
        </w:rPr>
        <w:t>Reimagining Hybrid Events: The Perfect Blend of Virtual and Physical Experiences.</w:t>
      </w:r>
      <w:r w:rsidRPr="00A462B7">
        <w:t xml:space="preserve"> Available at: </w:t>
      </w:r>
      <w:hyperlink r:id="rId22">
        <w:r w:rsidR="005B12BC" w:rsidRPr="00A462B7">
          <w:rPr>
            <w:u w:val="single"/>
          </w:rPr>
          <w:t>https://livegroup.co.uk/reimagining-hybrid-events/</w:t>
        </w:r>
      </w:hyperlink>
      <w:r w:rsidRPr="00A462B7">
        <w:t xml:space="preserve"> (Accessed: 27 January 2025)</w:t>
      </w:r>
    </w:p>
    <w:p w14:paraId="22C7E94F" w14:textId="77777777" w:rsidR="005B12BC" w:rsidRPr="00A462B7" w:rsidRDefault="00000000">
      <w:pPr>
        <w:spacing w:after="200"/>
      </w:pPr>
      <w:r w:rsidRPr="00A462B7">
        <w:t xml:space="preserve">Mair, J. and Smith, A., (2022) ‘Events and sustainability: why making events more sustainable is not enough’, In </w:t>
      </w:r>
      <w:r w:rsidRPr="00A462B7">
        <w:rPr>
          <w:i/>
        </w:rPr>
        <w:t>Events and sustainability</w:t>
      </w:r>
      <w:r w:rsidRPr="00A462B7">
        <w:t xml:space="preserve"> (pp. 1-17). Routledge.</w:t>
      </w:r>
    </w:p>
    <w:p w14:paraId="6A4E3F22" w14:textId="77777777" w:rsidR="005B12BC" w:rsidRPr="00A462B7" w:rsidRDefault="00000000">
      <w:pPr>
        <w:spacing w:after="200"/>
      </w:pPr>
      <w:r w:rsidRPr="00A462B7">
        <w:t xml:space="preserve">Statista (2023) </w:t>
      </w:r>
      <w:r w:rsidRPr="00A462B7">
        <w:rPr>
          <w:i/>
        </w:rPr>
        <w:t xml:space="preserve">UK: Reasons for Investing in New Digital Tech 2023. </w:t>
      </w:r>
      <w:r w:rsidRPr="00A462B7">
        <w:t xml:space="preserve">Available at: </w:t>
      </w:r>
      <w:hyperlink r:id="rId23">
        <w:r w:rsidR="005B12BC" w:rsidRPr="00A462B7">
          <w:rPr>
            <w:u w:val="single"/>
          </w:rPr>
          <w:t>https://www.statista.com/statistics/1398277/reasons-for-investing-in-new-digital-tech-in-the-uk/</w:t>
        </w:r>
      </w:hyperlink>
      <w:r w:rsidRPr="00A462B7">
        <w:t xml:space="preserve"> (Accessed 27 January 2025).</w:t>
      </w:r>
    </w:p>
    <w:sectPr w:rsidR="005B12BC" w:rsidRPr="00A462B7">
      <w:headerReference w:type="default" r:id="rId24"/>
      <w:footerReference w:type="default" r:id="rId25"/>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0CD279" w14:textId="77777777" w:rsidR="00667080" w:rsidRDefault="00667080">
      <w:pPr>
        <w:spacing w:line="240" w:lineRule="auto"/>
      </w:pPr>
      <w:r>
        <w:separator/>
      </w:r>
    </w:p>
  </w:endnote>
  <w:endnote w:type="continuationSeparator" w:id="0">
    <w:p w14:paraId="7E12D923" w14:textId="77777777" w:rsidR="00667080" w:rsidRDefault="006670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EF6B71" w14:textId="77777777" w:rsidR="005B12BC"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DE080A">
      <w:rPr>
        <w:noProof/>
        <w:color w:val="000000"/>
      </w:rPr>
      <w:t>0</w:t>
    </w:r>
    <w:r>
      <w:rPr>
        <w:color w:val="000000"/>
      </w:rPr>
      <w:fldChar w:fldCharType="end"/>
    </w:r>
  </w:p>
  <w:p w14:paraId="3EF98858" w14:textId="77777777" w:rsidR="005B12BC" w:rsidRDefault="005B12BC">
    <w:pPr>
      <w:jc w:val="righ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A98AAE" w14:textId="77777777" w:rsidR="00667080" w:rsidRDefault="00667080">
      <w:pPr>
        <w:spacing w:line="240" w:lineRule="auto"/>
      </w:pPr>
      <w:r>
        <w:separator/>
      </w:r>
    </w:p>
  </w:footnote>
  <w:footnote w:type="continuationSeparator" w:id="0">
    <w:p w14:paraId="24CDC981" w14:textId="77777777" w:rsidR="00667080" w:rsidRDefault="0066708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29E1AE" w14:textId="77777777" w:rsidR="005B12BC" w:rsidRDefault="005B12B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A6F6F"/>
    <w:multiLevelType w:val="multilevel"/>
    <w:tmpl w:val="A918B0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6521421"/>
    <w:multiLevelType w:val="multilevel"/>
    <w:tmpl w:val="C9E6FC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CB217E1"/>
    <w:multiLevelType w:val="multilevel"/>
    <w:tmpl w:val="B1C0A7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64597798">
    <w:abstractNumId w:val="0"/>
  </w:num>
  <w:num w:numId="2" w16cid:durableId="1067874383">
    <w:abstractNumId w:val="1"/>
  </w:num>
  <w:num w:numId="3" w16cid:durableId="10311095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12BC"/>
    <w:rsid w:val="00024F4C"/>
    <w:rsid w:val="000962EC"/>
    <w:rsid w:val="001D755D"/>
    <w:rsid w:val="00254D59"/>
    <w:rsid w:val="005B12BC"/>
    <w:rsid w:val="00667080"/>
    <w:rsid w:val="00710689"/>
    <w:rsid w:val="007C4A07"/>
    <w:rsid w:val="007F631F"/>
    <w:rsid w:val="00A462B7"/>
    <w:rsid w:val="00BD229C"/>
    <w:rsid w:val="00DE080A"/>
    <w:rsid w:val="00E550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B0ED90"/>
  <w15:docId w15:val="{9E245B5A-8989-4102-85CB-A8632CB47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4917"/>
  </w:style>
  <w:style w:type="paragraph" w:styleId="Heading1">
    <w:name w:val="heading 1"/>
    <w:basedOn w:val="Normal"/>
    <w:next w:val="Normal"/>
    <w:uiPriority w:val="9"/>
    <w:qFormat/>
    <w:pPr>
      <w:keepNext/>
      <w:keepLines/>
      <w:spacing w:before="400" w:after="120"/>
      <w:outlineLvl w:val="0"/>
    </w:pPr>
    <w:rPr>
      <w:b/>
    </w:rPr>
  </w:style>
  <w:style w:type="paragraph" w:styleId="Heading2">
    <w:name w:val="heading 2"/>
    <w:basedOn w:val="Normal"/>
    <w:next w:val="Normal"/>
    <w:uiPriority w:val="9"/>
    <w:unhideWhenUsed/>
    <w:qFormat/>
    <w:pPr>
      <w:keepNext/>
      <w:keepLines/>
      <w:spacing w:before="360"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yperlink">
    <w:name w:val="Hyperlink"/>
    <w:basedOn w:val="DefaultParagraphFont"/>
    <w:uiPriority w:val="99"/>
    <w:rsid w:val="00204917"/>
    <w:rPr>
      <w:color w:val="0000FF" w:themeColor="hyperlink"/>
      <w:u w:val="single"/>
    </w:rPr>
  </w:style>
  <w:style w:type="paragraph" w:styleId="Header">
    <w:name w:val="header"/>
    <w:basedOn w:val="Normal"/>
    <w:link w:val="HeaderChar"/>
    <w:uiPriority w:val="99"/>
    <w:unhideWhenUsed/>
    <w:rsid w:val="00E171A5"/>
    <w:pPr>
      <w:tabs>
        <w:tab w:val="center" w:pos="4513"/>
        <w:tab w:val="right" w:pos="9026"/>
      </w:tabs>
      <w:spacing w:line="240" w:lineRule="auto"/>
    </w:pPr>
  </w:style>
  <w:style w:type="character" w:customStyle="1" w:styleId="HeaderChar">
    <w:name w:val="Header Char"/>
    <w:basedOn w:val="DefaultParagraphFont"/>
    <w:link w:val="Header"/>
    <w:uiPriority w:val="99"/>
    <w:rsid w:val="00E171A5"/>
  </w:style>
  <w:style w:type="paragraph" w:styleId="Footer">
    <w:name w:val="footer"/>
    <w:basedOn w:val="Normal"/>
    <w:link w:val="FooterChar"/>
    <w:uiPriority w:val="99"/>
    <w:unhideWhenUsed/>
    <w:rsid w:val="00E171A5"/>
    <w:pPr>
      <w:tabs>
        <w:tab w:val="center" w:pos="4513"/>
        <w:tab w:val="right" w:pos="9026"/>
      </w:tabs>
      <w:spacing w:line="240" w:lineRule="auto"/>
    </w:pPr>
  </w:style>
  <w:style w:type="character" w:customStyle="1" w:styleId="FooterChar">
    <w:name w:val="Footer Char"/>
    <w:basedOn w:val="DefaultParagraphFont"/>
    <w:link w:val="Footer"/>
    <w:uiPriority w:val="99"/>
    <w:rsid w:val="00E171A5"/>
  </w:style>
  <w:style w:type="paragraph" w:styleId="TOC1">
    <w:name w:val="toc 1"/>
    <w:basedOn w:val="Normal"/>
    <w:next w:val="Normal"/>
    <w:autoRedefine/>
    <w:uiPriority w:val="39"/>
    <w:unhideWhenUsed/>
    <w:rsid w:val="00BA12D8"/>
    <w:pPr>
      <w:spacing w:after="100"/>
    </w:pPr>
  </w:style>
  <w:style w:type="paragraph" w:styleId="TOC2">
    <w:name w:val="toc 2"/>
    <w:basedOn w:val="Normal"/>
    <w:next w:val="Normal"/>
    <w:autoRedefine/>
    <w:uiPriority w:val="39"/>
    <w:unhideWhenUsed/>
    <w:rsid w:val="00BA12D8"/>
    <w:pPr>
      <w:spacing w:after="100"/>
      <w:ind w:left="240"/>
    </w:p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tlassian.com/work-management/project-management/critical-path-method" TargetMode="External"/><Relationship Id="rId18" Type="http://schemas.openxmlformats.org/officeDocument/2006/relationships/hyperlink" Target="https://www.embok.org/index.php/domains-page"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business-live.co.uk/opinion-analysis/huge-economic-impact-uks-event-2356366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eclipse.global/blending-live-and-digital-elements-event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deliciousmagazine.co.uk/uk-food-festivals-summer/" TargetMode="External"/><Relationship Id="rId20" Type="http://schemas.openxmlformats.org/officeDocument/2006/relationships/hyperlink" Target="https://assets.publishing.service.gov.uk/media/657ad2ab254aaa0010050d0c/__Trends_in_Digital_Markets__.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deliciousmagazine.co.uk/uk-food-festivals-summer/" TargetMode="External"/><Relationship Id="rId23" Type="http://schemas.openxmlformats.org/officeDocument/2006/relationships/hyperlink" Target="https://www.statista.com/statistics/1398277/reasons-for-investing-in-new-digital-tech-in-the-uk/" TargetMode="External"/><Relationship Id="rId10" Type="http://schemas.openxmlformats.org/officeDocument/2006/relationships/image" Target="media/image3.png"/><Relationship Id="rId19" Type="http://schemas.openxmlformats.org/officeDocument/2006/relationships/hyperlink" Target="https://eventorganiserssummit.co.uk/venue-sustainability-a-transformative-trend-in-uk-event-manage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eloitte.com/uk/en/Industries/consumer/sustainability-in-the-hospitality-industry.html" TargetMode="External"/><Relationship Id="rId22" Type="http://schemas.openxmlformats.org/officeDocument/2006/relationships/hyperlink" Target="https://livegroup.co.uk/reimagining-hybrid-event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cl0qfG7UFyivf6XWkRuSetxjYvA==">CgMxLjAaHwoBMBIaChgICVIUChJ0YWJsZS5mOGRieTlqNDJrdXYyCGguZ2pkZ3hzMgloLjMwajB6bGwyCWguMWZvYjl0ZTIJaC4zem55c2g3MgloLjJldDkycDAyCGgudHlqY3d0MgloLjNkeTZ2a20yCWguMXQzaDVzZjIJaC40ZDM0b2c4MgloLjJzOGV5bzEyCWguMTdkcDh2dTgAciExamFyb3JuRjNLUG9HVjZCQXBnbDJ0WWVnZGx2ejlTR0g=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3497</Words>
  <Characters>19938</Characters>
  <Application>Microsoft Office Word</Application>
  <DocSecurity>0</DocSecurity>
  <Lines>166</Lines>
  <Paragraphs>46</Paragraphs>
  <ScaleCrop>false</ScaleCrop>
  <Company/>
  <LinksUpToDate>false</LinksUpToDate>
  <CharactersWithSpaces>23389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Management 001150</cp:lastModifiedBy>
  <cp:revision>2</cp:revision>
  <dcterms:created xsi:type="dcterms:W3CDTF">2025-02-25T16:24:00Z</dcterms:created>
  <dcterms:modified xsi:type="dcterms:W3CDTF">2025-02-27T18:48:00Z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88c389126734af9f2807f2326646200bff9ecc2f9d50f2648a03bf091a4cbe50</vt:lpwstr>
  </property>
</Properties>
</file>