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9612D" w14:textId="25C8875F" w:rsidR="00B11D9B" w:rsidRDefault="00B11D9B" w:rsidP="00B11D9B">
      <w:pPr>
        <w:jc w:val="center"/>
      </w:pPr>
      <w:r>
        <w:t xml:space="preserve">Equity and trusts assignment 1 </w:t>
      </w:r>
    </w:p>
    <w:p w14:paraId="18FE20AE" w14:textId="68386C87" w:rsidR="00B11D9B" w:rsidRDefault="00B11D9B" w:rsidP="00B11D9B">
      <w:pPr>
        <w:jc w:val="center"/>
      </w:pPr>
    </w:p>
    <w:p w14:paraId="57A87585" w14:textId="443B2191" w:rsidR="00B11D9B" w:rsidRDefault="00B11D9B" w:rsidP="00B11D9B">
      <w:r>
        <w:t xml:space="preserve">Question 1 </w:t>
      </w:r>
    </w:p>
    <w:p w14:paraId="2B8391C7" w14:textId="717C5635" w:rsidR="00B11D9B" w:rsidRDefault="00B11D9B" w:rsidP="00B11D9B"/>
    <w:p w14:paraId="4A042411" w14:textId="0391C848" w:rsidR="00B11D9B" w:rsidRDefault="00B11D9B" w:rsidP="00826949">
      <w:pPr>
        <w:spacing w:line="480" w:lineRule="auto"/>
      </w:pPr>
      <w:r>
        <w:t>A secret trust is usually inserted into a will much like</w:t>
      </w:r>
      <w:r w:rsidR="00D53567">
        <w:t xml:space="preserve"> all forms of trusts, this is not always necessary as the terms and </w:t>
      </w:r>
      <w:r w:rsidR="006F4445">
        <w:t>existence</w:t>
      </w:r>
      <w:r w:rsidR="00D53567">
        <w:t xml:space="preserve"> of the trust may not be revealed. This grants the testator the benefits of providing their will with more </w:t>
      </w:r>
      <w:r w:rsidR="006F4445">
        <w:t>flexibility</w:t>
      </w:r>
      <w:r w:rsidR="00D53567">
        <w:t xml:space="preserve"> with the contents of their will. Secret trusts come in two forms the first of which is a half secrete trust which occurs when the will states that the details of the </w:t>
      </w:r>
      <w:r w:rsidR="006F4445">
        <w:t>existence</w:t>
      </w:r>
      <w:r w:rsidR="00D53567">
        <w:t xml:space="preserve"> of the secret trust. The second is a fully secret trust where the trust is not at all mentioned in the will. This will then be </w:t>
      </w:r>
      <w:r w:rsidR="006F4445">
        <w:t>transferred</w:t>
      </w:r>
      <w:r w:rsidR="00D53567">
        <w:t xml:space="preserve"> as an absolute gift to a trustee of the secrete trust. </w:t>
      </w:r>
      <w:r w:rsidR="000648DC">
        <w:t>Secret trusts are controversial as they tend to not comply with the Wills Act 1837</w:t>
      </w:r>
      <w:r w:rsidR="00C3348E">
        <w:t xml:space="preserve"> (Clements, 2018)</w:t>
      </w:r>
      <w:r w:rsidR="000648DC">
        <w:t xml:space="preserve">. This is due to the fact that the wills act requires the testator to sign off on all assets secret trusts do not need to appear on the will therefore the testator cannot sign </w:t>
      </w:r>
      <w:r w:rsidR="00835324">
        <w:t>them,</w:t>
      </w:r>
      <w:r w:rsidR="000648DC">
        <w:t xml:space="preserve"> and neither can the </w:t>
      </w:r>
      <w:proofErr w:type="gramStart"/>
      <w:r w:rsidR="000648DC">
        <w:t>testators</w:t>
      </w:r>
      <w:proofErr w:type="gramEnd"/>
      <w:r w:rsidR="000648DC">
        <w:t xml:space="preserve"> witnesses. Nevertheless, secret trusts are legal and valid. Secret Trusts exist to maintain secrecy when dispersing the testator assets. The trustees of a secrete trust are required to fulfil the wishes of the testator this is important because it attempts to enforce the trust to reduce the chances of the trustee keeping the assets </w:t>
      </w:r>
      <w:r w:rsidR="00FA24F1">
        <w:t>which would amount to fraud the enforcement of this comes from the case of Rochefoucauld v Boustead [1897]</w:t>
      </w:r>
      <w:r w:rsidR="00C3348E">
        <w:t xml:space="preserve"> (Virgo, 2020)</w:t>
      </w:r>
      <w:r w:rsidR="00FA24F1">
        <w:t xml:space="preserve">. </w:t>
      </w:r>
    </w:p>
    <w:p w14:paraId="29577559" w14:textId="1B3D95C0" w:rsidR="00FA24F1" w:rsidRDefault="00FA24F1" w:rsidP="00826949">
      <w:pPr>
        <w:spacing w:line="480" w:lineRule="auto"/>
      </w:pPr>
    </w:p>
    <w:p w14:paraId="5DABCDD8" w14:textId="04A46AF1" w:rsidR="0025653F" w:rsidRDefault="00FA24F1" w:rsidP="00826949">
      <w:pPr>
        <w:spacing w:line="480" w:lineRule="auto"/>
      </w:pPr>
      <w:r>
        <w:t xml:space="preserve">Half secret trusts </w:t>
      </w:r>
      <w:r w:rsidR="00D1474F">
        <w:t>are more reliable in terms of prevent fraudulent equitable claims as they require the trusts to be recognised within the will. Half secret trusts conform more accurately with The Wills Act 1837. The terms of the half secret trust</w:t>
      </w:r>
      <w:r w:rsidR="003D145E">
        <w:t xml:space="preserve"> are communicated differently this can be seen in Blackwell v Blackwell [1929] with assets gifted to five legatees “for the purposes indicated by me to them” the House of Lords stated that the trust was made prior to the execution of the codicil this lead the house of lord to enforce a half secret </w:t>
      </w:r>
      <w:r w:rsidR="003D145E">
        <w:lastRenderedPageBreak/>
        <w:t>trust.</w:t>
      </w:r>
      <w:r w:rsidR="00F07645">
        <w:t xml:space="preserve"> </w:t>
      </w:r>
      <w:proofErr w:type="gramStart"/>
      <w:r w:rsidR="00F07645">
        <w:t>It is clear that some</w:t>
      </w:r>
      <w:proofErr w:type="gramEnd"/>
      <w:r w:rsidR="00F07645">
        <w:t xml:space="preserve"> of the principles of half secret trusts operate outside of the Wills act thus avoiding conflict between law and equity. This can be seen in Re young [1951] where </w:t>
      </w:r>
      <w:r w:rsidR="001E1511">
        <w:t>Justice</w:t>
      </w:r>
      <w:r w:rsidR="00F07645">
        <w:t xml:space="preserve"> </w:t>
      </w:r>
      <w:proofErr w:type="spellStart"/>
      <w:r w:rsidR="00F07645">
        <w:t>Danckwert</w:t>
      </w:r>
      <w:proofErr w:type="spellEnd"/>
      <w:r w:rsidR="00F07645">
        <w:t xml:space="preserve"> </w:t>
      </w:r>
      <w:r w:rsidR="001E1511">
        <w:t>the person does not take by virtue of the gift but by the secret of the trust imposed (</w:t>
      </w:r>
      <w:proofErr w:type="spellStart"/>
      <w:r w:rsidR="001E1511">
        <w:t>Moffat</w:t>
      </w:r>
      <w:proofErr w:type="spellEnd"/>
      <w:r w:rsidR="001E1511">
        <w:t>, 2005).</w:t>
      </w:r>
      <w:r w:rsidR="006969F0">
        <w:t xml:space="preserve"> Furthermore, Viscount Sumner in Blackwell highlights that the there are no substantive differences between the two secret trusts</w:t>
      </w:r>
      <w:r w:rsidR="00244041">
        <w:t xml:space="preserve"> (Watt, 2020)</w:t>
      </w:r>
      <w:r w:rsidR="006969F0">
        <w:t>. As the outcome of both secret trusts are usually the same. The most notable difference is then fact that half trusts require the beneficiary to be referenced within the will.</w:t>
      </w:r>
      <w:r w:rsidR="007F312F">
        <w:t xml:space="preserve"> Moreover, Lord Buckmaster suggested that half trusts can be used as an instrument of fraud. This is not the traditional sense </w:t>
      </w:r>
      <w:r w:rsidR="004020C6">
        <w:t>of</w:t>
      </w:r>
      <w:r w:rsidR="007F312F">
        <w:t xml:space="preserve"> fraud it </w:t>
      </w:r>
      <w:r w:rsidR="0037394D">
        <w:t>alludes to the “betrayal of the testator for the benefit of the trustee”</w:t>
      </w:r>
      <w:r w:rsidR="006F4107">
        <w:t xml:space="preserve"> and therefore Dehors the wills Act 1837</w:t>
      </w:r>
      <w:r w:rsidR="0037394D">
        <w:t>. This is significant because it highlights that the courts attempt to align equity and law</w:t>
      </w:r>
      <w:r w:rsidR="00490BF2">
        <w:t xml:space="preserve"> (Wilde</w:t>
      </w:r>
      <w:r w:rsidR="00AD0D92">
        <w:t>, 2020)</w:t>
      </w:r>
      <w:r w:rsidR="0037394D">
        <w:t>.</w:t>
      </w:r>
      <w:r w:rsidR="003D145E">
        <w:t xml:space="preserve"> The </w:t>
      </w:r>
      <w:r w:rsidR="006969F0">
        <w:t xml:space="preserve">half </w:t>
      </w:r>
      <w:r w:rsidR="003D145E">
        <w:t>secret trust is regulated when dealing with additional gifts to the half secret trust as per Re Colin Cooper [1939] the addition gift of five thousand on top of the current five thousand was reject</w:t>
      </w:r>
      <w:r w:rsidR="00C829E9">
        <w:t xml:space="preserve"> (Bailey, 1969)</w:t>
      </w:r>
      <w:r w:rsidR="003D145E">
        <w:t>. This is because it was added to the will after the creation of the will</w:t>
      </w:r>
      <w:r w:rsidR="00F00808">
        <w:t xml:space="preserve"> (Davis, 2013)</w:t>
      </w:r>
      <w:r w:rsidR="003D145E">
        <w:t xml:space="preserve">. </w:t>
      </w:r>
      <w:r w:rsidR="007C205E">
        <w:t>The maxim of where equities are equal the first in time will prevail. This conveys that there should not be additional terms to a secret trust after the formalities of a will have been established</w:t>
      </w:r>
      <w:r w:rsidR="009D6519">
        <w:t xml:space="preserve"> (</w:t>
      </w:r>
      <w:proofErr w:type="spellStart"/>
      <w:r w:rsidR="009D6519">
        <w:t>Duddington</w:t>
      </w:r>
      <w:proofErr w:type="spellEnd"/>
      <w:r w:rsidR="009D6519">
        <w:t>, 2006)</w:t>
      </w:r>
      <w:r w:rsidR="007C205E">
        <w:t xml:space="preserve">. </w:t>
      </w:r>
      <w:r w:rsidR="002C797F">
        <w:t xml:space="preserve">Re Bateman’s Will Trusts [1970] servers as a case that </w:t>
      </w:r>
      <w:r w:rsidR="00F8277C">
        <w:t>regulates the testators ability to edit their will in a fashion that does not comply with The Wills Act 1837 the use of the words “shall be” highlight that the testator intended to reserve the power to alter his will in order to name the trustee which would lead to unwitnessed dispositions in the future</w:t>
      </w:r>
      <w:r w:rsidR="00835324">
        <w:t xml:space="preserve"> (Rickett</w:t>
      </w:r>
      <w:r w:rsidR="00C44E3C">
        <w:t xml:space="preserve"> 1979)</w:t>
      </w:r>
      <w:r w:rsidR="00F8277C">
        <w:t xml:space="preserve">. Naturally this does not comply with the Wills Act 1837 section 9 that requires witnesses to the signing of a will. </w:t>
      </w:r>
      <w:r w:rsidR="007C205E">
        <w:t>Furthermore, this highlights that although equity takes precedence over the law equity will always attempt to follow law</w:t>
      </w:r>
      <w:r w:rsidR="008C32A0">
        <w:t xml:space="preserve"> (S.W.T, 1947)</w:t>
      </w:r>
      <w:r w:rsidR="007C205E">
        <w:t xml:space="preserve">. </w:t>
      </w:r>
      <w:r w:rsidR="00F8277C">
        <w:t>This comes from the precursor case that is Re Keen</w:t>
      </w:r>
      <w:r w:rsidR="006A284F">
        <w:t xml:space="preserve"> (1937)</w:t>
      </w:r>
      <w:r w:rsidR="00F8277C">
        <w:t xml:space="preserve"> where the </w:t>
      </w:r>
      <w:r w:rsidR="00F8277C">
        <w:lastRenderedPageBreak/>
        <w:t xml:space="preserve">constructive communication was essential to the formation of the will. If the will points to future </w:t>
      </w:r>
      <w:proofErr w:type="gramStart"/>
      <w:r w:rsidR="00F8277C">
        <w:t>communication</w:t>
      </w:r>
      <w:proofErr w:type="gramEnd"/>
      <w:r w:rsidR="00F8277C">
        <w:t xml:space="preserve"> then it calls into question the validity of the will therefore a half secret trust cannot </w:t>
      </w:r>
      <w:r w:rsidR="006A284F">
        <w:t xml:space="preserve">take effect according to Lord Wright. Half secret trust will not include co-ownership of property this is because there </w:t>
      </w:r>
      <w:proofErr w:type="gramStart"/>
      <w:r w:rsidR="006A284F">
        <w:t>is</w:t>
      </w:r>
      <w:proofErr w:type="gramEnd"/>
      <w:r w:rsidR="006A284F">
        <w:t xml:space="preserve"> two owners of the property who should understand where the assets are going</w:t>
      </w:r>
      <w:r w:rsidR="008C32A0">
        <w:t xml:space="preserve"> (Watt, 2020)</w:t>
      </w:r>
      <w:r w:rsidR="006A284F">
        <w:t xml:space="preserve">. The secret trust cannot exist as it requires the communication between the joint tenants which must arise before the will is made. Such communication to one of the parties binds </w:t>
      </w:r>
      <w:proofErr w:type="gramStart"/>
      <w:r w:rsidR="006A284F">
        <w:t>all of</w:t>
      </w:r>
      <w:proofErr w:type="gramEnd"/>
      <w:r w:rsidR="006A284F">
        <w:t xml:space="preserve"> the parties this comes from the case of Re Stead</w:t>
      </w:r>
      <w:r w:rsidR="008C32A0">
        <w:t xml:space="preserve"> </w:t>
      </w:r>
      <w:r w:rsidR="00244041">
        <w:t>(Hudson, 2009)</w:t>
      </w:r>
      <w:r w:rsidR="008F7BA3">
        <w:t>.</w:t>
      </w:r>
      <w:r w:rsidR="006969F0">
        <w:t xml:space="preserve"> </w:t>
      </w:r>
    </w:p>
    <w:p w14:paraId="09E72946" w14:textId="77777777" w:rsidR="0025653F" w:rsidRDefault="0025653F" w:rsidP="00826949">
      <w:pPr>
        <w:spacing w:line="480" w:lineRule="auto"/>
      </w:pPr>
    </w:p>
    <w:p w14:paraId="1B2C07A0" w14:textId="5BB2EE43" w:rsidR="00DE0E2D" w:rsidRDefault="0025653F" w:rsidP="00826949">
      <w:pPr>
        <w:spacing w:line="480" w:lineRule="auto"/>
      </w:pPr>
      <w:r>
        <w:t xml:space="preserve">A fully secret trust </w:t>
      </w:r>
      <w:r w:rsidR="00A25119">
        <w:t>operates</w:t>
      </w:r>
      <w:r>
        <w:t xml:space="preserve"> under different </w:t>
      </w:r>
      <w:r w:rsidR="00A25119">
        <w:t>guidelines</w:t>
      </w:r>
      <w:r>
        <w:t xml:space="preserve"> compared to a half secret trust. There is no requirement for the </w:t>
      </w:r>
      <w:r w:rsidR="00A25119">
        <w:t>existence</w:t>
      </w:r>
      <w:r>
        <w:t xml:space="preserve"> of the trust to be in writing unlike the half secret trust. The fully secret trust will be </w:t>
      </w:r>
      <w:r w:rsidR="00DE0E2D">
        <w:t>formed when the secret trustee and his express or ta</w:t>
      </w:r>
      <w:r w:rsidR="00846171">
        <w:t xml:space="preserve">cit promise to carry out the </w:t>
      </w:r>
      <w:proofErr w:type="gramStart"/>
      <w:r w:rsidR="00846171">
        <w:t>testators</w:t>
      </w:r>
      <w:proofErr w:type="gramEnd"/>
      <w:r w:rsidR="00846171">
        <w:t xml:space="preserve"> intention</w:t>
      </w:r>
      <w:r w:rsidR="007C7494">
        <w:t xml:space="preserve"> (Bray, 2020)</w:t>
      </w:r>
      <w:r w:rsidR="00846171">
        <w:t>. This trust will be formed on good faith with the testator makes a disposition in favour of the trustee or they will leave an existing disposition.</w:t>
      </w:r>
      <w:r w:rsidR="00997D9F">
        <w:t xml:space="preserve"> It was first </w:t>
      </w:r>
      <w:r w:rsidR="00F42C48">
        <w:t>argued</w:t>
      </w:r>
      <w:r w:rsidR="00997D9F">
        <w:t xml:space="preserve"> in Blackwell by viscount Sumner that the secret trust operates outside of the Wills Act 1837</w:t>
      </w:r>
      <w:r w:rsidR="006074E8">
        <w:t xml:space="preserve"> (</w:t>
      </w:r>
      <w:proofErr w:type="spellStart"/>
      <w:r w:rsidR="006074E8">
        <w:t>Duddington</w:t>
      </w:r>
      <w:proofErr w:type="spellEnd"/>
      <w:r w:rsidR="006074E8">
        <w:t>, 2006)</w:t>
      </w:r>
      <w:r w:rsidR="007A15AE">
        <w:t xml:space="preserve"> (Thomas, 2021)</w:t>
      </w:r>
      <w:r w:rsidR="00997D9F">
        <w:t xml:space="preserve">. The theory argues that the secret trust </w:t>
      </w:r>
      <w:proofErr w:type="gramStart"/>
      <w:r w:rsidR="00997D9F">
        <w:t>are</w:t>
      </w:r>
      <w:proofErr w:type="gramEnd"/>
      <w:r w:rsidR="00997D9F">
        <w:t xml:space="preserve"> a </w:t>
      </w:r>
      <w:r w:rsidR="00F42C48">
        <w:t>testamentary</w:t>
      </w:r>
      <w:r w:rsidR="00997D9F">
        <w:t xml:space="preserve"> disposition. Therefore, they cannot act under the conditions that satisfy section 1 of the wills act.</w:t>
      </w:r>
      <w:r w:rsidR="00846171">
        <w:t xml:space="preserve"> This is evident in the case of Re Snowden </w:t>
      </w:r>
      <w:r w:rsidR="007C2BDA">
        <w:t xml:space="preserve">[1979] where Viscount </w:t>
      </w:r>
      <w:proofErr w:type="spellStart"/>
      <w:r w:rsidR="007C2BDA">
        <w:t>Megarry</w:t>
      </w:r>
      <w:proofErr w:type="spellEnd"/>
      <w:r w:rsidR="007C2BDA">
        <w:t xml:space="preserve"> which highlights that on the balance of probabilities there is a need for proof of such intention at the normal civic standard</w:t>
      </w:r>
      <w:r w:rsidR="006074E8">
        <w:t xml:space="preserve"> (Watt, 2020)</w:t>
      </w:r>
      <w:r w:rsidR="007C2BDA">
        <w:t xml:space="preserve">. </w:t>
      </w:r>
      <w:r w:rsidR="00997D9F">
        <w:t xml:space="preserve">Re Snowden is important because it suggests that wills and secret trusts are two separate entities </w:t>
      </w:r>
      <w:r w:rsidR="00FC0AAA">
        <w:t>and to use the wills act to govern secret trusts would be unnecessary</w:t>
      </w:r>
      <w:r w:rsidR="00DD0DA1">
        <w:t xml:space="preserve"> (Virgo, 2020)</w:t>
      </w:r>
      <w:r w:rsidR="00FC0AAA">
        <w:t xml:space="preserve">. This is because in Blackwell it was stated that “I do not see how the statute-law relating to the form of a valid will is concerned at all”. </w:t>
      </w:r>
      <w:r w:rsidR="007C2BDA">
        <w:t xml:space="preserve">This was later questioned in </w:t>
      </w:r>
      <w:r w:rsidR="007F312F">
        <w:lastRenderedPageBreak/>
        <w:t>Ottaway v Norman where the obligation to make a will was in favour of the beneficiary of the secret trust</w:t>
      </w:r>
      <w:r w:rsidR="004B3F76">
        <w:t xml:space="preserve"> (Cavendish, 2006)</w:t>
      </w:r>
      <w:r w:rsidR="006074E8">
        <w:t xml:space="preserve"> (Rickett, 1979)</w:t>
      </w:r>
      <w:r w:rsidR="007F312F">
        <w:t>.</w:t>
      </w:r>
      <w:r w:rsidR="00A368AF">
        <w:t xml:space="preserve"> Furthermore, secret trusts </w:t>
      </w:r>
      <w:r w:rsidR="004B3F76">
        <w:t>are</w:t>
      </w:r>
      <w:r w:rsidR="00A368AF">
        <w:t xml:space="preserve"> express trusts if the fully secret trust operate within </w:t>
      </w:r>
      <w:r w:rsidR="006074E8">
        <w:t>law,</w:t>
      </w:r>
      <w:r w:rsidR="00A368AF">
        <w:t xml:space="preserve"> then it must follow the jurisdiction in which the gift is given to the beneficiary. For example, Ottaway deals with property therefore it follows the </w:t>
      </w:r>
      <w:r w:rsidR="00F42C48">
        <w:t>guidelines</w:t>
      </w:r>
      <w:r w:rsidR="00A368AF">
        <w:t xml:space="preserve"> set out in Section 53 (</w:t>
      </w:r>
      <w:r w:rsidR="00652D0B">
        <w:t>1</w:t>
      </w:r>
      <w:r w:rsidR="00A368AF">
        <w:t>) (b) of the Law of Property act 1925</w:t>
      </w:r>
      <w:r w:rsidR="007B1CB2">
        <w:t xml:space="preserve"> (Hudson, 2009)</w:t>
      </w:r>
      <w:r w:rsidR="007A15AE">
        <w:t xml:space="preserve"> (Thomas, 2021)</w:t>
      </w:r>
      <w:r w:rsidR="00A368AF">
        <w:t xml:space="preserve">. Due to the nature of fully secret trusts no writing is needed to satisfy the will. Under section 53 of the property law act it requires that any interest in the land can only exist if in writing. </w:t>
      </w:r>
      <w:r w:rsidR="00A25119">
        <w:t xml:space="preserve">The maxim that equity follows law is clearly being rejected when fully secret trusts are established. </w:t>
      </w:r>
      <w:r w:rsidR="00A368AF">
        <w:t xml:space="preserve">Therefore, </w:t>
      </w:r>
      <w:r w:rsidR="007A15AE">
        <w:t>dehors</w:t>
      </w:r>
      <w:r w:rsidR="00A368AF">
        <w:t xml:space="preserve"> the law is a significant theory because it </w:t>
      </w:r>
      <w:r w:rsidR="004B3F76">
        <w:t>allows</w:t>
      </w:r>
      <w:r w:rsidR="00A368AF">
        <w:t xml:space="preserve"> secret trusts to exist even if the </w:t>
      </w:r>
      <w:proofErr w:type="gramStart"/>
      <w:r w:rsidR="00A368AF">
        <w:t>manner in which</w:t>
      </w:r>
      <w:proofErr w:type="gramEnd"/>
      <w:r w:rsidR="00A368AF">
        <w:t xml:space="preserve"> they do so is unlawful.</w:t>
      </w:r>
      <w:r w:rsidR="007F312F">
        <w:t xml:space="preserve"> </w:t>
      </w:r>
      <w:r w:rsidR="00B168F3">
        <w:t>The judgement of Re Gardner displays the courts disposition on fully secret trusts. The courts awarded a secret trust</w:t>
      </w:r>
      <w:r w:rsidR="00FE1395">
        <w:t xml:space="preserve"> to the beneficiary who had passed away before the testator</w:t>
      </w:r>
      <w:r w:rsidR="005E7313">
        <w:t xml:space="preserve"> (Davis, 2019)</w:t>
      </w:r>
      <w:r w:rsidR="00FE1395">
        <w:t xml:space="preserve">. Unlike normal trusts the assets do not bounce back to the testator. The assets were gifted to the </w:t>
      </w:r>
      <w:r w:rsidR="004B3F76">
        <w:t>beneficiary’s</w:t>
      </w:r>
      <w:r w:rsidR="00FE1395">
        <w:t xml:space="preserve"> estate</w:t>
      </w:r>
      <w:r w:rsidR="007B1CB2">
        <w:t xml:space="preserve"> (Bray, 2020)</w:t>
      </w:r>
      <w:r w:rsidR="00FE1395">
        <w:t>.</w:t>
      </w:r>
      <w:r w:rsidR="001F3897">
        <w:t xml:space="preserve"> Justice Romer </w:t>
      </w:r>
      <w:r w:rsidR="00FF7E65">
        <w:t>justifies</w:t>
      </w:r>
      <w:r w:rsidR="001F3897">
        <w:t xml:space="preserve"> the </w:t>
      </w:r>
      <w:r w:rsidR="00A25119">
        <w:t>decision</w:t>
      </w:r>
      <w:r w:rsidR="001F3897">
        <w:t xml:space="preserve"> by suggesting that it was the obligation of the secret trustee to hold the trust on behalf of the beneficiary. On the condition that the trust was made prior to the death of beneficiary this would result in a valid trust</w:t>
      </w:r>
      <w:r w:rsidR="00962A08">
        <w:t xml:space="preserve"> (Wilde 2020)</w:t>
      </w:r>
      <w:r w:rsidR="001F3897">
        <w:t>.</w:t>
      </w:r>
      <w:r w:rsidR="00FC0AAA">
        <w:t xml:space="preserve"> This is important because secret trusts like all trust can be revoked by the testator at </w:t>
      </w:r>
      <w:r w:rsidR="004B3F76">
        <w:t>any time</w:t>
      </w:r>
      <w:r w:rsidR="00FC0AAA">
        <w:t xml:space="preserve"> up until the death of the testator if the testators </w:t>
      </w:r>
      <w:proofErr w:type="gramStart"/>
      <w:r w:rsidR="00FC0AAA">
        <w:t>has</w:t>
      </w:r>
      <w:proofErr w:type="gramEnd"/>
      <w:r w:rsidR="00FC0AAA">
        <w:t xml:space="preserve"> reserved the right to do so. However, the judgement of made in Re Gardner is called into question as there is a clear contradiction in the revocability of a trust which would occur before the death of a settlor</w:t>
      </w:r>
      <w:r w:rsidR="007B1CB2">
        <w:t xml:space="preserve"> (</w:t>
      </w:r>
      <w:proofErr w:type="spellStart"/>
      <w:r w:rsidR="007B1CB2">
        <w:t>Moff</w:t>
      </w:r>
      <w:r w:rsidR="007D617B">
        <w:t>a</w:t>
      </w:r>
      <w:r w:rsidR="007B1CB2">
        <w:t>t</w:t>
      </w:r>
      <w:proofErr w:type="spellEnd"/>
      <w:r w:rsidR="007B1CB2">
        <w:t>, 2009)</w:t>
      </w:r>
      <w:r w:rsidR="00FC0AAA">
        <w:t xml:space="preserve">. </w:t>
      </w:r>
      <w:r w:rsidR="00A25119">
        <w:t xml:space="preserve">The same cannot be said for half secret trusts that requires the secret trustee to be cited. Due to this fact it is important to recognise that the fully secret trust seems to be the epitome of the equitable maxim that suggests that equity prevails over law. </w:t>
      </w:r>
    </w:p>
    <w:p w14:paraId="54F5FB15" w14:textId="7BAE27CC" w:rsidR="00A25119" w:rsidRDefault="00A25119" w:rsidP="00826949">
      <w:pPr>
        <w:spacing w:line="480" w:lineRule="auto"/>
      </w:pPr>
    </w:p>
    <w:p w14:paraId="6339AEC6" w14:textId="3E6046F8" w:rsidR="00A25119" w:rsidRDefault="00A25119" w:rsidP="00826949">
      <w:pPr>
        <w:spacing w:line="480" w:lineRule="auto"/>
      </w:pPr>
      <w:r>
        <w:t xml:space="preserve">To conclude, there very few differences between both fully and half secret trusts in how they function. Both trusts are </w:t>
      </w:r>
      <w:r w:rsidR="005136A2">
        <w:t>established for the sole reason of transferring assets without the knowledge of other parties on the will</w:t>
      </w:r>
      <w:r w:rsidR="00962A08">
        <w:t xml:space="preserve"> (</w:t>
      </w:r>
      <w:proofErr w:type="spellStart"/>
      <w:r w:rsidR="00962A08">
        <w:t>Duddington</w:t>
      </w:r>
      <w:proofErr w:type="spellEnd"/>
      <w:r w:rsidR="00962A08">
        <w:t>, 2006)</w:t>
      </w:r>
      <w:r w:rsidR="005136A2">
        <w:t xml:space="preserve">. </w:t>
      </w:r>
      <w:r w:rsidR="00D565B8">
        <w:t>Despite</w:t>
      </w:r>
      <w:r w:rsidR="005136A2">
        <w:t xml:space="preserve"> this, the </w:t>
      </w:r>
      <w:proofErr w:type="gramStart"/>
      <w:r w:rsidR="005136A2">
        <w:t>stand out</w:t>
      </w:r>
      <w:proofErr w:type="gramEnd"/>
      <w:r w:rsidR="005136A2">
        <w:t xml:space="preserve"> differences between the two secret trusts is the manner in which they manipulate or ignore legislation and common law. Half secret trusts although, questionable with their validity in relation to law, do require there to be some reference to the secret trustee in writing from the testator</w:t>
      </w:r>
      <w:r w:rsidR="007B1CB2">
        <w:t xml:space="preserve"> (Davis, 201</w:t>
      </w:r>
      <w:r w:rsidR="005E7313">
        <w:t>9</w:t>
      </w:r>
      <w:r w:rsidR="007B1CB2">
        <w:t>)</w:t>
      </w:r>
      <w:r w:rsidR="005136A2">
        <w:t xml:space="preserve">. Fully secret trusts on the other do not appear to be governed by laws. Fully secret trust </w:t>
      </w:r>
      <w:proofErr w:type="gramStart"/>
      <w:r w:rsidR="005136A2">
        <w:t>are</w:t>
      </w:r>
      <w:proofErr w:type="gramEnd"/>
      <w:r w:rsidR="005136A2">
        <w:t xml:space="preserve"> unique in a </w:t>
      </w:r>
      <w:r w:rsidR="00670924">
        <w:t>it is suggested via the judgements of cases exist as a separate entity of that operate under their own jurisdiction</w:t>
      </w:r>
      <w:r w:rsidR="00DD0DA1">
        <w:t xml:space="preserve"> (Virgo, 2019)</w:t>
      </w:r>
      <w:r w:rsidR="00670924">
        <w:t>.</w:t>
      </w:r>
      <w:r w:rsidR="00D565B8">
        <w:t xml:space="preserve"> </w:t>
      </w:r>
    </w:p>
    <w:p w14:paraId="07F5E2FD" w14:textId="7F11AAF2" w:rsidR="00273EB4" w:rsidRDefault="00273EB4" w:rsidP="00826949">
      <w:pPr>
        <w:spacing w:line="480" w:lineRule="auto"/>
      </w:pPr>
    </w:p>
    <w:p w14:paraId="50A9BE32" w14:textId="77777777" w:rsidR="00273EB4" w:rsidRDefault="00273EB4" w:rsidP="00826949">
      <w:pPr>
        <w:spacing w:line="480" w:lineRule="auto"/>
      </w:pPr>
      <w:r>
        <w:t xml:space="preserve">Question 2 </w:t>
      </w:r>
    </w:p>
    <w:p w14:paraId="1AF25A42" w14:textId="57D8E940" w:rsidR="00273EB4" w:rsidRDefault="00273EB4" w:rsidP="00826949">
      <w:pPr>
        <w:spacing w:line="480" w:lineRule="auto"/>
      </w:pPr>
      <w:r>
        <w:t>In terms of the £30,000 which were to be held by the trustee to be distributed among the ‘relatives in their absolute discretion’. Simon has put the trustee under obligation to distribute the trust as they see fit as the subject matter of the trust is to be transferred to his relations. Despite this there is evidence to suggests that the trust a discretionary trust but also the power of appointment. Both concepts are similar</w:t>
      </w:r>
      <w:r w:rsidR="00DD0DA1">
        <w:t>,</w:t>
      </w:r>
      <w:r>
        <w:t xml:space="preserve"> </w:t>
      </w:r>
      <w:r w:rsidR="00DD0DA1">
        <w:t>b</w:t>
      </w:r>
      <w:r>
        <w:t>ut the power of appointment is more accurate as the trustees are under no obligation to appoint any of the objects</w:t>
      </w:r>
      <w:r w:rsidR="00427789">
        <w:t xml:space="preserve"> (Bray, 2020)</w:t>
      </w:r>
      <w:r>
        <w:t xml:space="preserve">. </w:t>
      </w:r>
      <w:r w:rsidR="0031729C">
        <w:t>Furthermore,</w:t>
      </w:r>
      <w:r>
        <w:t xml:space="preserve"> as can be seen in the Re Hay’s Settlement Trusts [1982] like a trust a power can be void if it is administrative unworkable or conceptually uncertain </w:t>
      </w:r>
      <w:r w:rsidR="00DD0DA1">
        <w:t>(Virgo, 2020)</w:t>
      </w:r>
      <w:r>
        <w:t xml:space="preserve">. Re Baden (no2) is important to understanding whether the trust exists. The three judges involved with shedding light on the distinction between powers and discretionary trusts same to the same conclusion but with different methods. Lord Justice stamp suggests the “is or is not” test in McPhail will requires that certainty of the given </w:t>
      </w:r>
      <w:r>
        <w:lastRenderedPageBreak/>
        <w:t>person is object or not</w:t>
      </w:r>
      <w:r w:rsidR="00B7285F">
        <w:t xml:space="preserve"> (</w:t>
      </w:r>
      <w:proofErr w:type="spellStart"/>
      <w:r w:rsidR="00B7285F">
        <w:t>Moffat</w:t>
      </w:r>
      <w:proofErr w:type="spellEnd"/>
      <w:r w:rsidR="00B7285F">
        <w:t>, 200</w:t>
      </w:r>
      <w:r w:rsidR="007D617B">
        <w:t>5</w:t>
      </w:r>
      <w:r w:rsidR="00B7285F">
        <w:t>)</w:t>
      </w:r>
      <w:r>
        <w:t xml:space="preserve">. Therefore, for the trust to be valid the persons must be an object of the trust or are not an object of the trust. If there are any uncertainties or “don’t </w:t>
      </w:r>
      <w:proofErr w:type="gramStart"/>
      <w:r>
        <w:t>knows</w:t>
      </w:r>
      <w:proofErr w:type="gramEnd"/>
      <w:r>
        <w:t>” then the trust cannot be valid. This would fall in line with Simon’s will as Stamp clearly states that “relative” can be defined as “next of kin”</w:t>
      </w:r>
      <w:r w:rsidR="00177CE5">
        <w:t xml:space="preserve"> (Hopkins, 1974)</w:t>
      </w:r>
      <w:r>
        <w:t>. Lord Justice Sachs is more pragmatic in his approach as he suggests that the McPhail test is only applicable to conceptual uncertainty and has a disregard for evidential uncertainty</w:t>
      </w:r>
      <w:r w:rsidR="00E154D4">
        <w:t xml:space="preserve"> (Clements, 2018)</w:t>
      </w:r>
      <w:r>
        <w:t>. For example, the word Friend is an unambiguous term therefore a trust cannot exist. Whereas Sachs suggests that the burden of proofs is more appropriate as it avoid uncertainties if an individual can prove they are in fact a beneficiary</w:t>
      </w:r>
      <w:r w:rsidR="006D0D6C">
        <w:t xml:space="preserve"> (Webb, 2015)</w:t>
      </w:r>
      <w:r w:rsidR="00DD0DA1">
        <w:t xml:space="preserve"> (Watt, 2020)</w:t>
      </w:r>
      <w:r>
        <w:t xml:space="preserve">. </w:t>
      </w:r>
    </w:p>
    <w:p w14:paraId="5815D866" w14:textId="77777777" w:rsidR="0015516A" w:rsidRDefault="0015516A" w:rsidP="00826949">
      <w:pPr>
        <w:spacing w:line="480" w:lineRule="auto"/>
      </w:pPr>
    </w:p>
    <w:p w14:paraId="5E7D6480" w14:textId="0E7D8C99" w:rsidR="00273EB4" w:rsidRDefault="00273EB4" w:rsidP="00826949">
      <w:pPr>
        <w:spacing w:line="480" w:lineRule="auto"/>
      </w:pPr>
      <w:r>
        <w:t xml:space="preserve">Where Discretionary trusts are more likely to </w:t>
      </w:r>
      <w:proofErr w:type="gramStart"/>
      <w:r>
        <w:t>fail</w:t>
      </w:r>
      <w:proofErr w:type="gramEnd"/>
      <w:r w:rsidR="0015516A">
        <w:t xml:space="preserve"> and powers takes precedent</w:t>
      </w:r>
      <w:r>
        <w:t xml:space="preserve"> is when they are incredibly vague in the application of the three certainties. defined by Lord Langdale in Knight v Knight as intention, subject Matter and Objects (Wilde, 2020). In terms of intention this disposition clearly suffers from a lack of intention due to the wording. “To hold for such persons” may not impose an obligation on the Tina and Ursula. The Singha v </w:t>
      </w:r>
      <w:proofErr w:type="spellStart"/>
      <w:r>
        <w:t>Heer</w:t>
      </w:r>
      <w:proofErr w:type="spellEnd"/>
      <w:r>
        <w:t xml:space="preserve"> case is important in understanding how to improve upon a disposition as it suggests that the use of the word “trust” aids the courts to identify if a trust was intended to be made. The certainty that is the most notable is that of objects</w:t>
      </w:r>
      <w:r w:rsidR="00DD0DA1">
        <w:t xml:space="preserve"> (Davis, 2019)</w:t>
      </w:r>
      <w:r>
        <w:t>. This refers to whom the trust is being held for. The description for this within the disposition refers to the whole of Swansea’s inhabitants. The case of McPhail v Doulton (1970)</w:t>
      </w:r>
      <w:r w:rsidR="0031729C">
        <w:t xml:space="preserve"> deals with the wording used and the absolute </w:t>
      </w:r>
      <w:r w:rsidR="002A7D34">
        <w:t>identification</w:t>
      </w:r>
      <w:r w:rsidR="0031729C">
        <w:t xml:space="preserve"> of the objects. As there was </w:t>
      </w:r>
      <w:r w:rsidR="002A7D34">
        <w:t>uncertainty</w:t>
      </w:r>
      <w:r w:rsidR="0031729C">
        <w:t xml:space="preserve"> it is therefore a power and not a trust. This </w:t>
      </w:r>
      <w:r w:rsidR="002A7D34">
        <w:t>is because</w:t>
      </w:r>
      <w:r w:rsidR="0031729C">
        <w:t xml:space="preserve"> it would contract with Section 9 (a) of the trust deed. There is a need for the for the trustee to apply the net income of the fund in making their </w:t>
      </w:r>
      <w:r w:rsidR="002A7D34">
        <w:lastRenderedPageBreak/>
        <w:t>‘absolute discretion’ for the benefit of the of the objects</w:t>
      </w:r>
      <w:r w:rsidR="00B54095">
        <w:t xml:space="preserve"> (Hudson, 2009)</w:t>
      </w:r>
      <w:r w:rsidR="002A7D34">
        <w:t>. In this case it would be the inhabitants of Swansea. As it would be impossible to identify the members of the ‘class’ and the trustees have the power of selection for the distribution of the assets it is within no doubt that the trustees have been given a power of appointment</w:t>
      </w:r>
      <w:r>
        <w:t xml:space="preserve">. </w:t>
      </w:r>
      <w:r w:rsidR="00181589">
        <w:t>T</w:t>
      </w:r>
      <w:r>
        <w:t xml:space="preserve">he early test for the certainty of objects in discretionary trusts was the complete </w:t>
      </w:r>
      <w:r w:rsidR="00181589">
        <w:t>‘</w:t>
      </w:r>
      <w:proofErr w:type="gramStart"/>
      <w:r w:rsidR="00181589">
        <w:t>it</w:t>
      </w:r>
      <w:proofErr w:type="gramEnd"/>
      <w:r w:rsidR="00181589">
        <w:t xml:space="preserve"> is’</w:t>
      </w:r>
      <w:r>
        <w:t xml:space="preserve"> test deriving from the IRC v Broadway Cottage Trust [1954]. This test required updating as it required the named class of beneficiaries of the trust. The case of Re </w:t>
      </w:r>
      <w:proofErr w:type="spellStart"/>
      <w:r>
        <w:t>Gulbenkian’s</w:t>
      </w:r>
      <w:proofErr w:type="spellEnd"/>
      <w:r>
        <w:t xml:space="preserve"> Settlement [1970] </w:t>
      </w:r>
      <w:r w:rsidR="0015516A">
        <w:t>it</w:t>
      </w:r>
      <w:r>
        <w:t xml:space="preserve"> defined the distinction between powers and discretionary trusts. As discretionary trusts demand that the courts step in when the required action has not been fulfilled</w:t>
      </w:r>
      <w:r w:rsidR="00B54095">
        <w:t xml:space="preserve"> (Webb, 2015)</w:t>
      </w:r>
      <w:r>
        <w:t xml:space="preserve">. Whereas trustees with a special power are not under any obligation to perform an action. One of the reasons why </w:t>
      </w:r>
      <w:r w:rsidR="002A7D34">
        <w:t>Simon’s</w:t>
      </w:r>
      <w:r>
        <w:t xml:space="preserve"> disposition may fail is </w:t>
      </w:r>
      <w:proofErr w:type="gramStart"/>
      <w:r>
        <w:t>due to the fact that</w:t>
      </w:r>
      <w:proofErr w:type="gramEnd"/>
      <w:r>
        <w:t xml:space="preserve"> objects that listed as being beneficiaries is so vast by definition that it becomes Administratively Unworkable. The “inhabitants of Swansea” draws parallels with Lord Wilberforce’s analogy referring to “all residents of greater London”.</w:t>
      </w:r>
      <w:r w:rsidR="001743BF">
        <w:t xml:space="preserve"> The words inhabitants and residents has slightly different meaning. As inhabitants suggest people that live </w:t>
      </w:r>
      <w:r w:rsidR="002A7D34">
        <w:t>there,</w:t>
      </w:r>
      <w:r w:rsidR="001743BF">
        <w:t xml:space="preserve"> and resident could only include homeowners. The difference between the terminologies will lead to administrative unworkability and therefore this disposition is more likely to be a power. </w:t>
      </w:r>
      <w:r w:rsidR="0015516A">
        <w:t xml:space="preserve"> </w:t>
      </w:r>
    </w:p>
    <w:p w14:paraId="79941AA8" w14:textId="77777777" w:rsidR="0015516A" w:rsidRDefault="0015516A" w:rsidP="00826949">
      <w:pPr>
        <w:spacing w:line="480" w:lineRule="auto"/>
      </w:pPr>
    </w:p>
    <w:p w14:paraId="0B856A21" w14:textId="7105907A" w:rsidR="00273EB4" w:rsidRDefault="00273EB4" w:rsidP="00826949">
      <w:pPr>
        <w:spacing w:line="480" w:lineRule="auto"/>
      </w:pPr>
      <w:r>
        <w:t xml:space="preserve">In terms of the statue that was to be erected in honour of Simon after he dies much like the details found within </w:t>
      </w:r>
      <w:proofErr w:type="spellStart"/>
      <w:r>
        <w:t>Mussett</w:t>
      </w:r>
      <w:proofErr w:type="spellEnd"/>
      <w:r>
        <w:t xml:space="preserve"> v </w:t>
      </w:r>
      <w:proofErr w:type="spellStart"/>
      <w:proofErr w:type="gramStart"/>
      <w:r>
        <w:t>Bingle</w:t>
      </w:r>
      <w:proofErr w:type="spellEnd"/>
      <w:r>
        <w:t>[</w:t>
      </w:r>
      <w:proofErr w:type="gramEnd"/>
      <w:r>
        <w:t>1876]. One of the first issues that will arise is the Beneficiary Principle. This principle suggests that the law in England and Wales generally looks down on trusts that have no benefit to the individual</w:t>
      </w:r>
      <w:r w:rsidR="00B54095">
        <w:t xml:space="preserve"> (</w:t>
      </w:r>
      <w:proofErr w:type="spellStart"/>
      <w:r w:rsidR="00B54095">
        <w:t>Duddington</w:t>
      </w:r>
      <w:proofErr w:type="spellEnd"/>
      <w:r w:rsidR="00B54095">
        <w:t>, 2006)</w:t>
      </w:r>
      <w:r>
        <w:t xml:space="preserve">. The case of Re </w:t>
      </w:r>
      <w:proofErr w:type="spellStart"/>
      <w:r>
        <w:t>Astors</w:t>
      </w:r>
      <w:proofErr w:type="spellEnd"/>
      <w:r>
        <w:t xml:space="preserve"> Settlement Trusts suggests that for a trust to be valid it is important that purpose does take precedence over benefit</w:t>
      </w:r>
      <w:r w:rsidR="00B54095">
        <w:t xml:space="preserve"> (Watt, 2020)</w:t>
      </w:r>
      <w:r>
        <w:t xml:space="preserve">. Justice Roxburgh suggests that at the heart </w:t>
      </w:r>
      <w:r>
        <w:lastRenderedPageBreak/>
        <w:t xml:space="preserve">of trusts is equitable right of enjoyment of benefit. However, there are exceptions to this rule for example that </w:t>
      </w:r>
      <w:r w:rsidR="00181589">
        <w:t>are</w:t>
      </w:r>
      <w:r>
        <w:t xml:space="preserve"> controversial by nature. The exceptions relate to monuments and Tombs, specifically deriving from the Re Hooper case</w:t>
      </w:r>
      <w:r w:rsidR="006D0D6C">
        <w:t xml:space="preserve"> (Webb, 2015)</w:t>
      </w:r>
      <w:r>
        <w:t xml:space="preserve">. This case found that the upkeep of a tomb and monument was evidence of a charitable trust. Lord Justice Harman expresses his disapproval for Trust of Imperfect obligation by suggesting that they are troublesome, </w:t>
      </w:r>
      <w:r w:rsidR="00181589">
        <w:t>anomalous,</w:t>
      </w:r>
      <w:r>
        <w:t xml:space="preserve"> and aberrant</w:t>
      </w:r>
      <w:r w:rsidR="00C5128E">
        <w:t xml:space="preserve"> (Hudson, 2009)</w:t>
      </w:r>
      <w:r>
        <w:t xml:space="preserve">. Therefore, it is possible that the concept of the building and upkeep of a monument can be seen as valid grounds for a trust. The Perpetuity Principle will suffice as trusts made over an indefinite </w:t>
      </w:r>
      <w:proofErr w:type="gramStart"/>
      <w:r>
        <w:t>period of time</w:t>
      </w:r>
      <w:proofErr w:type="gramEnd"/>
      <w:r>
        <w:t xml:space="preserve"> are troublesome as the remoteness of investing in property is separate from investing in beneficiaries. The Property would be the benefactor of the trust which the Perpetuities and Accumulations Act 1964 recognises as non-charitable trusts cannot last indefinitely. If the disposition is valid it would need to prove that the principles of Re </w:t>
      </w:r>
      <w:proofErr w:type="spellStart"/>
      <w:r>
        <w:t>Denley’s</w:t>
      </w:r>
      <w:proofErr w:type="spellEnd"/>
      <w:r>
        <w:t xml:space="preserve"> Trust deed (1969) can be satisfied as this case invested in property but for the benefit of the benefit of the company</w:t>
      </w:r>
      <w:r w:rsidR="00C5128E">
        <w:t xml:space="preserve"> (</w:t>
      </w:r>
      <w:proofErr w:type="spellStart"/>
      <w:r w:rsidR="00C5128E">
        <w:t>Moffat</w:t>
      </w:r>
      <w:proofErr w:type="spellEnd"/>
      <w:r w:rsidR="00C5128E">
        <w:t>, 2009)</w:t>
      </w:r>
      <w:r>
        <w:t xml:space="preserve">. This is unlikely to result in a trust thus the alternative measure of unincorporated association should apply. This means that the £75,000 will go to a </w:t>
      </w:r>
      <w:r w:rsidR="00181589">
        <w:t>member</w:t>
      </w:r>
      <w:r>
        <w:t xml:space="preserve"> who said to be co-</w:t>
      </w:r>
      <w:proofErr w:type="gramStart"/>
      <w:r>
        <w:t>owners</w:t>
      </w:r>
      <w:proofErr w:type="gramEnd"/>
      <w:r>
        <w:t xml:space="preserve"> or the more likely scenario is that it would be a gift to members subject to contractual terms this is known as contract holding theory. </w:t>
      </w:r>
    </w:p>
    <w:p w14:paraId="20888889" w14:textId="77777777" w:rsidR="003C08F5" w:rsidRDefault="003C08F5" w:rsidP="00826949">
      <w:pPr>
        <w:spacing w:line="480" w:lineRule="auto"/>
      </w:pPr>
    </w:p>
    <w:p w14:paraId="18452F7C" w14:textId="109355BD" w:rsidR="00273EB4" w:rsidRDefault="00273EB4" w:rsidP="00826949">
      <w:pPr>
        <w:spacing w:line="480" w:lineRule="auto"/>
      </w:pPr>
      <w:r>
        <w:t xml:space="preserve">Simon’s paintings are being held on trust by the trustees. However, Vinnie has the power of appointment. This is not a fiduciary power </w:t>
      </w:r>
      <w:r w:rsidR="003702E2">
        <w:t xml:space="preserve">as Vinnie is not a trustee </w:t>
      </w:r>
      <w:r>
        <w:t>but a personal power</w:t>
      </w:r>
      <w:r w:rsidR="003702E2">
        <w:t xml:space="preserve"> (Virgo, 2020)</w:t>
      </w:r>
      <w:r>
        <w:t xml:space="preserve">. This is significant as it allows Vinnie to ignore the request of the testator as he is not bound by the fiduciary duties that dictate trustees. </w:t>
      </w:r>
      <w:r w:rsidR="000A01E6">
        <w:t>Also,</w:t>
      </w:r>
      <w:r>
        <w:t xml:space="preserve"> as it allows Vinnie to act capriciously meaning that it is not conforming to the trust. The definition of beneficiaries must be carefully handled as the use of the word “friends” as subjects to the trust is </w:t>
      </w:r>
      <w:r>
        <w:lastRenderedPageBreak/>
        <w:t>uncertain this can be seen in McPhail v Doulton in which lord Wilberforce suggests that care must be taken when identifying a class of individuals</w:t>
      </w:r>
      <w:r w:rsidR="00C3348E">
        <w:t xml:space="preserve"> (Clements, 2018)</w:t>
      </w:r>
      <w:r>
        <w:t>. Due to this fact Vinnie although given some power of appointment can choose to appoint the paintings to whoever he considers fits within the category of friend. Whereas if this were a discretionary trust the trustees would be required to “survey the field” this is to ensure that the trustees fiduciary duties are being fulfilled</w:t>
      </w:r>
      <w:r w:rsidR="003702E2">
        <w:t xml:space="preserve"> as can be seen in Re Barlow Wills Trust (Davis, 2013)</w:t>
      </w:r>
      <w:r>
        <w:t>. One of the main concerns with this disposition is that there is a possibility that no appointments will be made due to its lack of clarity. The disposition could be remedied to specifically name the “friends” This would change it from a discretionary trust to a fixed trust which by nature require less speculation of the beneficiaries</w:t>
      </w:r>
      <w:r w:rsidR="00E154D4">
        <w:t xml:space="preserve"> (Watt, 2020)</w:t>
      </w:r>
      <w:r>
        <w:t xml:space="preserve">. </w:t>
      </w:r>
    </w:p>
    <w:p w14:paraId="0D402704" w14:textId="77777777" w:rsidR="00E154D4" w:rsidRDefault="00E154D4" w:rsidP="00826949">
      <w:pPr>
        <w:spacing w:line="480" w:lineRule="auto"/>
      </w:pPr>
    </w:p>
    <w:p w14:paraId="2279E9DF" w14:textId="77777777" w:rsidR="00826949" w:rsidRDefault="00273EB4" w:rsidP="00826949">
      <w:pPr>
        <w:spacing w:line="480" w:lineRule="auto"/>
      </w:pPr>
      <w:r>
        <w:t xml:space="preserve">The disposition concerning residue is a discretionary trust where the class is moral claim on Simon. The scope of the any given postulant test which derives from the Re </w:t>
      </w:r>
      <w:proofErr w:type="spellStart"/>
      <w:r>
        <w:t>Gulbenkian</w:t>
      </w:r>
      <w:proofErr w:type="spellEnd"/>
      <w:r>
        <w:t xml:space="preserve"> (1968) that the trustees must be able to determine with certainty that the potential beneficiary either is or is not a beneficiary of the trust, this seems unlikely on the facts given </w:t>
      </w:r>
      <w:r w:rsidR="0020728B">
        <w:t>(Webb, 2015) (</w:t>
      </w:r>
      <w:r>
        <w:t xml:space="preserve">Hopkins, 1971). Much like Re Tuck which suggests that the requirement for “Jewish blood” and “faith” could be deemed to be uncertain and thus the trust could not exist. Master of the roles Lord Denning held that the trust could </w:t>
      </w:r>
      <w:r w:rsidR="0020728B">
        <w:t>be</w:t>
      </w:r>
      <w:r>
        <w:t xml:space="preserve"> valid as the Chief Rabbi shed light on any uncertainty. This calls into question the power of which Walter </w:t>
      </w:r>
      <w:proofErr w:type="gramStart"/>
      <w:r>
        <w:t>has</w:t>
      </w:r>
      <w:proofErr w:type="gramEnd"/>
      <w:r>
        <w:t xml:space="preserve"> as he himself would be defining the testators wishes no differently to the trustees</w:t>
      </w:r>
      <w:r w:rsidR="00E154D4">
        <w:t xml:space="preserve"> </w:t>
      </w:r>
      <w:r w:rsidR="0020728B">
        <w:t>(Hopkins</w:t>
      </w:r>
      <w:r w:rsidR="00AD248E">
        <w:t>, 1974)</w:t>
      </w:r>
      <w:r>
        <w:t xml:space="preserve">. Therefore, it is possible that Walters power could be invalid this is due to the courts being unable to identify whether he is acting in the intended manner. As this is a residuary gift if the trust fails the next course of action would be to intestacy </w:t>
      </w:r>
      <w:r w:rsidR="00AD248E" w:rsidRPr="00AD248E">
        <w:t>(Bray, 2020</w:t>
      </w:r>
      <w:r w:rsidR="00AD248E">
        <w:t>).</w:t>
      </w:r>
    </w:p>
    <w:p w14:paraId="40C039AA" w14:textId="77777777" w:rsidR="00826949" w:rsidRDefault="00826949" w:rsidP="00826949">
      <w:pPr>
        <w:spacing w:line="480" w:lineRule="auto"/>
      </w:pPr>
    </w:p>
    <w:p w14:paraId="4B2E1296" w14:textId="3A0DDC11" w:rsidR="00C44E3C" w:rsidRDefault="00C44E3C" w:rsidP="00826949">
      <w:pPr>
        <w:spacing w:line="480" w:lineRule="auto"/>
      </w:pPr>
      <w:r>
        <w:lastRenderedPageBreak/>
        <w:t>Bibliography Question 1</w:t>
      </w:r>
    </w:p>
    <w:p w14:paraId="0CF73B91" w14:textId="03B4E09A" w:rsidR="00244041" w:rsidRDefault="00244041" w:rsidP="00273EB4"/>
    <w:p w14:paraId="2BAA9477" w14:textId="12E56C22" w:rsidR="00C829E9" w:rsidRDefault="00C829E9" w:rsidP="00273EB4">
      <w:r>
        <w:t xml:space="preserve">Bailey, S.J. (1969). Witnessing a Will Wills Act 1968. The Cambridge Law Journal. Cambridge University Press. Volume 27. </w:t>
      </w:r>
      <w:r w:rsidR="00F00808">
        <w:t>P</w:t>
      </w:r>
      <w:r>
        <w:t>p</w:t>
      </w:r>
      <w:r w:rsidR="00F00808">
        <w:t xml:space="preserve"> 33-34.</w:t>
      </w:r>
    </w:p>
    <w:p w14:paraId="278C770F" w14:textId="77777777" w:rsidR="00C829E9" w:rsidRDefault="00C829E9" w:rsidP="00273EB4"/>
    <w:p w14:paraId="6E750C71" w14:textId="0D104BD1" w:rsidR="007C7494" w:rsidRDefault="007C7494" w:rsidP="00273EB4">
      <w:r>
        <w:t>Bray, J. (2020). Equity and Trusts. University of Buckingham. Cambridge university Press. 2</w:t>
      </w:r>
      <w:r w:rsidRPr="007C7494">
        <w:rPr>
          <w:vertAlign w:val="superscript"/>
        </w:rPr>
        <w:t>nd</w:t>
      </w:r>
      <w:r>
        <w:t xml:space="preserve"> edition. Pp 191-208</w:t>
      </w:r>
    </w:p>
    <w:p w14:paraId="7D49F8E8" w14:textId="77777777" w:rsidR="007C7494" w:rsidRDefault="007C7494" w:rsidP="00273EB4"/>
    <w:p w14:paraId="677053D3" w14:textId="4A7366CF" w:rsidR="00F05F7C" w:rsidRDefault="00F05F7C" w:rsidP="00273EB4">
      <w:r>
        <w:t>Cavendish, M. (2006). Trusts Law. Psychology Press. 5</w:t>
      </w:r>
      <w:r w:rsidRPr="00F05F7C">
        <w:rPr>
          <w:vertAlign w:val="superscript"/>
        </w:rPr>
        <w:t>th</w:t>
      </w:r>
      <w:r>
        <w:t xml:space="preserve"> Edition. Pp </w:t>
      </w:r>
      <w:r w:rsidR="004B3F76">
        <w:t>9</w:t>
      </w:r>
      <w:r>
        <w:t>- 69.</w:t>
      </w:r>
    </w:p>
    <w:p w14:paraId="274742A9" w14:textId="77777777" w:rsidR="00F05F7C" w:rsidRDefault="00F05F7C" w:rsidP="00273EB4"/>
    <w:p w14:paraId="273CF2D0" w14:textId="4213D91C" w:rsidR="00C3348E" w:rsidRDefault="00C3348E" w:rsidP="00273EB4">
      <w:r>
        <w:t>Clements, R. (2018). Equity and Trusts. Oxford University Press. 5</w:t>
      </w:r>
      <w:r w:rsidRPr="00C3348E">
        <w:rPr>
          <w:vertAlign w:val="superscript"/>
        </w:rPr>
        <w:t>th</w:t>
      </w:r>
      <w:r>
        <w:t xml:space="preserve"> Edition. Pp. 53-84</w:t>
      </w:r>
    </w:p>
    <w:p w14:paraId="5C6DAA55" w14:textId="77777777" w:rsidR="00C3348E" w:rsidRDefault="00C3348E" w:rsidP="00273EB4"/>
    <w:p w14:paraId="5790AC11" w14:textId="2A63B988" w:rsidR="00F00808" w:rsidRDefault="00F00808" w:rsidP="00273EB4">
      <w:r>
        <w:t xml:space="preserve">Davis, </w:t>
      </w:r>
      <w:r w:rsidR="00A11722">
        <w:t>P. (2013) Equity and Trust. St Catherine’s College. Oxford University Press.</w:t>
      </w:r>
      <w:r w:rsidR="00BA7104">
        <w:t xml:space="preserve"> 4</w:t>
      </w:r>
      <w:r w:rsidR="00BA7104" w:rsidRPr="00BA7104">
        <w:rPr>
          <w:vertAlign w:val="superscript"/>
        </w:rPr>
        <w:t>th</w:t>
      </w:r>
      <w:r w:rsidR="00BA7104">
        <w:t xml:space="preserve"> Edition</w:t>
      </w:r>
      <w:r w:rsidR="00A11722">
        <w:t xml:space="preserve"> Pp 152- 173.</w:t>
      </w:r>
    </w:p>
    <w:p w14:paraId="2047B7FE" w14:textId="77777777" w:rsidR="00F00808" w:rsidRDefault="00F00808" w:rsidP="00273EB4"/>
    <w:p w14:paraId="30CFEE80" w14:textId="6EFFA375" w:rsidR="004B3F76" w:rsidRDefault="004B3F76" w:rsidP="00273EB4">
      <w:r>
        <w:t xml:space="preserve">Davis, P. (2019). </w:t>
      </w:r>
      <w:r w:rsidR="005E7313">
        <w:t>Equity and Trusts: Text, Cases, and Materials. Oxford University Press. Pp 30-502</w:t>
      </w:r>
    </w:p>
    <w:p w14:paraId="1DCDCDD3" w14:textId="77777777" w:rsidR="004B3F76" w:rsidRDefault="004B3F76" w:rsidP="00273EB4"/>
    <w:p w14:paraId="638A6945" w14:textId="33FD7712" w:rsidR="009D6519" w:rsidRDefault="009D6519" w:rsidP="00273EB4">
      <w:proofErr w:type="spellStart"/>
      <w:r>
        <w:t>Duddi</w:t>
      </w:r>
      <w:r w:rsidR="00F15854">
        <w:t>ngton</w:t>
      </w:r>
      <w:proofErr w:type="spellEnd"/>
      <w:r w:rsidR="00F15854">
        <w:t>, J. (2006) Essentials of Equity and Trusts. Worcester College of Technology. Pearson. Pp 125-140</w:t>
      </w:r>
    </w:p>
    <w:p w14:paraId="123B1377" w14:textId="77777777" w:rsidR="009D6519" w:rsidRDefault="009D6519" w:rsidP="00273EB4"/>
    <w:p w14:paraId="4D192CE4" w14:textId="2CF2393B" w:rsidR="00244041" w:rsidRDefault="00244041" w:rsidP="00273EB4">
      <w:r>
        <w:t xml:space="preserve">Hudson, </w:t>
      </w:r>
      <w:r w:rsidR="006F4107">
        <w:t xml:space="preserve">A. (2009). Equity and Trust. Queen Mary University of London. Routledge </w:t>
      </w:r>
      <w:proofErr w:type="spellStart"/>
      <w:r w:rsidR="006F4107">
        <w:t>Cavandish</w:t>
      </w:r>
      <w:proofErr w:type="spellEnd"/>
      <w:r w:rsidR="006F4107">
        <w:t>. 6</w:t>
      </w:r>
      <w:r w:rsidR="006F4107" w:rsidRPr="006F4107">
        <w:rPr>
          <w:vertAlign w:val="superscript"/>
        </w:rPr>
        <w:t>th</w:t>
      </w:r>
      <w:r w:rsidR="006F4107">
        <w:t xml:space="preserve"> edition. Pp. 268-295</w:t>
      </w:r>
    </w:p>
    <w:p w14:paraId="68576EB0" w14:textId="77777777" w:rsidR="00244041" w:rsidRDefault="00244041" w:rsidP="00273EB4"/>
    <w:p w14:paraId="15BE9D47" w14:textId="33B45CB0" w:rsidR="001E1511" w:rsidRDefault="001E1511" w:rsidP="00273EB4">
      <w:proofErr w:type="spellStart"/>
      <w:r>
        <w:t>Moffat</w:t>
      </w:r>
      <w:proofErr w:type="spellEnd"/>
      <w:r>
        <w:t>, G. (2005). Trusts Law. University of Warwick. Cambridge University Press. 4</w:t>
      </w:r>
      <w:r w:rsidRPr="001E1511">
        <w:rPr>
          <w:vertAlign w:val="superscript"/>
        </w:rPr>
        <w:t>th</w:t>
      </w:r>
      <w:r>
        <w:t xml:space="preserve"> Edition. Pp 146-157</w:t>
      </w:r>
    </w:p>
    <w:p w14:paraId="6A8255FA" w14:textId="77777777" w:rsidR="001E1511" w:rsidRDefault="001E1511" w:rsidP="00273EB4"/>
    <w:p w14:paraId="7B69E021" w14:textId="2714E3FB" w:rsidR="00B7285F" w:rsidRDefault="00B7285F" w:rsidP="00273EB4">
      <w:proofErr w:type="spellStart"/>
      <w:r>
        <w:t>Moffat</w:t>
      </w:r>
      <w:proofErr w:type="spellEnd"/>
      <w:r>
        <w:t>, G. (2009) Trust Law. Cambridge. Cambridge University Press.</w:t>
      </w:r>
      <w:r w:rsidR="007D617B">
        <w:t xml:space="preserve"> Fifth Edition.</w:t>
      </w:r>
      <w:r>
        <w:t xml:space="preserve"> </w:t>
      </w:r>
      <w:r w:rsidR="007D617B">
        <w:t>Pp- 206-252</w:t>
      </w:r>
    </w:p>
    <w:p w14:paraId="236B0C04" w14:textId="77777777" w:rsidR="004B3F76" w:rsidRDefault="004B3F76" w:rsidP="00273EB4"/>
    <w:p w14:paraId="475B9291" w14:textId="5F679279" w:rsidR="00C44E3C" w:rsidRDefault="00C44E3C" w:rsidP="00273EB4">
      <w:r>
        <w:t>Rickett, C. (1979). Secret Trust or Moral Obligation. The Cambridge Law Journal. Cambridge University Test. Pp. 260-264</w:t>
      </w:r>
    </w:p>
    <w:p w14:paraId="2D75B935" w14:textId="1EA73A6E" w:rsidR="00C44E3C" w:rsidRDefault="00C44E3C" w:rsidP="00273EB4"/>
    <w:p w14:paraId="7999F56E" w14:textId="4FB63C4C" w:rsidR="00050A6E" w:rsidRDefault="00050A6E" w:rsidP="00273EB4">
      <w:r>
        <w:t xml:space="preserve">Thomas, M. (2021) Blackstone’s Statute on </w:t>
      </w:r>
      <w:r w:rsidR="007A15AE">
        <w:t>Property Law, Oxford University Press. Pp 3-162</w:t>
      </w:r>
    </w:p>
    <w:p w14:paraId="414764C9" w14:textId="77777777" w:rsidR="00050A6E" w:rsidRDefault="00050A6E" w:rsidP="00273EB4"/>
    <w:p w14:paraId="346257A2" w14:textId="1E53380C" w:rsidR="005958B4" w:rsidRDefault="005958B4" w:rsidP="00273EB4">
      <w:r>
        <w:t>Virgo, G. (2020). The Principles of Equity and Trust. Oxford University Press.</w:t>
      </w:r>
      <w:r w:rsidR="00DD0DA1">
        <w:t xml:space="preserve"> 4</w:t>
      </w:r>
      <w:r w:rsidR="00DD0DA1" w:rsidRPr="00DD0DA1">
        <w:rPr>
          <w:vertAlign w:val="superscript"/>
        </w:rPr>
        <w:t>th</w:t>
      </w:r>
      <w:r w:rsidR="00DD0DA1">
        <w:t xml:space="preserve"> Edition.</w:t>
      </w:r>
      <w:r>
        <w:t xml:space="preserve"> Pp. 123-539</w:t>
      </w:r>
    </w:p>
    <w:p w14:paraId="1DE99194" w14:textId="77777777" w:rsidR="005958B4" w:rsidRDefault="005958B4" w:rsidP="00273EB4"/>
    <w:p w14:paraId="70EDB3B8" w14:textId="4387D2FD" w:rsidR="00581C4E" w:rsidRDefault="00581C4E" w:rsidP="00273EB4">
      <w:r>
        <w:t>Watt, G. (2020). Trusts and Equity. Oxford University Press. 9</w:t>
      </w:r>
      <w:r w:rsidRPr="00581C4E">
        <w:rPr>
          <w:vertAlign w:val="superscript"/>
        </w:rPr>
        <w:t>th</w:t>
      </w:r>
      <w:r>
        <w:t xml:space="preserve"> Edition. </w:t>
      </w:r>
      <w:r w:rsidR="006D0D6C">
        <w:t>77-381</w:t>
      </w:r>
    </w:p>
    <w:p w14:paraId="345DC4FC" w14:textId="77777777" w:rsidR="00581C4E" w:rsidRDefault="00581C4E" w:rsidP="00273EB4"/>
    <w:p w14:paraId="5E7615EB" w14:textId="6A14A07D" w:rsidR="005505EB" w:rsidRDefault="005505EB" w:rsidP="00273EB4">
      <w:r w:rsidRPr="005505EB">
        <w:t>Webb, C. (2015). Trusts Law. London School of Economics and Political Sciences. Palgrave. 4th Edition. Pp 39- 245</w:t>
      </w:r>
      <w:r>
        <w:t xml:space="preserve"> </w:t>
      </w:r>
    </w:p>
    <w:p w14:paraId="2630BAC7" w14:textId="77777777" w:rsidR="005505EB" w:rsidRDefault="005505EB" w:rsidP="00273EB4"/>
    <w:p w14:paraId="1079609C" w14:textId="259BA0D7" w:rsidR="006F4107" w:rsidRDefault="006F4107" w:rsidP="00273EB4">
      <w:r>
        <w:t>Wilde, D. (2020). Secret Trusts: dehors the Wills Act</w:t>
      </w:r>
      <w:r w:rsidR="009D6519">
        <w:t>. University of Reading. Street Maxwell. Pp 1-18</w:t>
      </w:r>
    </w:p>
    <w:p w14:paraId="5AF907A5" w14:textId="77777777" w:rsidR="006F4107" w:rsidRDefault="006F4107" w:rsidP="00273EB4"/>
    <w:p w14:paraId="52567E9F" w14:textId="29A376F3" w:rsidR="00273EB4" w:rsidRPr="005958B4" w:rsidRDefault="00273EB4" w:rsidP="00273EB4">
      <w:pPr>
        <w:rPr>
          <w:b/>
          <w:bCs/>
        </w:rPr>
      </w:pPr>
      <w:r w:rsidRPr="005958B4">
        <w:rPr>
          <w:b/>
          <w:bCs/>
        </w:rPr>
        <w:lastRenderedPageBreak/>
        <w:t>Bibliogra</w:t>
      </w:r>
      <w:r w:rsidR="005958B4">
        <w:rPr>
          <w:b/>
          <w:bCs/>
        </w:rPr>
        <w:t>phy Question</w:t>
      </w:r>
      <w:r w:rsidR="00C44E3C" w:rsidRPr="005958B4">
        <w:rPr>
          <w:b/>
          <w:bCs/>
        </w:rPr>
        <w:t xml:space="preserve"> 2 </w:t>
      </w:r>
    </w:p>
    <w:p w14:paraId="78360AE4" w14:textId="77777777" w:rsidR="005505EB" w:rsidRDefault="005505EB" w:rsidP="00273EB4"/>
    <w:p w14:paraId="5B446C55" w14:textId="105717BB" w:rsidR="00273EB4" w:rsidRDefault="00273EB4" w:rsidP="00273EB4">
      <w:r>
        <w:t xml:space="preserve">Bailey, S.J. (1958). Trusts variation of trust act 1958. The Cambridge Law Journal. Cambridge University Press. Pp. 166-169. </w:t>
      </w:r>
    </w:p>
    <w:p w14:paraId="5C0A4071" w14:textId="77777777" w:rsidR="005505EB" w:rsidRDefault="005505EB" w:rsidP="00273EB4"/>
    <w:p w14:paraId="39A5C86D" w14:textId="201294EF" w:rsidR="005E7313" w:rsidRDefault="005E7313" w:rsidP="00273EB4">
      <w:r w:rsidRPr="005E7313">
        <w:t>Bray, J. (2020). Equity and Trusts. University of Buckingham. Cambridge university Press. 2nd edition. Pp 191-208</w:t>
      </w:r>
      <w:r>
        <w:t xml:space="preserve"> </w:t>
      </w:r>
    </w:p>
    <w:p w14:paraId="26E8D35D" w14:textId="77777777" w:rsidR="005E7313" w:rsidRDefault="005E7313" w:rsidP="00273EB4"/>
    <w:p w14:paraId="0A8FCB60" w14:textId="2806C60E" w:rsidR="004B3F76" w:rsidRDefault="004B3F76" w:rsidP="00273EB4">
      <w:r w:rsidRPr="004B3F76">
        <w:t>Cavendish, M. (2006). Trusts Law. Psychology Press. 5th Edition. Pp 9- 69.</w:t>
      </w:r>
      <w:r>
        <w:t xml:space="preserve"> </w:t>
      </w:r>
    </w:p>
    <w:p w14:paraId="62708A10" w14:textId="77777777" w:rsidR="004B3F76" w:rsidRDefault="004B3F76" w:rsidP="00273EB4"/>
    <w:p w14:paraId="7D59454B" w14:textId="2CDD3CD6" w:rsidR="00C3348E" w:rsidRDefault="00C3348E" w:rsidP="00273EB4">
      <w:r w:rsidRPr="00C3348E">
        <w:t>Clements, R. (2018). Equity and Trusts. Oxford University Press. 5th Edition. Pp. 53-84</w:t>
      </w:r>
      <w:r>
        <w:t xml:space="preserve"> </w:t>
      </w:r>
    </w:p>
    <w:p w14:paraId="5BBA2FA9" w14:textId="7CFCC732" w:rsidR="00C3348E" w:rsidRDefault="00C3348E" w:rsidP="00273EB4"/>
    <w:p w14:paraId="0872C22D" w14:textId="2AB5127B" w:rsidR="00BA7104" w:rsidRDefault="00BA7104" w:rsidP="00273EB4">
      <w:r>
        <w:t>Davis, P. (2013). Equity and Trusts. Oxford University Press. 4</w:t>
      </w:r>
      <w:r w:rsidRPr="00BA7104">
        <w:rPr>
          <w:vertAlign w:val="superscript"/>
        </w:rPr>
        <w:t>th</w:t>
      </w:r>
      <w:r>
        <w:t xml:space="preserve"> Edition. </w:t>
      </w:r>
      <w:r w:rsidR="00A75755">
        <w:t>P</w:t>
      </w:r>
      <w:r>
        <w:t>p</w:t>
      </w:r>
      <w:r w:rsidR="00A75755">
        <w:t xml:space="preserve"> </w:t>
      </w:r>
      <w:r w:rsidR="00A75755" w:rsidRPr="00A75755">
        <w:t>152- 173</w:t>
      </w:r>
      <w:r w:rsidR="00A75755">
        <w:t xml:space="preserve"> </w:t>
      </w:r>
    </w:p>
    <w:p w14:paraId="6F5C380B" w14:textId="77777777" w:rsidR="00BA7104" w:rsidRDefault="00BA7104" w:rsidP="00273EB4"/>
    <w:p w14:paraId="6BD268E1" w14:textId="64C459E9" w:rsidR="005E7313" w:rsidRDefault="005E7313" w:rsidP="00273EB4">
      <w:r w:rsidRPr="005E7313">
        <w:t>Davis, P. (2019). Equity and Trusts: Text, Cases, and Materials. Oxford University Press. Pp 30-502</w:t>
      </w:r>
      <w:r>
        <w:t xml:space="preserve"> </w:t>
      </w:r>
    </w:p>
    <w:p w14:paraId="014392D2" w14:textId="77777777" w:rsidR="005E7313" w:rsidRDefault="005E7313" w:rsidP="00273EB4"/>
    <w:p w14:paraId="5679C0F8" w14:textId="45242165" w:rsidR="005958B4" w:rsidRDefault="005958B4" w:rsidP="00273EB4">
      <w:proofErr w:type="spellStart"/>
      <w:r w:rsidRPr="005958B4">
        <w:t>Duddington</w:t>
      </w:r>
      <w:proofErr w:type="spellEnd"/>
      <w:r w:rsidRPr="005958B4">
        <w:t>, J. (2006) Essentials of Equity and Trusts. Worcester College of Technology. Pearson. Pp 125-140</w:t>
      </w:r>
      <w:r>
        <w:t xml:space="preserve"> </w:t>
      </w:r>
    </w:p>
    <w:p w14:paraId="73AF1C44" w14:textId="77777777" w:rsidR="005958B4" w:rsidRDefault="005958B4" w:rsidP="00273EB4"/>
    <w:p w14:paraId="63D7F81A" w14:textId="17ECD4DF" w:rsidR="00273EB4" w:rsidRDefault="00273EB4" w:rsidP="00273EB4">
      <w:r>
        <w:t>Hopkins, J. (1970) Trust Discretionary Trusts certainty of Objects, the Cambridge law journal. Cambridge University Press pp 206-210.</w:t>
      </w:r>
      <w:r>
        <w:t xml:space="preserve"> </w:t>
      </w:r>
    </w:p>
    <w:p w14:paraId="37C49047" w14:textId="0ADFBFC6" w:rsidR="005505EB" w:rsidRDefault="005505EB" w:rsidP="00273EB4"/>
    <w:p w14:paraId="4EDB9D42" w14:textId="5F4D560B" w:rsidR="00177CE5" w:rsidRDefault="00177CE5" w:rsidP="00273EB4">
      <w:r>
        <w:t>Hopkins, J. (1974). A New Shape or Form of Power of Appointment. The Cambridge Law Journal. Cambridge University Press. Pp 66-69</w:t>
      </w:r>
    </w:p>
    <w:p w14:paraId="053E15CC" w14:textId="77777777" w:rsidR="00177CE5" w:rsidRDefault="00177CE5" w:rsidP="00273EB4"/>
    <w:p w14:paraId="403B8222" w14:textId="5A2CD6ED" w:rsidR="005E7313" w:rsidRDefault="005E7313" w:rsidP="00273EB4">
      <w:proofErr w:type="spellStart"/>
      <w:r w:rsidRPr="005E7313">
        <w:t>Moffat</w:t>
      </w:r>
      <w:proofErr w:type="spellEnd"/>
      <w:r w:rsidRPr="005E7313">
        <w:t>, G. (2005). Trusts Law. University of Warwick. Cambridge University Press. 4th Edition. Pp 146-157</w:t>
      </w:r>
    </w:p>
    <w:p w14:paraId="763DE536" w14:textId="77777777" w:rsidR="005E7313" w:rsidRDefault="005E7313" w:rsidP="00273EB4"/>
    <w:p w14:paraId="0CADB96B" w14:textId="45FC2C57" w:rsidR="004B3F76" w:rsidRDefault="004B3F76" w:rsidP="00273EB4">
      <w:proofErr w:type="spellStart"/>
      <w:r w:rsidRPr="004B3F76">
        <w:t>Moffat</w:t>
      </w:r>
      <w:proofErr w:type="spellEnd"/>
      <w:r w:rsidRPr="004B3F76">
        <w:t>, G. (2009) Trust Law. Cambridge. Cambridge University Press. Fifth Edition. Pp- 206-252</w:t>
      </w:r>
      <w:r>
        <w:t xml:space="preserve"> </w:t>
      </w:r>
    </w:p>
    <w:p w14:paraId="7581D418" w14:textId="77777777" w:rsidR="004B3F76" w:rsidRDefault="004B3F76" w:rsidP="00273EB4"/>
    <w:p w14:paraId="392615D1" w14:textId="68411057" w:rsidR="007A15AE" w:rsidRDefault="007A15AE" w:rsidP="00273EB4">
      <w:r w:rsidRPr="007A15AE">
        <w:t>Thomas, M. (2021) Blackstone’s Statute on Property Law, Oxford University Press. Pp 3-162</w:t>
      </w:r>
      <w:r>
        <w:t xml:space="preserve"> </w:t>
      </w:r>
    </w:p>
    <w:p w14:paraId="2CB7F2A4" w14:textId="77777777" w:rsidR="007A15AE" w:rsidRDefault="007A15AE" w:rsidP="00273EB4"/>
    <w:p w14:paraId="4D3CA618" w14:textId="72581B8E" w:rsidR="00DD0DA1" w:rsidRDefault="00DD0DA1" w:rsidP="00273EB4">
      <w:r w:rsidRPr="00DD0DA1">
        <w:t>Virgo, G. (2020). The Principles of Equity and Trust. Oxford University Press. 4th Edition. Pp. 123-539</w:t>
      </w:r>
    </w:p>
    <w:p w14:paraId="7259E03F" w14:textId="77777777" w:rsidR="00BA7104" w:rsidRDefault="00BA7104" w:rsidP="00273EB4"/>
    <w:p w14:paraId="5BA95714" w14:textId="7BB09270" w:rsidR="006D0D6C" w:rsidRDefault="006D0D6C" w:rsidP="00273EB4">
      <w:r w:rsidRPr="006D0D6C">
        <w:t>Watt, G. (2020). Trusts and Equity. Oxford University Press. 9th Edition. 77-381</w:t>
      </w:r>
      <w:r>
        <w:t xml:space="preserve"> </w:t>
      </w:r>
    </w:p>
    <w:p w14:paraId="32836719" w14:textId="77777777" w:rsidR="006D0D6C" w:rsidRDefault="006D0D6C" w:rsidP="00273EB4"/>
    <w:p w14:paraId="44CCC973" w14:textId="0A7E8365" w:rsidR="005505EB" w:rsidRDefault="005505EB" w:rsidP="00273EB4">
      <w:r>
        <w:t>Webb, C. (2015). Trusts Law. London School of Economics and Political Sciences. Palgrave. 4</w:t>
      </w:r>
      <w:r w:rsidRPr="005505EB">
        <w:rPr>
          <w:vertAlign w:val="superscript"/>
        </w:rPr>
        <w:t>th</w:t>
      </w:r>
      <w:r>
        <w:t xml:space="preserve"> Edition. Pp 39- 245</w:t>
      </w:r>
    </w:p>
    <w:p w14:paraId="632223A3" w14:textId="6D76626C" w:rsidR="00D565B8" w:rsidRDefault="00D565B8" w:rsidP="00B11D9B"/>
    <w:p w14:paraId="71AAB727" w14:textId="77777777" w:rsidR="004020C6" w:rsidRDefault="004020C6" w:rsidP="00B11D9B"/>
    <w:p w14:paraId="2BCD16F3" w14:textId="77777777" w:rsidR="00D565B8" w:rsidRDefault="00D565B8" w:rsidP="00B11D9B"/>
    <w:p w14:paraId="73245137" w14:textId="534CA45D" w:rsidR="005136A2" w:rsidRDefault="005136A2" w:rsidP="00B11D9B"/>
    <w:p w14:paraId="3E4A6784" w14:textId="477203BA" w:rsidR="005136A2" w:rsidRDefault="005136A2" w:rsidP="00B11D9B"/>
    <w:p w14:paraId="7C05C910" w14:textId="77777777" w:rsidR="005136A2" w:rsidRDefault="005136A2" w:rsidP="00B11D9B"/>
    <w:p w14:paraId="7948B8F5" w14:textId="77777777" w:rsidR="00DE0E2D" w:rsidRDefault="00DE0E2D" w:rsidP="00B11D9B"/>
    <w:p w14:paraId="0FF104EA" w14:textId="77777777" w:rsidR="00DE0E2D" w:rsidRDefault="00DE0E2D" w:rsidP="00B11D9B"/>
    <w:p w14:paraId="034BB884" w14:textId="77777777" w:rsidR="00DE0E2D" w:rsidRDefault="00DE0E2D" w:rsidP="00B11D9B"/>
    <w:p w14:paraId="0C803FC3" w14:textId="77777777" w:rsidR="00DE0E2D" w:rsidRDefault="00DE0E2D" w:rsidP="00B11D9B"/>
    <w:p w14:paraId="318FF7A0" w14:textId="77777777" w:rsidR="00DE0E2D" w:rsidRDefault="00DE0E2D" w:rsidP="00B11D9B"/>
    <w:p w14:paraId="697C8018" w14:textId="77777777" w:rsidR="00DE0E2D" w:rsidRDefault="00DE0E2D" w:rsidP="00B11D9B"/>
    <w:p w14:paraId="1F509DBA" w14:textId="77777777" w:rsidR="00DE0E2D" w:rsidRDefault="00DE0E2D" w:rsidP="00B11D9B"/>
    <w:p w14:paraId="3C6D830C" w14:textId="77777777" w:rsidR="00DE0E2D" w:rsidRDefault="00DE0E2D" w:rsidP="00B11D9B"/>
    <w:p w14:paraId="24A6A5FE" w14:textId="72BFA017" w:rsidR="00FA24F1" w:rsidRDefault="007B4E3F" w:rsidP="00B11D9B">
      <w:r>
        <w:t xml:space="preserve"> </w:t>
      </w:r>
    </w:p>
    <w:p w14:paraId="21025DA5" w14:textId="72CF3FA1" w:rsidR="008F511F" w:rsidRDefault="008F511F" w:rsidP="00B11D9B"/>
    <w:p w14:paraId="13C908A4" w14:textId="77777777" w:rsidR="008F511F" w:rsidRDefault="008F511F" w:rsidP="00B11D9B"/>
    <w:p w14:paraId="0971652E" w14:textId="5E434357" w:rsidR="00D53567" w:rsidRDefault="00D53567" w:rsidP="00B11D9B"/>
    <w:p w14:paraId="557B5232" w14:textId="77777777" w:rsidR="00D53567" w:rsidRDefault="00D53567" w:rsidP="00B11D9B"/>
    <w:sectPr w:rsidR="00D535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D9B"/>
    <w:rsid w:val="00050A6E"/>
    <w:rsid w:val="000648DC"/>
    <w:rsid w:val="000A01E6"/>
    <w:rsid w:val="00107CAE"/>
    <w:rsid w:val="0015516A"/>
    <w:rsid w:val="001743BF"/>
    <w:rsid w:val="00177CE5"/>
    <w:rsid w:val="00181589"/>
    <w:rsid w:val="001A151B"/>
    <w:rsid w:val="001E1511"/>
    <w:rsid w:val="001F3897"/>
    <w:rsid w:val="0020728B"/>
    <w:rsid w:val="00244041"/>
    <w:rsid w:val="0025653F"/>
    <w:rsid w:val="00272967"/>
    <w:rsid w:val="00273EB4"/>
    <w:rsid w:val="002A7D34"/>
    <w:rsid w:val="002C797F"/>
    <w:rsid w:val="0031729C"/>
    <w:rsid w:val="003702E2"/>
    <w:rsid w:val="0037394D"/>
    <w:rsid w:val="003C08F5"/>
    <w:rsid w:val="003D145E"/>
    <w:rsid w:val="004020C6"/>
    <w:rsid w:val="00427789"/>
    <w:rsid w:val="00490BF2"/>
    <w:rsid w:val="004B3F76"/>
    <w:rsid w:val="005136A2"/>
    <w:rsid w:val="005505EB"/>
    <w:rsid w:val="00581C4E"/>
    <w:rsid w:val="005958B4"/>
    <w:rsid w:val="005E7313"/>
    <w:rsid w:val="006074E8"/>
    <w:rsid w:val="00652D0B"/>
    <w:rsid w:val="00670924"/>
    <w:rsid w:val="006969F0"/>
    <w:rsid w:val="006A284F"/>
    <w:rsid w:val="006D0D6C"/>
    <w:rsid w:val="006F4107"/>
    <w:rsid w:val="006F4445"/>
    <w:rsid w:val="00710E5E"/>
    <w:rsid w:val="007A15AE"/>
    <w:rsid w:val="007B1CB2"/>
    <w:rsid w:val="007B4E3F"/>
    <w:rsid w:val="007C205E"/>
    <w:rsid w:val="007C2BDA"/>
    <w:rsid w:val="007C7494"/>
    <w:rsid w:val="007D617B"/>
    <w:rsid w:val="007F312F"/>
    <w:rsid w:val="00826949"/>
    <w:rsid w:val="00835324"/>
    <w:rsid w:val="00846171"/>
    <w:rsid w:val="008C32A0"/>
    <w:rsid w:val="008F511F"/>
    <w:rsid w:val="008F7BA3"/>
    <w:rsid w:val="00962A08"/>
    <w:rsid w:val="00997D9F"/>
    <w:rsid w:val="009D6519"/>
    <w:rsid w:val="00A11722"/>
    <w:rsid w:val="00A25119"/>
    <w:rsid w:val="00A368AF"/>
    <w:rsid w:val="00A75755"/>
    <w:rsid w:val="00A91560"/>
    <w:rsid w:val="00AD0D92"/>
    <w:rsid w:val="00AD248E"/>
    <w:rsid w:val="00AD296F"/>
    <w:rsid w:val="00B11D9B"/>
    <w:rsid w:val="00B168F3"/>
    <w:rsid w:val="00B3145E"/>
    <w:rsid w:val="00B54095"/>
    <w:rsid w:val="00B7285F"/>
    <w:rsid w:val="00B77AF9"/>
    <w:rsid w:val="00BA7104"/>
    <w:rsid w:val="00C3348E"/>
    <w:rsid w:val="00C44E3C"/>
    <w:rsid w:val="00C5128E"/>
    <w:rsid w:val="00C829E9"/>
    <w:rsid w:val="00D1474F"/>
    <w:rsid w:val="00D53567"/>
    <w:rsid w:val="00D540B2"/>
    <w:rsid w:val="00D565B8"/>
    <w:rsid w:val="00DD0DA1"/>
    <w:rsid w:val="00DE0E2D"/>
    <w:rsid w:val="00E154D4"/>
    <w:rsid w:val="00F00808"/>
    <w:rsid w:val="00F05F7C"/>
    <w:rsid w:val="00F07645"/>
    <w:rsid w:val="00F15854"/>
    <w:rsid w:val="00F42C48"/>
    <w:rsid w:val="00F8277C"/>
    <w:rsid w:val="00FA24F1"/>
    <w:rsid w:val="00FC0AAA"/>
    <w:rsid w:val="00FE1395"/>
    <w:rsid w:val="00FF7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1F417"/>
  <w15:chartTrackingRefBased/>
  <w15:docId w15:val="{9140AD9E-53DB-8947-A60F-D277B2D88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3253</Words>
  <Characters>18546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Ivor Harding</dc:creator>
  <cp:keywords/>
  <dc:description/>
  <cp:lastModifiedBy>Sam Hopson</cp:lastModifiedBy>
  <cp:revision>2</cp:revision>
  <dcterms:created xsi:type="dcterms:W3CDTF">2022-01-07T03:01:00Z</dcterms:created>
  <dcterms:modified xsi:type="dcterms:W3CDTF">2022-01-07T03:01:00Z</dcterms:modified>
</cp:coreProperties>
</file>