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2973FE" w14:textId="77777777" w:rsidR="00D11A6D" w:rsidRPr="00C7458D" w:rsidRDefault="00B5054F" w:rsidP="00C7458D">
      <w:pPr>
        <w:spacing w:before="400" w:after="200" w:line="360" w:lineRule="auto"/>
        <w:jc w:val="center"/>
        <w:rPr>
          <w:rFonts w:cs="Arial"/>
          <w:sz w:val="24"/>
          <w:szCs w:val="24"/>
        </w:rPr>
      </w:pPr>
      <w:r w:rsidRPr="00C7458D">
        <w:rPr>
          <w:rFonts w:cs="Arial"/>
          <w:noProof/>
          <w:sz w:val="24"/>
          <w:szCs w:val="24"/>
        </w:rPr>
        <w:drawing>
          <wp:inline distT="0" distB="0" distL="0" distR="0" wp14:anchorId="7F297588" wp14:editId="7F297589">
            <wp:extent cx="1809750" cy="723900"/>
            <wp:effectExtent l="0" t="0" r="0" b="0"/>
            <wp:docPr id="1" name="logo" descr="University of Wales Trinity Saint David logo" title="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809750" cy="723900"/>
                    </a:xfrm>
                    <a:prstGeom prst="rect">
                      <a:avLst/>
                    </a:prstGeom>
                  </pic:spPr>
                </pic:pic>
              </a:graphicData>
            </a:graphic>
          </wp:inline>
        </w:drawing>
      </w:r>
    </w:p>
    <w:p w14:paraId="7F2973FF" w14:textId="77777777" w:rsidR="00D11A6D" w:rsidRPr="00C7458D" w:rsidRDefault="00D11A6D" w:rsidP="00C7458D">
      <w:pPr>
        <w:pBdr>
          <w:bottom w:val="single" w:sz="12" w:space="1" w:color="B8860B"/>
        </w:pBdr>
        <w:spacing w:after="360" w:line="360" w:lineRule="auto"/>
        <w:rPr>
          <w:rFonts w:cs="Arial"/>
          <w:sz w:val="24"/>
          <w:szCs w:val="24"/>
        </w:rPr>
      </w:pPr>
    </w:p>
    <w:p w14:paraId="7F297400" w14:textId="77777777" w:rsidR="00D11A6D" w:rsidRPr="00C7458D" w:rsidRDefault="00B5054F" w:rsidP="00C7458D">
      <w:pPr>
        <w:spacing w:after="120" w:line="360" w:lineRule="auto"/>
        <w:jc w:val="center"/>
        <w:rPr>
          <w:rFonts w:cs="Arial"/>
          <w:sz w:val="28"/>
          <w:szCs w:val="28"/>
        </w:rPr>
      </w:pPr>
      <w:r w:rsidRPr="00C7458D">
        <w:rPr>
          <w:rFonts w:cs="Arial"/>
          <w:b/>
          <w:bCs/>
          <w:color w:val="0B4F5C"/>
          <w:sz w:val="28"/>
          <w:szCs w:val="28"/>
        </w:rPr>
        <w:t>Master of Business Administration</w:t>
      </w:r>
    </w:p>
    <w:p w14:paraId="7F297401" w14:textId="77777777" w:rsidR="00D11A6D" w:rsidRPr="00C7458D" w:rsidRDefault="00B5054F" w:rsidP="00C7458D">
      <w:pPr>
        <w:spacing w:after="600" w:line="360" w:lineRule="auto"/>
        <w:jc w:val="center"/>
        <w:rPr>
          <w:rFonts w:cs="Arial"/>
          <w:sz w:val="28"/>
          <w:szCs w:val="28"/>
        </w:rPr>
      </w:pPr>
      <w:r w:rsidRPr="00C7458D">
        <w:rPr>
          <w:rFonts w:cs="Arial"/>
          <w:color w:val="333333"/>
          <w:sz w:val="28"/>
          <w:szCs w:val="28"/>
        </w:rPr>
        <w:t>Marketing Management | Module Code: LCMB7024</w:t>
      </w:r>
    </w:p>
    <w:p w14:paraId="7F297402" w14:textId="77777777" w:rsidR="00D11A6D" w:rsidRPr="00C7458D" w:rsidRDefault="00B5054F" w:rsidP="00C7458D">
      <w:pPr>
        <w:spacing w:after="120" w:line="360" w:lineRule="auto"/>
        <w:jc w:val="center"/>
        <w:rPr>
          <w:rFonts w:cs="Arial"/>
          <w:sz w:val="28"/>
          <w:szCs w:val="28"/>
        </w:rPr>
      </w:pPr>
      <w:r w:rsidRPr="00C7458D">
        <w:rPr>
          <w:rFonts w:cs="Arial"/>
          <w:b/>
          <w:bCs/>
          <w:color w:val="0B4F5C"/>
          <w:sz w:val="28"/>
          <w:szCs w:val="28"/>
        </w:rPr>
        <w:t>Assessment Component 1: Individual Report</w:t>
      </w:r>
    </w:p>
    <w:p w14:paraId="7F297403" w14:textId="77777777" w:rsidR="00D11A6D" w:rsidRPr="00C7458D" w:rsidRDefault="00B5054F" w:rsidP="00C7458D">
      <w:pPr>
        <w:spacing w:after="120" w:line="360" w:lineRule="auto"/>
        <w:jc w:val="center"/>
        <w:rPr>
          <w:rFonts w:cs="Arial"/>
          <w:sz w:val="28"/>
          <w:szCs w:val="28"/>
        </w:rPr>
      </w:pPr>
      <w:r w:rsidRPr="00C7458D">
        <w:rPr>
          <w:rFonts w:cs="Arial"/>
          <w:i/>
          <w:iCs/>
          <w:color w:val="0B4F5C"/>
          <w:sz w:val="28"/>
          <w:szCs w:val="28"/>
        </w:rPr>
        <w:t>Marketing Environment Analysis</w:t>
      </w:r>
    </w:p>
    <w:p w14:paraId="7F297404" w14:textId="77777777" w:rsidR="00D11A6D" w:rsidRPr="00C7458D" w:rsidRDefault="00B5054F" w:rsidP="00C7458D">
      <w:pPr>
        <w:spacing w:after="720" w:line="360" w:lineRule="auto"/>
        <w:jc w:val="center"/>
        <w:rPr>
          <w:rFonts w:cs="Arial"/>
          <w:sz w:val="28"/>
          <w:szCs w:val="28"/>
        </w:rPr>
      </w:pPr>
      <w:r w:rsidRPr="00C7458D">
        <w:rPr>
          <w:rFonts w:cs="Arial"/>
          <w:i/>
          <w:iCs/>
          <w:color w:val="808080"/>
          <w:sz w:val="28"/>
          <w:szCs w:val="28"/>
        </w:rPr>
        <w:t>BHP Group Ltd</w:t>
      </w:r>
    </w:p>
    <w:tbl>
      <w:tblPr>
        <w:tblW w:w="6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800"/>
      </w:tblGrid>
      <w:tr w:rsidR="00D11A6D" w:rsidRPr="00C7458D" w14:paraId="7F297407"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05" w14:textId="77777777" w:rsidR="00D11A6D" w:rsidRPr="00C7458D" w:rsidRDefault="00B5054F" w:rsidP="00C7458D">
            <w:pPr>
              <w:spacing w:line="360" w:lineRule="auto"/>
              <w:rPr>
                <w:rFonts w:cs="Arial"/>
                <w:sz w:val="28"/>
                <w:szCs w:val="28"/>
              </w:rPr>
            </w:pPr>
            <w:r w:rsidRPr="00C7458D">
              <w:rPr>
                <w:rFonts w:cs="Arial"/>
                <w:b/>
                <w:bCs/>
                <w:sz w:val="28"/>
                <w:szCs w:val="28"/>
              </w:rPr>
              <w:t>Student Name:</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06" w14:textId="77777777" w:rsidR="00D11A6D" w:rsidRPr="00C7458D" w:rsidRDefault="00B5054F" w:rsidP="00C7458D">
            <w:pPr>
              <w:spacing w:line="360" w:lineRule="auto"/>
              <w:rPr>
                <w:rFonts w:cs="Arial"/>
                <w:sz w:val="28"/>
                <w:szCs w:val="28"/>
              </w:rPr>
            </w:pPr>
            <w:proofErr w:type="spellStart"/>
            <w:r w:rsidRPr="00C7458D">
              <w:rPr>
                <w:rFonts w:cs="Arial"/>
                <w:sz w:val="28"/>
                <w:szCs w:val="28"/>
              </w:rPr>
              <w:t>Manav</w:t>
            </w:r>
            <w:proofErr w:type="spellEnd"/>
            <w:r w:rsidRPr="00C7458D">
              <w:rPr>
                <w:rFonts w:cs="Arial"/>
                <w:sz w:val="28"/>
                <w:szCs w:val="28"/>
              </w:rPr>
              <w:t xml:space="preserve"> </w:t>
            </w:r>
            <w:proofErr w:type="spellStart"/>
            <w:r w:rsidRPr="00C7458D">
              <w:rPr>
                <w:rFonts w:cs="Arial"/>
                <w:sz w:val="28"/>
                <w:szCs w:val="28"/>
              </w:rPr>
              <w:t>Prajapati</w:t>
            </w:r>
            <w:proofErr w:type="spellEnd"/>
          </w:p>
        </w:tc>
      </w:tr>
      <w:tr w:rsidR="00D11A6D" w:rsidRPr="00C7458D" w14:paraId="7F29740A"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08" w14:textId="77777777" w:rsidR="00D11A6D" w:rsidRPr="00C7458D" w:rsidRDefault="00B5054F" w:rsidP="00C7458D">
            <w:pPr>
              <w:spacing w:line="360" w:lineRule="auto"/>
              <w:rPr>
                <w:rFonts w:cs="Arial"/>
                <w:sz w:val="28"/>
                <w:szCs w:val="28"/>
              </w:rPr>
            </w:pPr>
            <w:r w:rsidRPr="00C7458D">
              <w:rPr>
                <w:rFonts w:cs="Arial"/>
                <w:b/>
                <w:bCs/>
                <w:sz w:val="28"/>
                <w:szCs w:val="28"/>
              </w:rPr>
              <w:t>Student ID Number:</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09" w14:textId="77777777" w:rsidR="00D11A6D" w:rsidRPr="00C7458D" w:rsidRDefault="00B5054F" w:rsidP="00C7458D">
            <w:pPr>
              <w:spacing w:line="360" w:lineRule="auto"/>
              <w:rPr>
                <w:rFonts w:cs="Arial"/>
                <w:sz w:val="28"/>
                <w:szCs w:val="28"/>
              </w:rPr>
            </w:pPr>
            <w:r w:rsidRPr="00C7458D">
              <w:rPr>
                <w:rFonts w:cs="Arial"/>
                <w:sz w:val="28"/>
                <w:szCs w:val="28"/>
              </w:rPr>
              <w:t>2605419</w:t>
            </w:r>
          </w:p>
        </w:tc>
      </w:tr>
      <w:tr w:rsidR="00D11A6D" w:rsidRPr="00C7458D" w14:paraId="7F29740D"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0B" w14:textId="77777777" w:rsidR="00D11A6D" w:rsidRPr="00C7458D" w:rsidRDefault="00B5054F" w:rsidP="00C7458D">
            <w:pPr>
              <w:spacing w:line="360" w:lineRule="auto"/>
              <w:rPr>
                <w:rFonts w:cs="Arial"/>
                <w:sz w:val="28"/>
                <w:szCs w:val="28"/>
              </w:rPr>
            </w:pPr>
            <w:r w:rsidRPr="00C7458D">
              <w:rPr>
                <w:rFonts w:cs="Arial"/>
                <w:b/>
                <w:bCs/>
                <w:sz w:val="28"/>
                <w:szCs w:val="28"/>
              </w:rPr>
              <w:t>Programme:</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0C" w14:textId="77777777" w:rsidR="00D11A6D" w:rsidRPr="00C7458D" w:rsidRDefault="00B5054F" w:rsidP="00C7458D">
            <w:pPr>
              <w:spacing w:line="360" w:lineRule="auto"/>
              <w:rPr>
                <w:rFonts w:cs="Arial"/>
                <w:sz w:val="28"/>
                <w:szCs w:val="28"/>
              </w:rPr>
            </w:pPr>
            <w:r w:rsidRPr="00C7458D">
              <w:rPr>
                <w:rFonts w:cs="Arial"/>
                <w:sz w:val="28"/>
                <w:szCs w:val="28"/>
              </w:rPr>
              <w:t>Master of Business Administration</w:t>
            </w:r>
          </w:p>
        </w:tc>
      </w:tr>
      <w:tr w:rsidR="00D11A6D" w:rsidRPr="00C7458D" w14:paraId="7F297410"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0E" w14:textId="77777777" w:rsidR="00D11A6D" w:rsidRPr="00C7458D" w:rsidRDefault="00B5054F" w:rsidP="00C7458D">
            <w:pPr>
              <w:spacing w:line="360" w:lineRule="auto"/>
              <w:rPr>
                <w:rFonts w:cs="Arial"/>
                <w:sz w:val="28"/>
                <w:szCs w:val="28"/>
              </w:rPr>
            </w:pPr>
            <w:r w:rsidRPr="00C7458D">
              <w:rPr>
                <w:rFonts w:cs="Arial"/>
                <w:b/>
                <w:bCs/>
                <w:sz w:val="28"/>
                <w:szCs w:val="28"/>
              </w:rPr>
              <w:t>Module:</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0F" w14:textId="77777777" w:rsidR="00D11A6D" w:rsidRPr="00C7458D" w:rsidRDefault="00B5054F" w:rsidP="00C7458D">
            <w:pPr>
              <w:spacing w:line="360" w:lineRule="auto"/>
              <w:rPr>
                <w:rFonts w:cs="Arial"/>
                <w:sz w:val="28"/>
                <w:szCs w:val="28"/>
              </w:rPr>
            </w:pPr>
            <w:r w:rsidRPr="00C7458D">
              <w:rPr>
                <w:rFonts w:cs="Arial"/>
                <w:sz w:val="28"/>
                <w:szCs w:val="28"/>
              </w:rPr>
              <w:t>Marketing Management</w:t>
            </w:r>
          </w:p>
        </w:tc>
      </w:tr>
      <w:tr w:rsidR="00D11A6D" w:rsidRPr="00C7458D" w14:paraId="7F297413"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11" w14:textId="77777777" w:rsidR="00D11A6D" w:rsidRPr="00C7458D" w:rsidRDefault="00B5054F" w:rsidP="00C7458D">
            <w:pPr>
              <w:spacing w:line="360" w:lineRule="auto"/>
              <w:rPr>
                <w:rFonts w:cs="Arial"/>
                <w:sz w:val="28"/>
                <w:szCs w:val="28"/>
              </w:rPr>
            </w:pPr>
            <w:r w:rsidRPr="00C7458D">
              <w:rPr>
                <w:rFonts w:cs="Arial"/>
                <w:b/>
                <w:bCs/>
                <w:sz w:val="28"/>
                <w:szCs w:val="28"/>
              </w:rPr>
              <w:t>Lecturer:</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12" w14:textId="77777777" w:rsidR="00D11A6D" w:rsidRPr="00C7458D" w:rsidRDefault="00B5054F" w:rsidP="00C7458D">
            <w:pPr>
              <w:spacing w:line="360" w:lineRule="auto"/>
              <w:rPr>
                <w:rFonts w:cs="Arial"/>
                <w:sz w:val="28"/>
                <w:szCs w:val="28"/>
              </w:rPr>
            </w:pPr>
            <w:proofErr w:type="spellStart"/>
            <w:r w:rsidRPr="00C7458D">
              <w:rPr>
                <w:rFonts w:cs="Arial"/>
                <w:sz w:val="28"/>
                <w:szCs w:val="28"/>
              </w:rPr>
              <w:t>Taonga</w:t>
            </w:r>
            <w:proofErr w:type="spellEnd"/>
            <w:r w:rsidRPr="00C7458D">
              <w:rPr>
                <w:rFonts w:cs="Arial"/>
                <w:sz w:val="28"/>
                <w:szCs w:val="28"/>
              </w:rPr>
              <w:t xml:space="preserve"> </w:t>
            </w:r>
            <w:proofErr w:type="spellStart"/>
            <w:r w:rsidRPr="00C7458D">
              <w:rPr>
                <w:rFonts w:cs="Arial"/>
                <w:sz w:val="28"/>
                <w:szCs w:val="28"/>
              </w:rPr>
              <w:t>Kaonga</w:t>
            </w:r>
            <w:proofErr w:type="spellEnd"/>
            <w:r w:rsidRPr="00C7458D">
              <w:rPr>
                <w:rFonts w:cs="Arial"/>
                <w:sz w:val="28"/>
                <w:szCs w:val="28"/>
              </w:rPr>
              <w:t xml:space="preserve"> </w:t>
            </w:r>
            <w:proofErr w:type="spellStart"/>
            <w:r w:rsidRPr="00C7458D">
              <w:rPr>
                <w:rFonts w:cs="Arial"/>
                <w:sz w:val="28"/>
                <w:szCs w:val="28"/>
              </w:rPr>
              <w:t>Sobere-Snithers</w:t>
            </w:r>
            <w:proofErr w:type="spellEnd"/>
          </w:p>
        </w:tc>
      </w:tr>
      <w:tr w:rsidR="00D11A6D" w:rsidRPr="00C7458D" w14:paraId="7F297416"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14" w14:textId="77777777" w:rsidR="00D11A6D" w:rsidRPr="00C7458D" w:rsidRDefault="00B5054F" w:rsidP="00C7458D">
            <w:pPr>
              <w:spacing w:line="360" w:lineRule="auto"/>
              <w:rPr>
                <w:rFonts w:cs="Arial"/>
                <w:sz w:val="28"/>
                <w:szCs w:val="28"/>
              </w:rPr>
            </w:pPr>
            <w:r w:rsidRPr="00C7458D">
              <w:rPr>
                <w:rFonts w:cs="Arial"/>
                <w:b/>
                <w:bCs/>
                <w:sz w:val="28"/>
                <w:szCs w:val="28"/>
              </w:rPr>
              <w:t>Word Count:</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15" w14:textId="6ABABE39" w:rsidR="00D11A6D" w:rsidRPr="00C7458D" w:rsidRDefault="00AE46FC" w:rsidP="00C7458D">
            <w:pPr>
              <w:spacing w:line="360" w:lineRule="auto"/>
              <w:rPr>
                <w:rFonts w:cs="Arial"/>
                <w:sz w:val="28"/>
                <w:szCs w:val="28"/>
              </w:rPr>
            </w:pPr>
            <w:r>
              <w:rPr>
                <w:rFonts w:cs="Arial"/>
                <w:sz w:val="28"/>
                <w:szCs w:val="28"/>
              </w:rPr>
              <w:t>2381</w:t>
            </w:r>
            <w:r w:rsidR="002702DE">
              <w:rPr>
                <w:rFonts w:cs="Arial"/>
                <w:sz w:val="28"/>
                <w:szCs w:val="28"/>
              </w:rPr>
              <w:t xml:space="preserve"> words</w:t>
            </w:r>
          </w:p>
        </w:tc>
      </w:tr>
      <w:tr w:rsidR="00D11A6D" w:rsidRPr="00C7458D" w14:paraId="7F297419" w14:textId="77777777">
        <w:trPr>
          <w:trHeight w:val="560"/>
          <w:jc w:val="center"/>
        </w:trPr>
        <w:tc>
          <w:tcPr>
            <w:tcW w:w="2200" w:type="dxa"/>
            <w:tcBorders>
              <w:top w:val="single" w:sz="4" w:space="0" w:color="B9C5C7"/>
              <w:left w:val="single" w:sz="4" w:space="0" w:color="B9C5C7"/>
              <w:bottom w:val="single" w:sz="4" w:space="0" w:color="B9C5C7"/>
              <w:right w:val="single" w:sz="4" w:space="0" w:color="B9C5C7"/>
            </w:tcBorders>
            <w:shd w:val="clear" w:color="auto" w:fill="E6F1F3"/>
            <w:tcMar>
              <w:top w:w="80" w:type="dxa"/>
              <w:left w:w="100" w:type="dxa"/>
              <w:bottom w:w="80" w:type="dxa"/>
              <w:right w:w="100" w:type="dxa"/>
            </w:tcMar>
          </w:tcPr>
          <w:p w14:paraId="7F297417" w14:textId="77777777" w:rsidR="00D11A6D" w:rsidRPr="00C7458D" w:rsidRDefault="00B5054F" w:rsidP="00C7458D">
            <w:pPr>
              <w:spacing w:line="360" w:lineRule="auto"/>
              <w:rPr>
                <w:rFonts w:cs="Arial"/>
                <w:sz w:val="28"/>
                <w:szCs w:val="28"/>
              </w:rPr>
            </w:pPr>
            <w:r w:rsidRPr="00C7458D">
              <w:rPr>
                <w:rFonts w:cs="Arial"/>
                <w:b/>
                <w:bCs/>
                <w:sz w:val="28"/>
                <w:szCs w:val="28"/>
              </w:rPr>
              <w:t>Submitted on:</w:t>
            </w:r>
          </w:p>
        </w:tc>
        <w:tc>
          <w:tcPr>
            <w:tcW w:w="3800" w:type="dxa"/>
            <w:tcBorders>
              <w:top w:val="single" w:sz="4" w:space="0" w:color="B9C5C7"/>
              <w:left w:val="single" w:sz="4" w:space="0" w:color="B9C5C7"/>
              <w:bottom w:val="single" w:sz="4" w:space="0" w:color="B9C5C7"/>
              <w:right w:val="single" w:sz="4" w:space="0" w:color="B9C5C7"/>
            </w:tcBorders>
            <w:tcMar>
              <w:top w:w="80" w:type="dxa"/>
              <w:left w:w="100" w:type="dxa"/>
              <w:bottom w:w="80" w:type="dxa"/>
              <w:right w:w="100" w:type="dxa"/>
            </w:tcMar>
          </w:tcPr>
          <w:p w14:paraId="7F297418" w14:textId="2D03B4BD" w:rsidR="00D11A6D" w:rsidRPr="00C7458D" w:rsidRDefault="006D3AF3" w:rsidP="00C7458D">
            <w:pPr>
              <w:spacing w:line="360" w:lineRule="auto"/>
              <w:rPr>
                <w:rFonts w:cs="Arial"/>
                <w:sz w:val="28"/>
                <w:szCs w:val="28"/>
              </w:rPr>
            </w:pPr>
            <w:r>
              <w:rPr>
                <w:rFonts w:cs="Arial"/>
                <w:sz w:val="28"/>
                <w:szCs w:val="28"/>
              </w:rPr>
              <w:t>19/10/2026</w:t>
            </w:r>
          </w:p>
        </w:tc>
      </w:tr>
    </w:tbl>
    <w:p w14:paraId="7F29741A" w14:textId="77777777" w:rsidR="00D11A6D" w:rsidRPr="00C7458D" w:rsidRDefault="00D11A6D" w:rsidP="00C7458D">
      <w:pPr>
        <w:spacing w:line="360" w:lineRule="auto"/>
        <w:rPr>
          <w:rFonts w:cs="Arial"/>
          <w:sz w:val="28"/>
          <w:szCs w:val="28"/>
        </w:rPr>
        <w:sectPr w:rsidR="00D11A6D" w:rsidRPr="00C7458D">
          <w:pgSz w:w="11906" w:h="16838"/>
          <w:pgMar w:top="1440" w:right="1440" w:bottom="1440" w:left="1440" w:header="708" w:footer="708" w:gutter="0"/>
          <w:pgBorders>
            <w:top w:val="single" w:sz="6" w:space="24" w:color="404040"/>
            <w:left w:val="single" w:sz="6" w:space="24" w:color="404040"/>
            <w:bottom w:val="single" w:sz="6" w:space="24" w:color="404040"/>
            <w:right w:val="single" w:sz="6" w:space="24" w:color="404040"/>
          </w:pgBorders>
          <w:cols w:space="720"/>
          <w:docGrid w:linePitch="360"/>
        </w:sectPr>
      </w:pPr>
    </w:p>
    <w:bookmarkStart w:id="0" w:name="_Toc242365149" w:displacedByCustomXml="next"/>
    <w:sdt>
      <w:sdtPr>
        <w:rPr>
          <w:rFonts w:ascii="Arial" w:eastAsia="Arial" w:hAnsi="Arial" w:cs="Arial"/>
          <w:color w:val="auto"/>
          <w:sz w:val="24"/>
          <w:szCs w:val="24"/>
          <w:lang w:val="en-IN" w:eastAsia="en-IN" w:bidi="gu-IN"/>
        </w:rPr>
        <w:id w:val="291259059"/>
        <w:docPartObj>
          <w:docPartGallery w:val="Table of Contents"/>
          <w:docPartUnique/>
        </w:docPartObj>
      </w:sdtPr>
      <w:sdtEndPr>
        <w:rPr>
          <w:b/>
          <w:bCs/>
          <w:noProof/>
        </w:rPr>
      </w:sdtEndPr>
      <w:sdtContent>
        <w:p w14:paraId="11B12FBF" w14:textId="21C7EC54" w:rsidR="004A6C34" w:rsidRPr="004A6C34" w:rsidRDefault="004A6C34" w:rsidP="004A6C34">
          <w:pPr>
            <w:pStyle w:val="TOCHeading"/>
            <w:spacing w:line="480" w:lineRule="auto"/>
            <w:rPr>
              <w:rFonts w:ascii="Arial" w:hAnsi="Arial" w:cs="Arial"/>
              <w:b/>
              <w:bCs/>
              <w:sz w:val="28"/>
              <w:szCs w:val="28"/>
            </w:rPr>
          </w:pPr>
          <w:r w:rsidRPr="004A6C34">
            <w:rPr>
              <w:rFonts w:ascii="Arial" w:hAnsi="Arial" w:cs="Arial"/>
              <w:b/>
              <w:bCs/>
              <w:sz w:val="28"/>
              <w:szCs w:val="28"/>
            </w:rPr>
            <w:t>Table of Contents</w:t>
          </w:r>
        </w:p>
        <w:p w14:paraId="62E59D12" w14:textId="77777777" w:rsidR="004A6C34" w:rsidRPr="004A6C34" w:rsidRDefault="004A6C34" w:rsidP="004A6C34">
          <w:pPr>
            <w:pStyle w:val="TOC1"/>
            <w:rPr>
              <w:rFonts w:eastAsiaTheme="minorEastAsia" w:cs="Arial"/>
              <w:noProof/>
              <w:sz w:val="24"/>
              <w:szCs w:val="24"/>
            </w:rPr>
          </w:pPr>
          <w:r w:rsidRPr="004A6C34">
            <w:rPr>
              <w:rFonts w:cs="Arial"/>
              <w:b/>
              <w:bCs/>
              <w:noProof/>
              <w:sz w:val="24"/>
              <w:szCs w:val="24"/>
            </w:rPr>
            <w:fldChar w:fldCharType="begin"/>
          </w:r>
          <w:r w:rsidRPr="004A6C34">
            <w:rPr>
              <w:rFonts w:cs="Arial"/>
              <w:b/>
              <w:bCs/>
              <w:noProof/>
              <w:sz w:val="24"/>
              <w:szCs w:val="24"/>
            </w:rPr>
            <w:instrText xml:space="preserve"> TOC \o "1-3" \h \z \u </w:instrText>
          </w:r>
          <w:r w:rsidRPr="004A6C34">
            <w:rPr>
              <w:rFonts w:cs="Arial"/>
              <w:b/>
              <w:bCs/>
              <w:noProof/>
              <w:sz w:val="24"/>
              <w:szCs w:val="24"/>
            </w:rPr>
            <w:fldChar w:fldCharType="separate"/>
          </w:r>
          <w:hyperlink w:anchor="_Toc242967031" w:history="1">
            <w:r w:rsidRPr="004A6C34">
              <w:rPr>
                <w:rStyle w:val="Hyperlink"/>
                <w:rFonts w:cs="Arial"/>
                <w:noProof/>
                <w:sz w:val="24"/>
                <w:szCs w:val="24"/>
              </w:rPr>
              <w:t>Figures and Tables</w:t>
            </w:r>
            <w:r w:rsidRPr="004A6C34">
              <w:rPr>
                <w:rFonts w:cs="Arial"/>
                <w:noProof/>
                <w:webHidden/>
                <w:sz w:val="24"/>
                <w:szCs w:val="24"/>
              </w:rPr>
              <w:tab/>
            </w:r>
            <w:r w:rsidRPr="004A6C34">
              <w:rPr>
                <w:rFonts w:cs="Arial"/>
                <w:noProof/>
                <w:webHidden/>
                <w:sz w:val="24"/>
                <w:szCs w:val="24"/>
              </w:rPr>
              <w:fldChar w:fldCharType="begin"/>
            </w:r>
            <w:r w:rsidRPr="004A6C34">
              <w:rPr>
                <w:rFonts w:cs="Arial"/>
                <w:noProof/>
                <w:webHidden/>
                <w:sz w:val="24"/>
                <w:szCs w:val="24"/>
              </w:rPr>
              <w:instrText xml:space="preserve"> PAGEREF _Toc242967031 \h </w:instrText>
            </w:r>
            <w:r w:rsidRPr="004A6C34">
              <w:rPr>
                <w:rFonts w:cs="Arial"/>
                <w:noProof/>
                <w:webHidden/>
                <w:sz w:val="24"/>
                <w:szCs w:val="24"/>
              </w:rPr>
            </w:r>
            <w:r w:rsidRPr="004A6C34">
              <w:rPr>
                <w:rFonts w:cs="Arial"/>
                <w:noProof/>
                <w:webHidden/>
                <w:sz w:val="24"/>
                <w:szCs w:val="24"/>
              </w:rPr>
              <w:fldChar w:fldCharType="separate"/>
            </w:r>
            <w:r w:rsidR="00AE46FC">
              <w:rPr>
                <w:rFonts w:cs="Arial"/>
                <w:noProof/>
                <w:webHidden/>
                <w:sz w:val="24"/>
                <w:szCs w:val="24"/>
              </w:rPr>
              <w:t>4</w:t>
            </w:r>
            <w:r w:rsidRPr="004A6C34">
              <w:rPr>
                <w:rFonts w:cs="Arial"/>
                <w:noProof/>
                <w:webHidden/>
                <w:sz w:val="24"/>
                <w:szCs w:val="24"/>
              </w:rPr>
              <w:fldChar w:fldCharType="end"/>
            </w:r>
          </w:hyperlink>
        </w:p>
        <w:p w14:paraId="1DC79A8D" w14:textId="77777777" w:rsidR="004A6C34" w:rsidRPr="004A6C34" w:rsidRDefault="0037204D" w:rsidP="004A6C34">
          <w:pPr>
            <w:pStyle w:val="TOC1"/>
            <w:rPr>
              <w:rFonts w:eastAsiaTheme="minorEastAsia" w:cs="Arial"/>
              <w:noProof/>
              <w:sz w:val="24"/>
              <w:szCs w:val="24"/>
            </w:rPr>
          </w:pPr>
          <w:hyperlink w:anchor="_Toc242967032" w:history="1">
            <w:r w:rsidR="004A6C34" w:rsidRPr="004A6C34">
              <w:rPr>
                <w:rStyle w:val="Hyperlink"/>
                <w:rFonts w:cs="Arial"/>
                <w:noProof/>
                <w:sz w:val="24"/>
                <w:szCs w:val="24"/>
              </w:rPr>
              <w:t>List of Abbreviations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_Toc242967032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5</w:t>
            </w:r>
            <w:r w:rsidR="004A6C34" w:rsidRPr="004A6C34">
              <w:rPr>
                <w:rFonts w:cs="Arial"/>
                <w:noProof/>
                <w:webHidden/>
                <w:sz w:val="24"/>
                <w:szCs w:val="24"/>
              </w:rPr>
              <w:fldChar w:fldCharType="end"/>
            </w:r>
          </w:hyperlink>
        </w:p>
        <w:p w14:paraId="0D80D2FD" w14:textId="77777777" w:rsidR="004A6C34" w:rsidRPr="004A6C34" w:rsidRDefault="0037204D" w:rsidP="004A6C34">
          <w:pPr>
            <w:pStyle w:val="TOC1"/>
            <w:rPr>
              <w:rFonts w:eastAsiaTheme="minorEastAsia" w:cs="Arial"/>
              <w:noProof/>
              <w:sz w:val="24"/>
              <w:szCs w:val="24"/>
            </w:rPr>
          </w:pPr>
          <w:hyperlink w:anchor="_Toc242967033" w:history="1">
            <w:r w:rsidR="004A6C34" w:rsidRPr="004A6C34">
              <w:rPr>
                <w:rStyle w:val="Hyperlink"/>
                <w:rFonts w:cs="Arial"/>
                <w:noProof/>
                <w:sz w:val="24"/>
                <w:szCs w:val="24"/>
              </w:rPr>
              <w:t>Task 1: Marketing Environment Analysis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_Toc242967033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6</w:t>
            </w:r>
            <w:r w:rsidR="004A6C34" w:rsidRPr="004A6C34">
              <w:rPr>
                <w:rFonts w:cs="Arial"/>
                <w:noProof/>
                <w:webHidden/>
                <w:sz w:val="24"/>
                <w:szCs w:val="24"/>
              </w:rPr>
              <w:fldChar w:fldCharType="end"/>
            </w:r>
          </w:hyperlink>
        </w:p>
        <w:p w14:paraId="222AFD7E"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34" w:history="1">
            <w:r w:rsidR="004A6C34" w:rsidRPr="004A6C34">
              <w:rPr>
                <w:rStyle w:val="Hyperlink"/>
                <w:rFonts w:cs="Arial"/>
                <w:noProof/>
                <w:sz w:val="24"/>
                <w:szCs w:val="24"/>
              </w:rPr>
              <w:t>1.1 Introduction and approach</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_Toc242967034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6</w:t>
            </w:r>
            <w:r w:rsidR="004A6C34" w:rsidRPr="004A6C34">
              <w:rPr>
                <w:rFonts w:cs="Arial"/>
                <w:noProof/>
                <w:webHidden/>
                <w:sz w:val="24"/>
                <w:szCs w:val="24"/>
              </w:rPr>
              <w:fldChar w:fldCharType="end"/>
            </w:r>
          </w:hyperlink>
        </w:p>
        <w:p w14:paraId="664B8C7C"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35" w:history="1">
            <w:r w:rsidR="004A6C34" w:rsidRPr="004A6C34">
              <w:rPr>
                <w:rStyle w:val="Hyperlink"/>
                <w:rFonts w:cs="Arial"/>
                <w:noProof/>
                <w:sz w:val="24"/>
                <w:szCs w:val="24"/>
              </w:rPr>
              <w:t>1.2 Natural environment (primary actor)</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_Toc242967035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7</w:t>
            </w:r>
            <w:r w:rsidR="004A6C34" w:rsidRPr="004A6C34">
              <w:rPr>
                <w:rFonts w:cs="Arial"/>
                <w:noProof/>
                <w:webHidden/>
                <w:sz w:val="24"/>
                <w:szCs w:val="24"/>
              </w:rPr>
              <w:fldChar w:fldCharType="end"/>
            </w:r>
          </w:hyperlink>
        </w:p>
        <w:p w14:paraId="7B595659"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36" w:history="1">
            <w:r w:rsidR="004A6C34" w:rsidRPr="004A6C34">
              <w:rPr>
                <w:rStyle w:val="Hyperlink"/>
                <w:rFonts w:cs="Arial"/>
                <w:noProof/>
                <w:sz w:val="24"/>
                <w:szCs w:val="24"/>
              </w:rPr>
              <w:t>1.2.1 BHP’s own emissions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_Toc242967036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7</w:t>
            </w:r>
            <w:r w:rsidR="004A6C34" w:rsidRPr="004A6C34">
              <w:rPr>
                <w:rFonts w:cs="Arial"/>
                <w:noProof/>
                <w:webHidden/>
                <w:sz w:val="24"/>
                <w:szCs w:val="24"/>
              </w:rPr>
              <w:fldChar w:fldCharType="end"/>
            </w:r>
          </w:hyperlink>
        </w:p>
        <w:p w14:paraId="2D52845A"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37" w:history="1">
            <w:r w:rsidR="004A6C34" w:rsidRPr="004A6C34">
              <w:rPr>
                <w:rStyle w:val="Hyperlink"/>
                <w:rFonts w:cs="Arial"/>
                <w:noProof/>
                <w:sz w:val="24"/>
                <w:szCs w:val="24"/>
              </w:rPr>
              <w:t>1.2.2 Customers’ emissions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_Toc242967037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8</w:t>
            </w:r>
            <w:r w:rsidR="004A6C34" w:rsidRPr="004A6C34">
              <w:rPr>
                <w:rFonts w:cs="Arial"/>
                <w:noProof/>
                <w:webHidden/>
                <w:sz w:val="24"/>
                <w:szCs w:val="24"/>
              </w:rPr>
              <w:fldChar w:fldCharType="end"/>
            </w:r>
          </w:hyperlink>
        </w:p>
        <w:p w14:paraId="51AC3973"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38" w:history="1">
            <w:r w:rsidR="004A6C34" w:rsidRPr="004A6C34">
              <w:rPr>
                <w:rStyle w:val="Hyperlink"/>
                <w:rFonts w:cs="Arial"/>
                <w:noProof/>
                <w:sz w:val="24"/>
                <w:szCs w:val="24"/>
              </w:rPr>
              <w:t>1.2.3 Water and waste</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_Toc242967038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8</w:t>
            </w:r>
            <w:r w:rsidR="004A6C34" w:rsidRPr="004A6C34">
              <w:rPr>
                <w:rFonts w:cs="Arial"/>
                <w:noProof/>
                <w:webHidden/>
                <w:sz w:val="24"/>
                <w:szCs w:val="24"/>
              </w:rPr>
              <w:fldChar w:fldCharType="end"/>
            </w:r>
          </w:hyperlink>
        </w:p>
        <w:p w14:paraId="5724D8ED"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39" w:history="1">
            <w:r w:rsidR="004A6C34" w:rsidRPr="004A6C34">
              <w:rPr>
                <w:rStyle w:val="Hyperlink"/>
                <w:rFonts w:cs="Arial"/>
                <w:noProof/>
                <w:sz w:val="24"/>
                <w:szCs w:val="24"/>
              </w:rPr>
              <w:t>1.2.4 Resource scarcity</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_Toc242967039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9</w:t>
            </w:r>
            <w:r w:rsidR="004A6C34" w:rsidRPr="004A6C34">
              <w:rPr>
                <w:rFonts w:cs="Arial"/>
                <w:noProof/>
                <w:webHidden/>
                <w:sz w:val="24"/>
                <w:szCs w:val="24"/>
              </w:rPr>
              <w:fldChar w:fldCharType="end"/>
            </w:r>
          </w:hyperlink>
        </w:p>
        <w:p w14:paraId="3BA2E85F"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40" w:history="1">
            <w:r w:rsidR="004A6C34" w:rsidRPr="004A6C34">
              <w:rPr>
                <w:rStyle w:val="Hyperlink"/>
                <w:rFonts w:cs="Arial"/>
                <w:noProof/>
                <w:sz w:val="24"/>
                <w:szCs w:val="24"/>
              </w:rPr>
              <w:t>1.2.5 Evaluation</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_Toc242967040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9</w:t>
            </w:r>
            <w:r w:rsidR="004A6C34" w:rsidRPr="004A6C34">
              <w:rPr>
                <w:rFonts w:cs="Arial"/>
                <w:noProof/>
                <w:webHidden/>
                <w:sz w:val="24"/>
                <w:szCs w:val="24"/>
              </w:rPr>
              <w:fldChar w:fldCharType="end"/>
            </w:r>
          </w:hyperlink>
        </w:p>
        <w:p w14:paraId="73B94A0B"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1" w:history="1">
            <w:r w:rsidR="004A6C34" w:rsidRPr="004A6C34">
              <w:rPr>
                <w:rStyle w:val="Hyperlink"/>
                <w:rFonts w:cs="Arial"/>
                <w:noProof/>
                <w:sz w:val="24"/>
                <w:szCs w:val="24"/>
              </w:rPr>
              <w:t>1.3 Other macro-environment actors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_Toc242967041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9</w:t>
            </w:r>
            <w:r w:rsidR="004A6C34" w:rsidRPr="004A6C34">
              <w:rPr>
                <w:rFonts w:cs="Arial"/>
                <w:noProof/>
                <w:webHidden/>
                <w:sz w:val="24"/>
                <w:szCs w:val="24"/>
              </w:rPr>
              <w:fldChar w:fldCharType="end"/>
            </w:r>
          </w:hyperlink>
        </w:p>
        <w:p w14:paraId="265A776B"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42" w:history="1">
            <w:r w:rsidR="004A6C34" w:rsidRPr="004A6C34">
              <w:rPr>
                <w:rStyle w:val="Hyperlink"/>
                <w:rFonts w:cs="Arial"/>
                <w:noProof/>
                <w:sz w:val="24"/>
                <w:szCs w:val="24"/>
              </w:rPr>
              <w:t>1.3.1 Political-legal environment</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_Toc242967042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9</w:t>
            </w:r>
            <w:r w:rsidR="004A6C34" w:rsidRPr="004A6C34">
              <w:rPr>
                <w:rFonts w:cs="Arial"/>
                <w:noProof/>
                <w:webHidden/>
                <w:sz w:val="24"/>
                <w:szCs w:val="24"/>
              </w:rPr>
              <w:fldChar w:fldCharType="end"/>
            </w:r>
          </w:hyperlink>
        </w:p>
        <w:p w14:paraId="77A3FB3D" w14:textId="77777777" w:rsidR="004A6C34" w:rsidRPr="004A6C34" w:rsidRDefault="0037204D" w:rsidP="004A6C34">
          <w:pPr>
            <w:pStyle w:val="TOC3"/>
            <w:tabs>
              <w:tab w:val="right" w:leader="dot" w:pos="9628"/>
            </w:tabs>
            <w:spacing w:line="360" w:lineRule="auto"/>
            <w:rPr>
              <w:rFonts w:eastAsiaTheme="minorEastAsia" w:cs="Arial"/>
              <w:noProof/>
              <w:sz w:val="24"/>
              <w:szCs w:val="24"/>
            </w:rPr>
          </w:pPr>
          <w:hyperlink w:anchor="_Toc242967043" w:history="1">
            <w:r w:rsidR="004A6C34" w:rsidRPr="004A6C34">
              <w:rPr>
                <w:rStyle w:val="Hyperlink"/>
                <w:rFonts w:cs="Arial"/>
                <w:noProof/>
                <w:sz w:val="24"/>
                <w:szCs w:val="24"/>
              </w:rPr>
              <w:t>1.3.2 Economic environment</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_Toc242967043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10</w:t>
            </w:r>
            <w:r w:rsidR="004A6C34" w:rsidRPr="004A6C34">
              <w:rPr>
                <w:rFonts w:cs="Arial"/>
                <w:noProof/>
                <w:webHidden/>
                <w:sz w:val="24"/>
                <w:szCs w:val="24"/>
              </w:rPr>
              <w:fldChar w:fldCharType="end"/>
            </w:r>
          </w:hyperlink>
        </w:p>
        <w:p w14:paraId="68EA5C47"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4" w:history="1">
            <w:r w:rsidR="004A6C34" w:rsidRPr="004A6C34">
              <w:rPr>
                <w:rStyle w:val="Hyperlink"/>
                <w:rFonts w:cs="Arial"/>
                <w:noProof/>
                <w:sz w:val="24"/>
                <w:szCs w:val="24"/>
              </w:rPr>
              <w:t>1.4 External opportunities and threats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_Toc242967044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11</w:t>
            </w:r>
            <w:r w:rsidR="004A6C34" w:rsidRPr="004A6C34">
              <w:rPr>
                <w:rFonts w:cs="Arial"/>
                <w:noProof/>
                <w:webHidden/>
                <w:sz w:val="24"/>
                <w:szCs w:val="24"/>
              </w:rPr>
              <w:fldChar w:fldCharType="end"/>
            </w:r>
          </w:hyperlink>
        </w:p>
        <w:p w14:paraId="01E2F939" w14:textId="77777777" w:rsidR="004A6C34" w:rsidRPr="004A6C34" w:rsidRDefault="0037204D" w:rsidP="004A6C34">
          <w:pPr>
            <w:pStyle w:val="TOC1"/>
            <w:rPr>
              <w:rFonts w:eastAsiaTheme="minorEastAsia" w:cs="Arial"/>
              <w:noProof/>
              <w:sz w:val="24"/>
              <w:szCs w:val="24"/>
            </w:rPr>
          </w:pPr>
          <w:hyperlink w:anchor="_Toc242967045" w:history="1">
            <w:r w:rsidR="004A6C34" w:rsidRPr="004A6C34">
              <w:rPr>
                <w:rStyle w:val="Hyperlink"/>
                <w:rFonts w:cs="Arial"/>
                <w:noProof/>
                <w:sz w:val="24"/>
                <w:szCs w:val="24"/>
              </w:rPr>
              <w:t>Task 2: Strategic Growth and Competitive Positioning</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_Toc242967045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12</w:t>
            </w:r>
            <w:r w:rsidR="004A6C34" w:rsidRPr="004A6C34">
              <w:rPr>
                <w:rFonts w:cs="Arial"/>
                <w:noProof/>
                <w:webHidden/>
                <w:sz w:val="24"/>
                <w:szCs w:val="24"/>
              </w:rPr>
              <w:fldChar w:fldCharType="end"/>
            </w:r>
          </w:hyperlink>
        </w:p>
        <w:p w14:paraId="7B7FA29F"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6" w:history="1">
            <w:r w:rsidR="004A6C34" w:rsidRPr="004A6C34">
              <w:rPr>
                <w:rStyle w:val="Hyperlink"/>
                <w:rFonts w:cs="Arial"/>
                <w:noProof/>
                <w:sz w:val="24"/>
                <w:szCs w:val="24"/>
              </w:rPr>
              <w:t>2.1 Strategic options under the Ansoff Matrix</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_Toc242967046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12</w:t>
            </w:r>
            <w:r w:rsidR="004A6C34" w:rsidRPr="004A6C34">
              <w:rPr>
                <w:rFonts w:cs="Arial"/>
                <w:noProof/>
                <w:webHidden/>
                <w:sz w:val="24"/>
                <w:szCs w:val="24"/>
              </w:rPr>
              <w:fldChar w:fldCharType="end"/>
            </w:r>
          </w:hyperlink>
        </w:p>
        <w:p w14:paraId="6A8EA054"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7" w:history="1">
            <w:r w:rsidR="004A6C34" w:rsidRPr="004A6C34">
              <w:rPr>
                <w:rStyle w:val="Hyperlink"/>
                <w:rFonts w:cs="Arial"/>
                <w:noProof/>
                <w:sz w:val="24"/>
                <w:szCs w:val="24"/>
              </w:rPr>
              <w:t>2.2 Recommended growth strategy</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_Toc242967047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13</w:t>
            </w:r>
            <w:r w:rsidR="004A6C34" w:rsidRPr="004A6C34">
              <w:rPr>
                <w:rFonts w:cs="Arial"/>
                <w:noProof/>
                <w:webHidden/>
                <w:sz w:val="24"/>
                <w:szCs w:val="24"/>
              </w:rPr>
              <w:fldChar w:fldCharType="end"/>
            </w:r>
          </w:hyperlink>
        </w:p>
        <w:p w14:paraId="7CA99CF0"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8" w:history="1">
            <w:r w:rsidR="004A6C34" w:rsidRPr="004A6C34">
              <w:rPr>
                <w:rStyle w:val="Hyperlink"/>
                <w:rFonts w:cs="Arial"/>
                <w:noProof/>
                <w:sz w:val="24"/>
                <w:szCs w:val="24"/>
              </w:rPr>
              <w:t>2.3 Competitive positioning</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_Toc242967048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13</w:t>
            </w:r>
            <w:r w:rsidR="004A6C34" w:rsidRPr="004A6C34">
              <w:rPr>
                <w:rFonts w:cs="Arial"/>
                <w:noProof/>
                <w:webHidden/>
                <w:sz w:val="24"/>
                <w:szCs w:val="24"/>
              </w:rPr>
              <w:fldChar w:fldCharType="end"/>
            </w:r>
          </w:hyperlink>
        </w:p>
        <w:p w14:paraId="11F6AF02"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49" w:history="1">
            <w:r w:rsidR="004A6C34" w:rsidRPr="004A6C34">
              <w:rPr>
                <w:rStyle w:val="Hyperlink"/>
                <w:rFonts w:cs="Arial"/>
                <w:noProof/>
                <w:sz w:val="24"/>
                <w:szCs w:val="24"/>
              </w:rPr>
              <w:t>2.4 Implementation and measurement</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_Toc242967049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14</w:t>
            </w:r>
            <w:r w:rsidR="004A6C34" w:rsidRPr="004A6C34">
              <w:rPr>
                <w:rFonts w:cs="Arial"/>
                <w:noProof/>
                <w:webHidden/>
                <w:sz w:val="24"/>
                <w:szCs w:val="24"/>
              </w:rPr>
              <w:fldChar w:fldCharType="end"/>
            </w:r>
          </w:hyperlink>
        </w:p>
        <w:p w14:paraId="3FA4911B" w14:textId="77777777" w:rsidR="004A6C34" w:rsidRPr="004A6C34" w:rsidRDefault="0037204D" w:rsidP="004A6C34">
          <w:pPr>
            <w:pStyle w:val="TOC1"/>
            <w:rPr>
              <w:rFonts w:eastAsiaTheme="minorEastAsia" w:cs="Arial"/>
              <w:noProof/>
              <w:sz w:val="24"/>
              <w:szCs w:val="24"/>
            </w:rPr>
          </w:pPr>
          <w:hyperlink w:anchor="_Toc242967050" w:history="1">
            <w:r w:rsidR="004A6C34" w:rsidRPr="004A6C34">
              <w:rPr>
                <w:rStyle w:val="Hyperlink"/>
                <w:rFonts w:cs="Arial"/>
                <w:noProof/>
                <w:sz w:val="24"/>
                <w:szCs w:val="24"/>
              </w:rPr>
              <w:t>Task 3: Managerial and Professional Reflection</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_Toc242967050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16</w:t>
            </w:r>
            <w:r w:rsidR="004A6C34" w:rsidRPr="004A6C34">
              <w:rPr>
                <w:rFonts w:cs="Arial"/>
                <w:noProof/>
                <w:webHidden/>
                <w:sz w:val="24"/>
                <w:szCs w:val="24"/>
              </w:rPr>
              <w:fldChar w:fldCharType="end"/>
            </w:r>
          </w:hyperlink>
        </w:p>
        <w:p w14:paraId="275F872F"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51" w:history="1">
            <w:r w:rsidR="004A6C34" w:rsidRPr="004A6C34">
              <w:rPr>
                <w:rStyle w:val="Hyperlink"/>
                <w:rFonts w:cs="Arial"/>
                <w:noProof/>
                <w:sz w:val="24"/>
                <w:szCs w:val="24"/>
              </w:rPr>
              <w:t>3.1 What? Decisions taken</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_Toc242967051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16</w:t>
            </w:r>
            <w:r w:rsidR="004A6C34" w:rsidRPr="004A6C34">
              <w:rPr>
                <w:rFonts w:cs="Arial"/>
                <w:noProof/>
                <w:webHidden/>
                <w:sz w:val="24"/>
                <w:szCs w:val="24"/>
              </w:rPr>
              <w:fldChar w:fldCharType="end"/>
            </w:r>
          </w:hyperlink>
        </w:p>
        <w:p w14:paraId="16D1EFC4"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52" w:history="1">
            <w:r w:rsidR="004A6C34" w:rsidRPr="004A6C34">
              <w:rPr>
                <w:rStyle w:val="Hyperlink"/>
                <w:rFonts w:cs="Arial"/>
                <w:noProof/>
                <w:sz w:val="24"/>
                <w:szCs w:val="24"/>
              </w:rPr>
              <w:t>3.2 So what? Limitations and their significance</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_Toc242967052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17</w:t>
            </w:r>
            <w:r w:rsidR="004A6C34" w:rsidRPr="004A6C34">
              <w:rPr>
                <w:rFonts w:cs="Arial"/>
                <w:noProof/>
                <w:webHidden/>
                <w:sz w:val="24"/>
                <w:szCs w:val="24"/>
              </w:rPr>
              <w:fldChar w:fldCharType="end"/>
            </w:r>
          </w:hyperlink>
        </w:p>
        <w:p w14:paraId="0EE7F5F1"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53" w:history="1">
            <w:r w:rsidR="004A6C34" w:rsidRPr="004A6C34">
              <w:rPr>
                <w:rStyle w:val="Hyperlink"/>
                <w:rFonts w:cs="Arial"/>
                <w:noProof/>
                <w:sz w:val="24"/>
                <w:szCs w:val="24"/>
              </w:rPr>
              <w:t>3.3 Now what? Next steps before finalising</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_Toc242967053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17</w:t>
            </w:r>
            <w:r w:rsidR="004A6C34" w:rsidRPr="004A6C34">
              <w:rPr>
                <w:rFonts w:cs="Arial"/>
                <w:noProof/>
                <w:webHidden/>
                <w:sz w:val="24"/>
                <w:szCs w:val="24"/>
              </w:rPr>
              <w:fldChar w:fldCharType="end"/>
            </w:r>
          </w:hyperlink>
        </w:p>
        <w:p w14:paraId="73D2D9D1" w14:textId="77777777" w:rsidR="004A6C34" w:rsidRPr="004A6C34" w:rsidRDefault="0037204D" w:rsidP="004A6C34">
          <w:pPr>
            <w:pStyle w:val="TOC1"/>
            <w:rPr>
              <w:rFonts w:eastAsiaTheme="minorEastAsia" w:cs="Arial"/>
              <w:noProof/>
              <w:sz w:val="24"/>
              <w:szCs w:val="24"/>
            </w:rPr>
          </w:pPr>
          <w:hyperlink w:anchor="_Toc242967054" w:history="1">
            <w:r w:rsidR="004A6C34" w:rsidRPr="004A6C34">
              <w:rPr>
                <w:rStyle w:val="Hyperlink"/>
                <w:rFonts w:cs="Arial"/>
                <w:noProof/>
                <w:sz w:val="24"/>
                <w:szCs w:val="24"/>
              </w:rPr>
              <w:t>References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_Toc242967054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18</w:t>
            </w:r>
            <w:r w:rsidR="004A6C34" w:rsidRPr="004A6C34">
              <w:rPr>
                <w:rFonts w:cs="Arial"/>
                <w:noProof/>
                <w:webHidden/>
                <w:sz w:val="24"/>
                <w:szCs w:val="24"/>
              </w:rPr>
              <w:fldChar w:fldCharType="end"/>
            </w:r>
          </w:hyperlink>
        </w:p>
        <w:p w14:paraId="7AFB1AC3" w14:textId="77777777" w:rsidR="004A6C34" w:rsidRPr="004A6C34" w:rsidRDefault="0037204D" w:rsidP="004A6C34">
          <w:pPr>
            <w:pStyle w:val="TOC1"/>
            <w:rPr>
              <w:rFonts w:eastAsiaTheme="minorEastAsia" w:cs="Arial"/>
              <w:noProof/>
              <w:sz w:val="24"/>
              <w:szCs w:val="24"/>
            </w:rPr>
          </w:pPr>
          <w:hyperlink w:anchor="_Toc242967055" w:history="1">
            <w:r w:rsidR="004A6C34" w:rsidRPr="004A6C34">
              <w:rPr>
                <w:rStyle w:val="Hyperlink"/>
                <w:rFonts w:cs="Arial"/>
                <w:noProof/>
                <w:sz w:val="24"/>
                <w:szCs w:val="24"/>
              </w:rPr>
              <w:t>Appendices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_Toc242967055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23</w:t>
            </w:r>
            <w:r w:rsidR="004A6C34" w:rsidRPr="004A6C34">
              <w:rPr>
                <w:rFonts w:cs="Arial"/>
                <w:noProof/>
                <w:webHidden/>
                <w:sz w:val="24"/>
                <w:szCs w:val="24"/>
              </w:rPr>
              <w:fldChar w:fldCharType="end"/>
            </w:r>
          </w:hyperlink>
        </w:p>
        <w:p w14:paraId="0E3EA427"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56" w:history="1">
            <w:r w:rsidR="004A6C34" w:rsidRPr="004A6C34">
              <w:rPr>
                <w:rStyle w:val="Hyperlink"/>
                <w:rFonts w:cs="Arial"/>
                <w:noProof/>
                <w:sz w:val="24"/>
                <w:szCs w:val="24"/>
              </w:rPr>
              <w:t>Appendix A: Competitor profiles</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_Toc242967056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23</w:t>
            </w:r>
            <w:r w:rsidR="004A6C34" w:rsidRPr="004A6C34">
              <w:rPr>
                <w:rFonts w:cs="Arial"/>
                <w:noProof/>
                <w:webHidden/>
                <w:sz w:val="24"/>
                <w:szCs w:val="24"/>
              </w:rPr>
              <w:fldChar w:fldCharType="end"/>
            </w:r>
          </w:hyperlink>
        </w:p>
        <w:p w14:paraId="142C22A5" w14:textId="77777777" w:rsidR="004A6C34" w:rsidRPr="004A6C34" w:rsidRDefault="0037204D" w:rsidP="004A6C34">
          <w:pPr>
            <w:pStyle w:val="TOC2"/>
            <w:tabs>
              <w:tab w:val="right" w:leader="dot" w:pos="9628"/>
            </w:tabs>
            <w:spacing w:line="360" w:lineRule="auto"/>
            <w:rPr>
              <w:rFonts w:eastAsiaTheme="minorEastAsia" w:cs="Arial"/>
              <w:noProof/>
              <w:sz w:val="24"/>
              <w:szCs w:val="24"/>
            </w:rPr>
          </w:pPr>
          <w:hyperlink w:anchor="_Toc242967057" w:history="1">
            <w:r w:rsidR="004A6C34" w:rsidRPr="004A6C34">
              <w:rPr>
                <w:rStyle w:val="Hyperlink"/>
                <w:rFonts w:cs="Arial"/>
                <w:noProof/>
                <w:sz w:val="24"/>
                <w:szCs w:val="24"/>
              </w:rPr>
              <w:t>Appendix B: Further information required</w:t>
            </w:r>
            <w:r w:rsidR="004A6C34" w:rsidRPr="004A6C34">
              <w:rPr>
                <w:rFonts w:cs="Arial"/>
                <w:noProof/>
                <w:webHidden/>
                <w:sz w:val="24"/>
                <w:szCs w:val="24"/>
              </w:rPr>
              <w:tab/>
            </w:r>
            <w:r w:rsidR="004A6C34" w:rsidRPr="004A6C34">
              <w:rPr>
                <w:rFonts w:cs="Arial"/>
                <w:noProof/>
                <w:webHidden/>
                <w:sz w:val="24"/>
                <w:szCs w:val="24"/>
              </w:rPr>
              <w:fldChar w:fldCharType="begin"/>
            </w:r>
            <w:r w:rsidR="004A6C34" w:rsidRPr="004A6C34">
              <w:rPr>
                <w:rFonts w:cs="Arial"/>
                <w:noProof/>
                <w:webHidden/>
                <w:sz w:val="24"/>
                <w:szCs w:val="24"/>
              </w:rPr>
              <w:instrText xml:space="preserve"> PAGEREF _Toc242967057 \h </w:instrText>
            </w:r>
            <w:r w:rsidR="004A6C34" w:rsidRPr="004A6C34">
              <w:rPr>
                <w:rFonts w:cs="Arial"/>
                <w:noProof/>
                <w:webHidden/>
                <w:sz w:val="24"/>
                <w:szCs w:val="24"/>
              </w:rPr>
            </w:r>
            <w:r w:rsidR="004A6C34" w:rsidRPr="004A6C34">
              <w:rPr>
                <w:rFonts w:cs="Arial"/>
                <w:noProof/>
                <w:webHidden/>
                <w:sz w:val="24"/>
                <w:szCs w:val="24"/>
              </w:rPr>
              <w:fldChar w:fldCharType="separate"/>
            </w:r>
            <w:r w:rsidR="00AE46FC">
              <w:rPr>
                <w:rFonts w:cs="Arial"/>
                <w:noProof/>
                <w:webHidden/>
                <w:sz w:val="24"/>
                <w:szCs w:val="24"/>
              </w:rPr>
              <w:t>24</w:t>
            </w:r>
            <w:r w:rsidR="004A6C34" w:rsidRPr="004A6C34">
              <w:rPr>
                <w:rFonts w:cs="Arial"/>
                <w:noProof/>
                <w:webHidden/>
                <w:sz w:val="24"/>
                <w:szCs w:val="24"/>
              </w:rPr>
              <w:fldChar w:fldCharType="end"/>
            </w:r>
          </w:hyperlink>
        </w:p>
        <w:p w14:paraId="55815B72" w14:textId="7C39C970" w:rsidR="004A6C34" w:rsidRDefault="004A6C34" w:rsidP="004A6C34">
          <w:pPr>
            <w:spacing w:line="360" w:lineRule="auto"/>
          </w:pPr>
          <w:r w:rsidRPr="004A6C34">
            <w:rPr>
              <w:rFonts w:cs="Arial"/>
              <w:b/>
              <w:bCs/>
              <w:noProof/>
              <w:sz w:val="24"/>
              <w:szCs w:val="24"/>
            </w:rPr>
            <w:fldChar w:fldCharType="end"/>
          </w:r>
        </w:p>
      </w:sdtContent>
    </w:sdt>
    <w:p w14:paraId="7F29743B" w14:textId="77777777" w:rsidR="00D11A6D" w:rsidRPr="004A6C34" w:rsidRDefault="00B5054F" w:rsidP="00C7458D">
      <w:pPr>
        <w:pStyle w:val="Heading1"/>
        <w:pageBreakBefore/>
        <w:spacing w:line="360" w:lineRule="auto"/>
        <w:rPr>
          <w:sz w:val="28"/>
          <w:szCs w:val="28"/>
        </w:rPr>
      </w:pPr>
      <w:bookmarkStart w:id="1" w:name="_Toc242967031"/>
      <w:r w:rsidRPr="004A6C34">
        <w:rPr>
          <w:sz w:val="28"/>
          <w:szCs w:val="28"/>
        </w:rPr>
        <w:lastRenderedPageBreak/>
        <w:t>Figures and Tables</w:t>
      </w:r>
      <w:bookmarkEnd w:id="0"/>
      <w:bookmarkEnd w:id="1"/>
    </w:p>
    <w:p w14:paraId="7F29743C" w14:textId="5312A5A5" w:rsidR="00D11A6D" w:rsidRPr="004A6C34" w:rsidRDefault="00C7458D" w:rsidP="00C7458D">
      <w:pPr>
        <w:spacing w:after="100" w:line="360" w:lineRule="auto"/>
        <w:rPr>
          <w:rFonts w:cs="Arial"/>
          <w:sz w:val="28"/>
          <w:szCs w:val="28"/>
        </w:rPr>
      </w:pPr>
      <w:r w:rsidRPr="004A6C34">
        <w:rPr>
          <w:rFonts w:cs="Arial"/>
          <w:b/>
          <w:bCs/>
          <w:color w:val="008A9E"/>
          <w:sz w:val="28"/>
          <w:szCs w:val="28"/>
        </w:rPr>
        <w:t xml:space="preserve">List of </w:t>
      </w:r>
      <w:r w:rsidR="00B5054F" w:rsidRPr="004A6C34">
        <w:rPr>
          <w:rFonts w:cs="Arial"/>
          <w:b/>
          <w:bCs/>
          <w:color w:val="008A9E"/>
          <w:sz w:val="28"/>
          <w:szCs w:val="28"/>
        </w:rPr>
        <w:t>Figures</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8138"/>
      </w:tblGrid>
      <w:tr w:rsidR="00D11A6D" w:rsidRPr="00C7458D" w14:paraId="7F29743F" w14:textId="77777777" w:rsidTr="00B5054F">
        <w:trPr>
          <w:cantSplit/>
        </w:trPr>
        <w:tc>
          <w:tcPr>
            <w:tcW w:w="1500" w:type="dxa"/>
            <w:tcMar>
              <w:top w:w="50" w:type="dxa"/>
              <w:left w:w="80" w:type="dxa"/>
              <w:bottom w:w="50" w:type="dxa"/>
              <w:right w:w="80" w:type="dxa"/>
            </w:tcMar>
          </w:tcPr>
          <w:p w14:paraId="7F29743D"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1</w:t>
            </w:r>
          </w:p>
        </w:tc>
        <w:tc>
          <w:tcPr>
            <w:tcW w:w="8138" w:type="dxa"/>
            <w:tcMar>
              <w:top w:w="50" w:type="dxa"/>
              <w:left w:w="80" w:type="dxa"/>
              <w:bottom w:w="50" w:type="dxa"/>
              <w:right w:w="80" w:type="dxa"/>
            </w:tcMar>
          </w:tcPr>
          <w:p w14:paraId="7F29743E" w14:textId="77777777" w:rsidR="00D11A6D" w:rsidRPr="00C7458D" w:rsidRDefault="00B5054F" w:rsidP="00C7458D">
            <w:pPr>
              <w:spacing w:line="360" w:lineRule="auto"/>
              <w:rPr>
                <w:rFonts w:cs="Arial"/>
                <w:sz w:val="24"/>
                <w:szCs w:val="24"/>
              </w:rPr>
            </w:pPr>
            <w:r w:rsidRPr="00C7458D">
              <w:rPr>
                <w:rFonts w:cs="Arial"/>
                <w:sz w:val="24"/>
                <w:szCs w:val="24"/>
              </w:rPr>
              <w:t>BHP’s revenue and operating profit, FY2025 and FY2026</w:t>
            </w:r>
          </w:p>
        </w:tc>
      </w:tr>
      <w:tr w:rsidR="00D11A6D" w:rsidRPr="00C7458D" w14:paraId="7F297442" w14:textId="77777777" w:rsidTr="00B5054F">
        <w:trPr>
          <w:cantSplit/>
        </w:trPr>
        <w:tc>
          <w:tcPr>
            <w:tcW w:w="1500" w:type="dxa"/>
            <w:tcMar>
              <w:top w:w="50" w:type="dxa"/>
              <w:left w:w="80" w:type="dxa"/>
              <w:bottom w:w="50" w:type="dxa"/>
              <w:right w:w="80" w:type="dxa"/>
            </w:tcMar>
          </w:tcPr>
          <w:p w14:paraId="7F297440"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2</w:t>
            </w:r>
          </w:p>
        </w:tc>
        <w:tc>
          <w:tcPr>
            <w:tcW w:w="8138" w:type="dxa"/>
            <w:tcMar>
              <w:top w:w="50" w:type="dxa"/>
              <w:left w:w="80" w:type="dxa"/>
              <w:bottom w:w="50" w:type="dxa"/>
              <w:right w:w="80" w:type="dxa"/>
            </w:tcMar>
          </w:tcPr>
          <w:p w14:paraId="7F297441" w14:textId="77777777" w:rsidR="00D11A6D" w:rsidRPr="00C7458D" w:rsidRDefault="00B5054F" w:rsidP="00C7458D">
            <w:pPr>
              <w:spacing w:line="360" w:lineRule="auto"/>
              <w:rPr>
                <w:rFonts w:cs="Arial"/>
                <w:sz w:val="24"/>
                <w:szCs w:val="24"/>
              </w:rPr>
            </w:pPr>
            <w:r w:rsidRPr="00C7458D">
              <w:rPr>
                <w:rFonts w:cs="Arial"/>
                <w:sz w:val="24"/>
                <w:szCs w:val="24"/>
              </w:rPr>
              <w:t>What BHP produced in FY2025 and FY2026</w:t>
            </w:r>
          </w:p>
        </w:tc>
      </w:tr>
      <w:tr w:rsidR="00D11A6D" w:rsidRPr="00C7458D" w14:paraId="7F297445" w14:textId="77777777" w:rsidTr="00B5054F">
        <w:trPr>
          <w:cantSplit/>
        </w:trPr>
        <w:tc>
          <w:tcPr>
            <w:tcW w:w="1500" w:type="dxa"/>
            <w:tcMar>
              <w:top w:w="50" w:type="dxa"/>
              <w:left w:w="80" w:type="dxa"/>
              <w:bottom w:w="50" w:type="dxa"/>
              <w:right w:w="80" w:type="dxa"/>
            </w:tcMar>
          </w:tcPr>
          <w:p w14:paraId="7F297443"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3</w:t>
            </w:r>
          </w:p>
        </w:tc>
        <w:tc>
          <w:tcPr>
            <w:tcW w:w="8138" w:type="dxa"/>
            <w:tcMar>
              <w:top w:w="50" w:type="dxa"/>
              <w:left w:w="80" w:type="dxa"/>
              <w:bottom w:w="50" w:type="dxa"/>
              <w:right w:w="80" w:type="dxa"/>
            </w:tcMar>
          </w:tcPr>
          <w:p w14:paraId="7F297444" w14:textId="77777777" w:rsidR="00D11A6D" w:rsidRPr="00C7458D" w:rsidRDefault="00B5054F" w:rsidP="00C7458D">
            <w:pPr>
              <w:spacing w:line="360" w:lineRule="auto"/>
              <w:rPr>
                <w:rFonts w:cs="Arial"/>
                <w:sz w:val="24"/>
                <w:szCs w:val="24"/>
              </w:rPr>
            </w:pPr>
            <w:r w:rsidRPr="00C7458D">
              <w:rPr>
                <w:rFonts w:cs="Arial"/>
                <w:sz w:val="24"/>
                <w:szCs w:val="24"/>
              </w:rPr>
              <w:t xml:space="preserve">The </w:t>
            </w:r>
            <w:proofErr w:type="spellStart"/>
            <w:r w:rsidRPr="00C7458D">
              <w:rPr>
                <w:rFonts w:cs="Arial"/>
                <w:sz w:val="24"/>
                <w:szCs w:val="24"/>
              </w:rPr>
              <w:t>macroenvironment</w:t>
            </w:r>
            <w:proofErr w:type="spellEnd"/>
            <w:r w:rsidRPr="00C7458D">
              <w:rPr>
                <w:rFonts w:cs="Arial"/>
                <w:sz w:val="24"/>
                <w:szCs w:val="24"/>
              </w:rPr>
              <w:t xml:space="preserve"> actors, with the four analysed in this report highlighted</w:t>
            </w:r>
          </w:p>
        </w:tc>
      </w:tr>
      <w:tr w:rsidR="00D11A6D" w:rsidRPr="00C7458D" w14:paraId="7F297448" w14:textId="77777777" w:rsidTr="00B5054F">
        <w:trPr>
          <w:cantSplit/>
        </w:trPr>
        <w:tc>
          <w:tcPr>
            <w:tcW w:w="1500" w:type="dxa"/>
            <w:tcMar>
              <w:top w:w="50" w:type="dxa"/>
              <w:left w:w="80" w:type="dxa"/>
              <w:bottom w:w="50" w:type="dxa"/>
              <w:right w:w="80" w:type="dxa"/>
            </w:tcMar>
          </w:tcPr>
          <w:p w14:paraId="7F297446"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4</w:t>
            </w:r>
          </w:p>
        </w:tc>
        <w:tc>
          <w:tcPr>
            <w:tcW w:w="8138" w:type="dxa"/>
            <w:tcMar>
              <w:top w:w="50" w:type="dxa"/>
              <w:left w:w="80" w:type="dxa"/>
              <w:bottom w:w="50" w:type="dxa"/>
              <w:right w:w="80" w:type="dxa"/>
            </w:tcMar>
          </w:tcPr>
          <w:p w14:paraId="7F297447" w14:textId="77777777" w:rsidR="00D11A6D" w:rsidRPr="00C7458D" w:rsidRDefault="00B5054F" w:rsidP="00C7458D">
            <w:pPr>
              <w:spacing w:line="360" w:lineRule="auto"/>
              <w:rPr>
                <w:rFonts w:cs="Arial"/>
                <w:sz w:val="24"/>
                <w:szCs w:val="24"/>
              </w:rPr>
            </w:pPr>
            <w:r w:rsidRPr="00C7458D">
              <w:rPr>
                <w:rFonts w:cs="Arial"/>
                <w:sz w:val="24"/>
                <w:szCs w:val="24"/>
              </w:rPr>
              <w:t>Emissions from BHP’s own sites (Scope 1 and 2) compared with its 2030 target</w:t>
            </w:r>
          </w:p>
        </w:tc>
      </w:tr>
      <w:tr w:rsidR="00D11A6D" w:rsidRPr="00C7458D" w14:paraId="7F29744B" w14:textId="77777777" w:rsidTr="00B5054F">
        <w:trPr>
          <w:cantSplit/>
        </w:trPr>
        <w:tc>
          <w:tcPr>
            <w:tcW w:w="1500" w:type="dxa"/>
            <w:tcMar>
              <w:top w:w="50" w:type="dxa"/>
              <w:left w:w="80" w:type="dxa"/>
              <w:bottom w:w="50" w:type="dxa"/>
              <w:right w:w="80" w:type="dxa"/>
            </w:tcMar>
          </w:tcPr>
          <w:p w14:paraId="7F297449"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5</w:t>
            </w:r>
          </w:p>
        </w:tc>
        <w:tc>
          <w:tcPr>
            <w:tcW w:w="8138" w:type="dxa"/>
            <w:tcMar>
              <w:top w:w="50" w:type="dxa"/>
              <w:left w:w="80" w:type="dxa"/>
              <w:bottom w:w="50" w:type="dxa"/>
              <w:right w:w="80" w:type="dxa"/>
            </w:tcMar>
          </w:tcPr>
          <w:p w14:paraId="7F29744A" w14:textId="77777777" w:rsidR="00D11A6D" w:rsidRPr="00C7458D" w:rsidRDefault="00B5054F" w:rsidP="00C7458D">
            <w:pPr>
              <w:spacing w:line="360" w:lineRule="auto"/>
              <w:rPr>
                <w:rFonts w:cs="Arial"/>
                <w:sz w:val="24"/>
                <w:szCs w:val="24"/>
              </w:rPr>
            </w:pPr>
            <w:r w:rsidRPr="00C7458D">
              <w:rPr>
                <w:rFonts w:cs="Arial"/>
                <w:sz w:val="24"/>
                <w:szCs w:val="24"/>
              </w:rPr>
              <w:t>Where BHP’s total carbon footprint comes from, FY2026</w:t>
            </w:r>
          </w:p>
        </w:tc>
      </w:tr>
      <w:tr w:rsidR="00D11A6D" w:rsidRPr="00C7458D" w14:paraId="7F29744E" w14:textId="77777777" w:rsidTr="00B5054F">
        <w:trPr>
          <w:cantSplit/>
        </w:trPr>
        <w:tc>
          <w:tcPr>
            <w:tcW w:w="1500" w:type="dxa"/>
            <w:tcMar>
              <w:top w:w="50" w:type="dxa"/>
              <w:left w:w="80" w:type="dxa"/>
              <w:bottom w:w="50" w:type="dxa"/>
              <w:right w:w="80" w:type="dxa"/>
            </w:tcMar>
          </w:tcPr>
          <w:p w14:paraId="7F29744C"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6</w:t>
            </w:r>
          </w:p>
        </w:tc>
        <w:tc>
          <w:tcPr>
            <w:tcW w:w="8138" w:type="dxa"/>
            <w:tcMar>
              <w:top w:w="50" w:type="dxa"/>
              <w:left w:w="80" w:type="dxa"/>
              <w:bottom w:w="50" w:type="dxa"/>
              <w:right w:w="80" w:type="dxa"/>
            </w:tcMar>
          </w:tcPr>
          <w:p w14:paraId="7F29744D" w14:textId="77777777" w:rsidR="00D11A6D" w:rsidRPr="00C7458D" w:rsidRDefault="00B5054F" w:rsidP="00C7458D">
            <w:pPr>
              <w:spacing w:line="360" w:lineRule="auto"/>
              <w:rPr>
                <w:rFonts w:cs="Arial"/>
                <w:sz w:val="24"/>
                <w:szCs w:val="24"/>
              </w:rPr>
            </w:pPr>
            <w:r w:rsidRPr="00C7458D">
              <w:rPr>
                <w:rFonts w:cs="Arial"/>
                <w:sz w:val="24"/>
                <w:szCs w:val="24"/>
              </w:rPr>
              <w:t>Key political and l</w:t>
            </w:r>
            <w:r w:rsidR="006D7703" w:rsidRPr="00C7458D">
              <w:rPr>
                <w:rFonts w:cs="Arial"/>
                <w:sz w:val="24"/>
                <w:szCs w:val="24"/>
              </w:rPr>
              <w:t>egal events affecting BHP, 2023-</w:t>
            </w:r>
            <w:r w:rsidRPr="00C7458D">
              <w:rPr>
                <w:rFonts w:cs="Arial"/>
                <w:sz w:val="24"/>
                <w:szCs w:val="24"/>
              </w:rPr>
              <w:t>2027</w:t>
            </w:r>
          </w:p>
        </w:tc>
      </w:tr>
      <w:tr w:rsidR="00D11A6D" w:rsidRPr="00C7458D" w14:paraId="7F297451" w14:textId="77777777" w:rsidTr="00B5054F">
        <w:trPr>
          <w:cantSplit/>
        </w:trPr>
        <w:tc>
          <w:tcPr>
            <w:tcW w:w="1500" w:type="dxa"/>
            <w:tcMar>
              <w:top w:w="50" w:type="dxa"/>
              <w:left w:w="80" w:type="dxa"/>
              <w:bottom w:w="50" w:type="dxa"/>
              <w:right w:w="80" w:type="dxa"/>
            </w:tcMar>
          </w:tcPr>
          <w:p w14:paraId="7F29744F"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7</w:t>
            </w:r>
          </w:p>
        </w:tc>
        <w:tc>
          <w:tcPr>
            <w:tcW w:w="8138" w:type="dxa"/>
            <w:tcMar>
              <w:top w:w="50" w:type="dxa"/>
              <w:left w:w="80" w:type="dxa"/>
              <w:bottom w:w="50" w:type="dxa"/>
              <w:right w:w="80" w:type="dxa"/>
            </w:tcMar>
          </w:tcPr>
          <w:p w14:paraId="7F297450" w14:textId="77777777" w:rsidR="00D11A6D" w:rsidRPr="00C7458D" w:rsidRDefault="00B5054F" w:rsidP="00C7458D">
            <w:pPr>
              <w:spacing w:line="360" w:lineRule="auto"/>
              <w:rPr>
                <w:rFonts w:cs="Arial"/>
                <w:sz w:val="24"/>
                <w:szCs w:val="24"/>
              </w:rPr>
            </w:pPr>
            <w:r w:rsidRPr="00C7458D">
              <w:rPr>
                <w:rFonts w:cs="Arial"/>
                <w:sz w:val="24"/>
                <w:szCs w:val="24"/>
              </w:rPr>
              <w:t>Forecast world copper demand and supply</w:t>
            </w:r>
          </w:p>
        </w:tc>
      </w:tr>
      <w:tr w:rsidR="00D11A6D" w:rsidRPr="00C7458D" w14:paraId="7F297457" w14:textId="77777777" w:rsidTr="00B5054F">
        <w:trPr>
          <w:cantSplit/>
        </w:trPr>
        <w:tc>
          <w:tcPr>
            <w:tcW w:w="1500" w:type="dxa"/>
            <w:tcMar>
              <w:top w:w="50" w:type="dxa"/>
              <w:left w:w="80" w:type="dxa"/>
              <w:bottom w:w="50" w:type="dxa"/>
              <w:right w:w="80" w:type="dxa"/>
            </w:tcMar>
          </w:tcPr>
          <w:p w14:paraId="7F297455"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8</w:t>
            </w:r>
          </w:p>
        </w:tc>
        <w:tc>
          <w:tcPr>
            <w:tcW w:w="8138" w:type="dxa"/>
            <w:tcMar>
              <w:top w:w="50" w:type="dxa"/>
              <w:left w:w="80" w:type="dxa"/>
              <w:bottom w:w="50" w:type="dxa"/>
              <w:right w:w="80" w:type="dxa"/>
            </w:tcMar>
          </w:tcPr>
          <w:p w14:paraId="7F297456" w14:textId="77777777" w:rsidR="00D11A6D" w:rsidRPr="00C7458D" w:rsidRDefault="00B5054F" w:rsidP="00C7458D">
            <w:pPr>
              <w:spacing w:line="360" w:lineRule="auto"/>
              <w:rPr>
                <w:rFonts w:cs="Arial"/>
                <w:sz w:val="24"/>
                <w:szCs w:val="24"/>
              </w:rPr>
            </w:pPr>
            <w:r w:rsidRPr="00C7458D">
              <w:rPr>
                <w:rFonts w:cs="Arial"/>
                <w:sz w:val="24"/>
                <w:szCs w:val="24"/>
              </w:rPr>
              <w:t>BHP’s main threats and opportunities, by impact and timing</w:t>
            </w:r>
          </w:p>
        </w:tc>
      </w:tr>
      <w:tr w:rsidR="00D11A6D" w:rsidRPr="00C7458D" w14:paraId="7F29745A" w14:textId="77777777" w:rsidTr="00B5054F">
        <w:trPr>
          <w:cantSplit/>
        </w:trPr>
        <w:tc>
          <w:tcPr>
            <w:tcW w:w="1500" w:type="dxa"/>
            <w:tcMar>
              <w:top w:w="50" w:type="dxa"/>
              <w:left w:w="80" w:type="dxa"/>
              <w:bottom w:w="50" w:type="dxa"/>
              <w:right w:w="80" w:type="dxa"/>
            </w:tcMar>
          </w:tcPr>
          <w:p w14:paraId="7F297458"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9</w:t>
            </w:r>
          </w:p>
        </w:tc>
        <w:tc>
          <w:tcPr>
            <w:tcW w:w="8138" w:type="dxa"/>
            <w:tcMar>
              <w:top w:w="50" w:type="dxa"/>
              <w:left w:w="80" w:type="dxa"/>
              <w:bottom w:w="50" w:type="dxa"/>
              <w:right w:w="80" w:type="dxa"/>
            </w:tcMar>
          </w:tcPr>
          <w:p w14:paraId="7F297459" w14:textId="77777777" w:rsidR="00D11A6D" w:rsidRPr="00C7458D" w:rsidRDefault="00B5054F" w:rsidP="00C7458D">
            <w:pPr>
              <w:spacing w:line="360" w:lineRule="auto"/>
              <w:rPr>
                <w:rFonts w:cs="Arial"/>
                <w:sz w:val="24"/>
                <w:szCs w:val="24"/>
              </w:rPr>
            </w:pPr>
            <w:r w:rsidRPr="00C7458D">
              <w:rPr>
                <w:rFonts w:cs="Arial"/>
                <w:sz w:val="24"/>
                <w:szCs w:val="24"/>
              </w:rPr>
              <w:t xml:space="preserve">The </w:t>
            </w:r>
            <w:proofErr w:type="spellStart"/>
            <w:r w:rsidRPr="00C7458D">
              <w:rPr>
                <w:rFonts w:cs="Arial"/>
                <w:sz w:val="24"/>
                <w:szCs w:val="24"/>
              </w:rPr>
              <w:t>Ansoff</w:t>
            </w:r>
            <w:proofErr w:type="spellEnd"/>
            <w:r w:rsidRPr="00C7458D">
              <w:rPr>
                <w:rFonts w:cs="Arial"/>
                <w:sz w:val="24"/>
                <w:szCs w:val="24"/>
              </w:rPr>
              <w:t xml:space="preserve"> Matrix applied to BHP</w:t>
            </w:r>
          </w:p>
        </w:tc>
      </w:tr>
      <w:tr w:rsidR="00D11A6D" w:rsidRPr="00C7458D" w14:paraId="7F29745D" w14:textId="77777777" w:rsidTr="00B5054F">
        <w:trPr>
          <w:cantSplit/>
        </w:trPr>
        <w:tc>
          <w:tcPr>
            <w:tcW w:w="1500" w:type="dxa"/>
            <w:tcMar>
              <w:top w:w="50" w:type="dxa"/>
              <w:left w:w="80" w:type="dxa"/>
              <w:bottom w:w="50" w:type="dxa"/>
              <w:right w:w="80" w:type="dxa"/>
            </w:tcMar>
          </w:tcPr>
          <w:p w14:paraId="7F29745B"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10</w:t>
            </w:r>
          </w:p>
        </w:tc>
        <w:tc>
          <w:tcPr>
            <w:tcW w:w="8138" w:type="dxa"/>
            <w:tcMar>
              <w:top w:w="50" w:type="dxa"/>
              <w:left w:w="80" w:type="dxa"/>
              <w:bottom w:w="50" w:type="dxa"/>
              <w:right w:w="80" w:type="dxa"/>
            </w:tcMar>
          </w:tcPr>
          <w:p w14:paraId="7F29745C" w14:textId="77777777" w:rsidR="00D11A6D" w:rsidRPr="00C7458D" w:rsidRDefault="00B5054F" w:rsidP="00C7458D">
            <w:pPr>
              <w:spacing w:line="360" w:lineRule="auto"/>
              <w:rPr>
                <w:rFonts w:cs="Arial"/>
                <w:sz w:val="24"/>
                <w:szCs w:val="24"/>
              </w:rPr>
            </w:pPr>
            <w:r w:rsidRPr="00C7458D">
              <w:rPr>
                <w:rFonts w:cs="Arial"/>
                <w:sz w:val="24"/>
                <w:szCs w:val="24"/>
              </w:rPr>
              <w:t>How much BHP and its rivals plan to cut their own emissions by 2030</w:t>
            </w:r>
          </w:p>
        </w:tc>
      </w:tr>
      <w:tr w:rsidR="00D11A6D" w:rsidRPr="00C7458D" w14:paraId="7F297460" w14:textId="77777777" w:rsidTr="00B5054F">
        <w:trPr>
          <w:cantSplit/>
        </w:trPr>
        <w:tc>
          <w:tcPr>
            <w:tcW w:w="1500" w:type="dxa"/>
            <w:tcMar>
              <w:top w:w="50" w:type="dxa"/>
              <w:left w:w="80" w:type="dxa"/>
              <w:bottom w:w="50" w:type="dxa"/>
              <w:right w:w="80" w:type="dxa"/>
            </w:tcMar>
          </w:tcPr>
          <w:p w14:paraId="7F29745E"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11</w:t>
            </w:r>
          </w:p>
        </w:tc>
        <w:tc>
          <w:tcPr>
            <w:tcW w:w="8138" w:type="dxa"/>
            <w:tcMar>
              <w:top w:w="50" w:type="dxa"/>
              <w:left w:w="80" w:type="dxa"/>
              <w:bottom w:w="50" w:type="dxa"/>
              <w:right w:w="80" w:type="dxa"/>
            </w:tcMar>
          </w:tcPr>
          <w:p w14:paraId="7F29745F" w14:textId="77777777" w:rsidR="00D11A6D" w:rsidRPr="00C7458D" w:rsidRDefault="006D7703" w:rsidP="00C7458D">
            <w:pPr>
              <w:spacing w:line="360" w:lineRule="auto"/>
              <w:rPr>
                <w:rFonts w:cs="Arial"/>
                <w:sz w:val="24"/>
                <w:szCs w:val="24"/>
              </w:rPr>
            </w:pPr>
            <w:r w:rsidRPr="00C7458D">
              <w:rPr>
                <w:rFonts w:cs="Arial"/>
                <w:sz w:val="24"/>
                <w:szCs w:val="24"/>
              </w:rPr>
              <w:t>Step-by-step plan, 2027-</w:t>
            </w:r>
            <w:r w:rsidR="00B5054F" w:rsidRPr="00C7458D">
              <w:rPr>
                <w:rFonts w:cs="Arial"/>
                <w:sz w:val="24"/>
                <w:szCs w:val="24"/>
              </w:rPr>
              <w:t>2030</w:t>
            </w:r>
          </w:p>
        </w:tc>
      </w:tr>
      <w:tr w:rsidR="00D11A6D" w:rsidRPr="00C7458D" w14:paraId="4D3359CB" w14:textId="77777777" w:rsidTr="00B5054F">
        <w:trPr>
          <w:cantSplit/>
        </w:trPr>
        <w:tc>
          <w:tcPr>
            <w:tcW w:w="1500" w:type="dxa"/>
            <w:tcMar>
              <w:top w:w="50" w:type="dxa"/>
              <w:left w:w="80" w:type="dxa"/>
              <w:bottom w:w="50" w:type="dxa"/>
              <w:right w:w="80" w:type="dxa"/>
            </w:tcMar>
          </w:tcPr>
          <w:p w14:paraId="186A3274"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Figure 12</w:t>
            </w:r>
          </w:p>
        </w:tc>
        <w:tc>
          <w:tcPr>
            <w:tcW w:w="8138" w:type="dxa"/>
            <w:tcMar>
              <w:top w:w="50" w:type="dxa"/>
              <w:left w:w="80" w:type="dxa"/>
              <w:bottom w:w="50" w:type="dxa"/>
              <w:right w:w="80" w:type="dxa"/>
            </w:tcMar>
          </w:tcPr>
          <w:p w14:paraId="3D1E446A" w14:textId="77777777" w:rsidR="00D11A6D" w:rsidRPr="00C7458D" w:rsidRDefault="006D7703" w:rsidP="00C7458D">
            <w:pPr>
              <w:spacing w:line="360" w:lineRule="auto"/>
              <w:rPr>
                <w:rFonts w:cs="Arial"/>
                <w:sz w:val="24"/>
                <w:szCs w:val="24"/>
              </w:rPr>
            </w:pPr>
            <w:r w:rsidRPr="00C7458D">
              <w:rPr>
                <w:rFonts w:cs="Arial"/>
                <w:sz w:val="24"/>
                <w:szCs w:val="24"/>
              </w:rPr>
              <w:t>Reflection summary using Rolfe et al. (2001)</w:t>
            </w:r>
          </w:p>
        </w:tc>
      </w:tr>
    </w:tbl>
    <w:p w14:paraId="7F297461" w14:textId="2929A583" w:rsidR="00D11A6D" w:rsidRPr="004A6C34" w:rsidRDefault="00C7458D" w:rsidP="00C7458D">
      <w:pPr>
        <w:spacing w:before="300" w:after="100" w:line="360" w:lineRule="auto"/>
        <w:rPr>
          <w:rFonts w:cs="Arial"/>
          <w:sz w:val="28"/>
          <w:szCs w:val="28"/>
        </w:rPr>
      </w:pPr>
      <w:r w:rsidRPr="004A6C34">
        <w:rPr>
          <w:rFonts w:cs="Arial"/>
          <w:b/>
          <w:bCs/>
          <w:color w:val="008A9E"/>
          <w:sz w:val="28"/>
          <w:szCs w:val="28"/>
        </w:rPr>
        <w:t xml:space="preserve">List of </w:t>
      </w:r>
      <w:r w:rsidR="00B5054F" w:rsidRPr="004A6C34">
        <w:rPr>
          <w:rFonts w:cs="Arial"/>
          <w:b/>
          <w:bCs/>
          <w:color w:val="008A9E"/>
          <w:sz w:val="28"/>
          <w:szCs w:val="28"/>
        </w:rPr>
        <w:t>Tables</w:t>
      </w:r>
    </w:p>
    <w:tbl>
      <w:tblPr>
        <w:tblW w:w="96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8138"/>
      </w:tblGrid>
      <w:tr w:rsidR="00D11A6D" w:rsidRPr="00C7458D" w14:paraId="7F297464" w14:textId="77777777" w:rsidTr="00B5054F">
        <w:trPr>
          <w:cantSplit/>
        </w:trPr>
        <w:tc>
          <w:tcPr>
            <w:tcW w:w="1500" w:type="dxa"/>
            <w:tcMar>
              <w:top w:w="50" w:type="dxa"/>
              <w:left w:w="80" w:type="dxa"/>
              <w:bottom w:w="50" w:type="dxa"/>
              <w:right w:w="80" w:type="dxa"/>
            </w:tcMar>
          </w:tcPr>
          <w:p w14:paraId="7F297462"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Table 1</w:t>
            </w:r>
          </w:p>
        </w:tc>
        <w:tc>
          <w:tcPr>
            <w:tcW w:w="8138" w:type="dxa"/>
            <w:tcMar>
              <w:top w:w="50" w:type="dxa"/>
              <w:left w:w="80" w:type="dxa"/>
              <w:bottom w:w="50" w:type="dxa"/>
              <w:right w:w="80" w:type="dxa"/>
            </w:tcMar>
          </w:tcPr>
          <w:p w14:paraId="7F297463" w14:textId="77777777" w:rsidR="00D11A6D" w:rsidRPr="00C7458D" w:rsidRDefault="00B5054F" w:rsidP="00C7458D">
            <w:pPr>
              <w:spacing w:line="360" w:lineRule="auto"/>
              <w:rPr>
                <w:rFonts w:cs="Arial"/>
                <w:sz w:val="24"/>
                <w:szCs w:val="24"/>
              </w:rPr>
            </w:pPr>
            <w:r w:rsidRPr="00C7458D">
              <w:rPr>
                <w:rFonts w:cs="Arial"/>
                <w:sz w:val="24"/>
                <w:szCs w:val="24"/>
              </w:rPr>
              <w:t xml:space="preserve">Appraisal of BHP’s </w:t>
            </w:r>
            <w:proofErr w:type="spellStart"/>
            <w:r w:rsidRPr="00C7458D">
              <w:rPr>
                <w:rFonts w:cs="Arial"/>
                <w:sz w:val="24"/>
                <w:szCs w:val="24"/>
              </w:rPr>
              <w:t>Ansoff</w:t>
            </w:r>
            <w:proofErr w:type="spellEnd"/>
            <w:r w:rsidRPr="00C7458D">
              <w:rPr>
                <w:rFonts w:cs="Arial"/>
                <w:sz w:val="24"/>
                <w:szCs w:val="24"/>
              </w:rPr>
              <w:t xml:space="preserve"> growth options</w:t>
            </w:r>
          </w:p>
        </w:tc>
      </w:tr>
      <w:tr w:rsidR="00D11A6D" w:rsidRPr="00C7458D" w14:paraId="7F297467" w14:textId="77777777" w:rsidTr="00B5054F">
        <w:trPr>
          <w:cantSplit/>
        </w:trPr>
        <w:tc>
          <w:tcPr>
            <w:tcW w:w="1500" w:type="dxa"/>
            <w:tcMar>
              <w:top w:w="50" w:type="dxa"/>
              <w:left w:w="80" w:type="dxa"/>
              <w:bottom w:w="50" w:type="dxa"/>
              <w:right w:w="80" w:type="dxa"/>
            </w:tcMar>
          </w:tcPr>
          <w:p w14:paraId="7F297465"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Table 2</w:t>
            </w:r>
          </w:p>
        </w:tc>
        <w:tc>
          <w:tcPr>
            <w:tcW w:w="8138" w:type="dxa"/>
            <w:tcMar>
              <w:top w:w="50" w:type="dxa"/>
              <w:left w:w="80" w:type="dxa"/>
              <w:bottom w:w="50" w:type="dxa"/>
              <w:right w:w="80" w:type="dxa"/>
            </w:tcMar>
          </w:tcPr>
          <w:p w14:paraId="7F297466" w14:textId="77777777" w:rsidR="00D11A6D" w:rsidRPr="00C7458D" w:rsidRDefault="00B5054F" w:rsidP="00C7458D">
            <w:pPr>
              <w:spacing w:line="360" w:lineRule="auto"/>
              <w:rPr>
                <w:rFonts w:cs="Arial"/>
                <w:sz w:val="24"/>
                <w:szCs w:val="24"/>
              </w:rPr>
            </w:pPr>
            <w:r w:rsidRPr="00C7458D">
              <w:rPr>
                <w:rFonts w:cs="Arial"/>
                <w:sz w:val="24"/>
                <w:szCs w:val="24"/>
              </w:rPr>
              <w:t>Indicators for tracking the strategy</w:t>
            </w:r>
          </w:p>
        </w:tc>
      </w:tr>
      <w:tr w:rsidR="00D11A6D" w:rsidRPr="00C7458D" w14:paraId="7F29746A" w14:textId="77777777" w:rsidTr="00B5054F">
        <w:trPr>
          <w:cantSplit/>
        </w:trPr>
        <w:tc>
          <w:tcPr>
            <w:tcW w:w="1500" w:type="dxa"/>
            <w:tcMar>
              <w:top w:w="50" w:type="dxa"/>
              <w:left w:w="80" w:type="dxa"/>
              <w:bottom w:w="50" w:type="dxa"/>
              <w:right w:w="80" w:type="dxa"/>
            </w:tcMar>
          </w:tcPr>
          <w:p w14:paraId="7F297468"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Table A1</w:t>
            </w:r>
          </w:p>
        </w:tc>
        <w:tc>
          <w:tcPr>
            <w:tcW w:w="8138" w:type="dxa"/>
            <w:tcMar>
              <w:top w:w="50" w:type="dxa"/>
              <w:left w:w="80" w:type="dxa"/>
              <w:bottom w:w="50" w:type="dxa"/>
              <w:right w:w="80" w:type="dxa"/>
            </w:tcMar>
          </w:tcPr>
          <w:p w14:paraId="7F297469" w14:textId="77777777" w:rsidR="00D11A6D" w:rsidRPr="00C7458D" w:rsidRDefault="00B5054F" w:rsidP="00C7458D">
            <w:pPr>
              <w:spacing w:line="360" w:lineRule="auto"/>
              <w:rPr>
                <w:rFonts w:cs="Arial"/>
                <w:sz w:val="24"/>
                <w:szCs w:val="24"/>
              </w:rPr>
            </w:pPr>
            <w:r w:rsidRPr="00C7458D">
              <w:rPr>
                <w:rFonts w:cs="Arial"/>
                <w:sz w:val="24"/>
                <w:szCs w:val="24"/>
              </w:rPr>
              <w:t>Direct and indirect rivals and their low-carbon positions (Appendix A)</w:t>
            </w:r>
          </w:p>
        </w:tc>
      </w:tr>
      <w:tr w:rsidR="00D11A6D" w:rsidRPr="00C7458D" w14:paraId="7F29746D" w14:textId="77777777" w:rsidTr="00B5054F">
        <w:trPr>
          <w:cantSplit/>
        </w:trPr>
        <w:tc>
          <w:tcPr>
            <w:tcW w:w="1500" w:type="dxa"/>
            <w:tcMar>
              <w:top w:w="50" w:type="dxa"/>
              <w:left w:w="80" w:type="dxa"/>
              <w:bottom w:w="50" w:type="dxa"/>
              <w:right w:w="80" w:type="dxa"/>
            </w:tcMar>
          </w:tcPr>
          <w:p w14:paraId="7F29746B"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Table B1</w:t>
            </w:r>
          </w:p>
        </w:tc>
        <w:tc>
          <w:tcPr>
            <w:tcW w:w="8138" w:type="dxa"/>
            <w:tcMar>
              <w:top w:w="50" w:type="dxa"/>
              <w:left w:w="80" w:type="dxa"/>
              <w:bottom w:w="50" w:type="dxa"/>
              <w:right w:w="80" w:type="dxa"/>
            </w:tcMar>
          </w:tcPr>
          <w:p w14:paraId="7F29746C" w14:textId="77777777" w:rsidR="00D11A6D" w:rsidRPr="00C7458D" w:rsidRDefault="00B5054F" w:rsidP="00C7458D">
            <w:pPr>
              <w:spacing w:line="360" w:lineRule="auto"/>
              <w:rPr>
                <w:rFonts w:cs="Arial"/>
                <w:sz w:val="24"/>
                <w:szCs w:val="24"/>
              </w:rPr>
            </w:pPr>
            <w:r w:rsidRPr="00C7458D">
              <w:rPr>
                <w:rFonts w:cs="Arial"/>
                <w:sz w:val="24"/>
                <w:szCs w:val="24"/>
              </w:rPr>
              <w:t>Additional evidence needed before the recommendations are finalised (Appendix B)</w:t>
            </w:r>
          </w:p>
        </w:tc>
      </w:tr>
    </w:tbl>
    <w:p w14:paraId="7F29753E" w14:textId="77777777" w:rsidR="00D11A6D" w:rsidRPr="004A6C34" w:rsidRDefault="00B5054F" w:rsidP="00C7458D">
      <w:pPr>
        <w:pStyle w:val="Heading1"/>
        <w:pageBreakBefore/>
        <w:spacing w:line="360" w:lineRule="auto"/>
        <w:rPr>
          <w:sz w:val="28"/>
          <w:szCs w:val="28"/>
        </w:rPr>
      </w:pPr>
      <w:bookmarkStart w:id="2" w:name="_Toc242365176"/>
      <w:bookmarkStart w:id="3" w:name="_Toc242967032"/>
      <w:bookmarkEnd w:id="2"/>
      <w:r w:rsidRPr="004A6C34">
        <w:rPr>
          <w:sz w:val="28"/>
          <w:szCs w:val="28"/>
        </w:rPr>
        <w:lastRenderedPageBreak/>
        <w:t>List of Abbreviations</w:t>
      </w:r>
      <w:bookmarkEnd w:id="3"/>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7126"/>
      </w:tblGrid>
      <w:tr w:rsidR="00D11A6D" w:rsidRPr="00C7458D" w14:paraId="7F297541" w14:textId="77777777">
        <w:trPr>
          <w:tblHeader/>
        </w:trPr>
        <w:tc>
          <w:tcPr>
            <w:tcW w:w="1900" w:type="dxa"/>
            <w:tcBorders>
              <w:top w:val="single" w:sz="4" w:space="0" w:color="B9C5C7"/>
              <w:left w:val="single" w:sz="4" w:space="0" w:color="B9C5C7"/>
              <w:bottom w:val="single" w:sz="4" w:space="0" w:color="B9C5C7"/>
              <w:right w:val="single" w:sz="4" w:space="0" w:color="B9C5C7"/>
            </w:tcBorders>
            <w:shd w:val="clear" w:color="auto" w:fill="0B4F5C"/>
            <w:tcMar>
              <w:top w:w="50" w:type="dxa"/>
              <w:left w:w="100" w:type="dxa"/>
              <w:bottom w:w="50" w:type="dxa"/>
              <w:right w:w="100" w:type="dxa"/>
            </w:tcMar>
          </w:tcPr>
          <w:p w14:paraId="7F29753F"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Abbreviation</w:t>
            </w:r>
          </w:p>
        </w:tc>
        <w:tc>
          <w:tcPr>
            <w:tcW w:w="7126" w:type="dxa"/>
            <w:tcBorders>
              <w:top w:val="single" w:sz="4" w:space="0" w:color="B9C5C7"/>
              <w:left w:val="single" w:sz="4" w:space="0" w:color="B9C5C7"/>
              <w:bottom w:val="single" w:sz="4" w:space="0" w:color="B9C5C7"/>
              <w:right w:val="single" w:sz="4" w:space="0" w:color="B9C5C7"/>
            </w:tcBorders>
            <w:shd w:val="clear" w:color="auto" w:fill="0B4F5C"/>
            <w:tcMar>
              <w:top w:w="50" w:type="dxa"/>
              <w:left w:w="100" w:type="dxa"/>
              <w:bottom w:w="50" w:type="dxa"/>
              <w:right w:w="100" w:type="dxa"/>
            </w:tcMar>
          </w:tcPr>
          <w:p w14:paraId="7F297540"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Meaning</w:t>
            </w:r>
          </w:p>
        </w:tc>
      </w:tr>
      <w:tr w:rsidR="00D11A6D" w:rsidRPr="00C7458D" w14:paraId="7F297544"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2"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BHP</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3" w14:textId="77777777" w:rsidR="00D11A6D" w:rsidRPr="00C7458D" w:rsidRDefault="00B5054F" w:rsidP="00C7458D">
            <w:pPr>
              <w:spacing w:line="360" w:lineRule="auto"/>
              <w:rPr>
                <w:rFonts w:cs="Arial"/>
                <w:sz w:val="24"/>
                <w:szCs w:val="24"/>
              </w:rPr>
            </w:pPr>
            <w:r w:rsidRPr="00C7458D">
              <w:rPr>
                <w:rFonts w:cs="Arial"/>
                <w:color w:val="1A1A1A"/>
                <w:sz w:val="24"/>
                <w:szCs w:val="24"/>
              </w:rPr>
              <w:t>BHP Group Limited (formerly Broken Hill Proprietary)</w:t>
            </w:r>
          </w:p>
        </w:tc>
      </w:tr>
      <w:tr w:rsidR="00D11A6D" w:rsidRPr="00C7458D" w14:paraId="7F297547"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45"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CBAM</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46" w14:textId="77777777" w:rsidR="00D11A6D" w:rsidRPr="00C7458D" w:rsidRDefault="00B5054F" w:rsidP="00C7458D">
            <w:pPr>
              <w:spacing w:line="360" w:lineRule="auto"/>
              <w:rPr>
                <w:rFonts w:cs="Arial"/>
                <w:sz w:val="24"/>
                <w:szCs w:val="24"/>
              </w:rPr>
            </w:pPr>
            <w:r w:rsidRPr="00C7458D">
              <w:rPr>
                <w:rFonts w:cs="Arial"/>
                <w:color w:val="1A1A1A"/>
                <w:sz w:val="24"/>
                <w:szCs w:val="24"/>
              </w:rPr>
              <w:t>Carbon Border Adjustment Mechanism (EU)</w:t>
            </w:r>
          </w:p>
        </w:tc>
      </w:tr>
      <w:tr w:rsidR="00D11A6D" w:rsidRPr="00C7458D" w14:paraId="7F29754A"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8"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CMRG</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9" w14:textId="77777777" w:rsidR="00D11A6D" w:rsidRPr="00C7458D" w:rsidRDefault="00B5054F" w:rsidP="00C7458D">
            <w:pPr>
              <w:spacing w:line="360" w:lineRule="auto"/>
              <w:rPr>
                <w:rFonts w:cs="Arial"/>
                <w:sz w:val="24"/>
                <w:szCs w:val="24"/>
              </w:rPr>
            </w:pPr>
            <w:r w:rsidRPr="00C7458D">
              <w:rPr>
                <w:rFonts w:cs="Arial"/>
                <w:color w:val="1A1A1A"/>
                <w:sz w:val="24"/>
                <w:szCs w:val="24"/>
              </w:rPr>
              <w:t>China Mineral Resources Group (state iron ore buyer)</w:t>
            </w:r>
          </w:p>
        </w:tc>
      </w:tr>
      <w:tr w:rsidR="00D11A6D" w:rsidRPr="00C7458D" w14:paraId="7F29754D"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4B"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CO</w:t>
            </w:r>
            <w:r w:rsidRPr="00C7458D">
              <w:rPr>
                <w:rFonts w:ascii="Cambria Math" w:hAnsi="Cambria Math" w:cs="Cambria Math"/>
                <w:b/>
                <w:bCs/>
                <w:color w:val="0B4F5C"/>
                <w:sz w:val="24"/>
                <w:szCs w:val="24"/>
              </w:rPr>
              <w:t>₂</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4C" w14:textId="77777777" w:rsidR="00D11A6D" w:rsidRPr="00C7458D" w:rsidRDefault="00B5054F" w:rsidP="00C7458D">
            <w:pPr>
              <w:spacing w:line="360" w:lineRule="auto"/>
              <w:rPr>
                <w:rFonts w:cs="Arial"/>
                <w:sz w:val="24"/>
                <w:szCs w:val="24"/>
              </w:rPr>
            </w:pPr>
            <w:r w:rsidRPr="00C7458D">
              <w:rPr>
                <w:rFonts w:cs="Arial"/>
                <w:color w:val="1A1A1A"/>
                <w:sz w:val="24"/>
                <w:szCs w:val="24"/>
              </w:rPr>
              <w:t>Carbon dioxide</w:t>
            </w:r>
          </w:p>
        </w:tc>
      </w:tr>
      <w:tr w:rsidR="00D11A6D" w:rsidRPr="00C7458D" w14:paraId="7F297550"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E" w14:textId="77777777" w:rsidR="00D11A6D" w:rsidRPr="00C7458D" w:rsidRDefault="00B5054F" w:rsidP="00C7458D">
            <w:pPr>
              <w:spacing w:line="360" w:lineRule="auto"/>
              <w:rPr>
                <w:rFonts w:cs="Arial"/>
                <w:sz w:val="24"/>
                <w:szCs w:val="24"/>
              </w:rPr>
            </w:pPr>
            <w:proofErr w:type="spellStart"/>
            <w:r w:rsidRPr="00C7458D">
              <w:rPr>
                <w:rFonts w:cs="Arial"/>
                <w:b/>
                <w:bCs/>
                <w:color w:val="0B4F5C"/>
                <w:sz w:val="24"/>
                <w:szCs w:val="24"/>
              </w:rPr>
              <w:t>CO</w:t>
            </w:r>
            <w:r w:rsidRPr="00C7458D">
              <w:rPr>
                <w:rFonts w:ascii="Cambria Math" w:hAnsi="Cambria Math" w:cs="Cambria Math"/>
                <w:b/>
                <w:bCs/>
                <w:color w:val="0B4F5C"/>
                <w:sz w:val="24"/>
                <w:szCs w:val="24"/>
              </w:rPr>
              <w:t>₂</w:t>
            </w:r>
            <w:r w:rsidRPr="00C7458D">
              <w:rPr>
                <w:rFonts w:cs="Arial"/>
                <w:b/>
                <w:bCs/>
                <w:color w:val="0B4F5C"/>
                <w:sz w:val="24"/>
                <w:szCs w:val="24"/>
              </w:rPr>
              <w:t>e</w:t>
            </w:r>
            <w:proofErr w:type="spellEnd"/>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4F" w14:textId="77777777" w:rsidR="00D11A6D" w:rsidRPr="00C7458D" w:rsidRDefault="00B5054F" w:rsidP="00C7458D">
            <w:pPr>
              <w:spacing w:line="360" w:lineRule="auto"/>
              <w:rPr>
                <w:rFonts w:cs="Arial"/>
                <w:sz w:val="24"/>
                <w:szCs w:val="24"/>
              </w:rPr>
            </w:pPr>
            <w:r w:rsidRPr="00C7458D">
              <w:rPr>
                <w:rFonts w:cs="Arial"/>
                <w:color w:val="1A1A1A"/>
                <w:sz w:val="24"/>
                <w:szCs w:val="24"/>
              </w:rPr>
              <w:t>Carbon dioxide equivalent</w:t>
            </w:r>
          </w:p>
        </w:tc>
      </w:tr>
      <w:tr w:rsidR="00D11A6D" w:rsidRPr="00C7458D" w14:paraId="7F297553"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1"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EBITDA</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2" w14:textId="77777777" w:rsidR="00D11A6D" w:rsidRPr="00C7458D" w:rsidRDefault="00B5054F" w:rsidP="00C7458D">
            <w:pPr>
              <w:spacing w:line="360" w:lineRule="auto"/>
              <w:rPr>
                <w:rFonts w:cs="Arial"/>
                <w:sz w:val="24"/>
                <w:szCs w:val="24"/>
              </w:rPr>
            </w:pPr>
            <w:r w:rsidRPr="00C7458D">
              <w:rPr>
                <w:rFonts w:cs="Arial"/>
                <w:color w:val="1A1A1A"/>
                <w:sz w:val="24"/>
                <w:szCs w:val="24"/>
              </w:rPr>
              <w:t>Earnings before interest, tax, depreciation and amortisation</w:t>
            </w:r>
          </w:p>
        </w:tc>
      </w:tr>
      <w:tr w:rsidR="00D11A6D" w:rsidRPr="00C7458D" w14:paraId="7F297556"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54"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EU</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55" w14:textId="77777777" w:rsidR="00D11A6D" w:rsidRPr="00C7458D" w:rsidRDefault="00B5054F" w:rsidP="00C7458D">
            <w:pPr>
              <w:spacing w:line="360" w:lineRule="auto"/>
              <w:rPr>
                <w:rFonts w:cs="Arial"/>
                <w:sz w:val="24"/>
                <w:szCs w:val="24"/>
              </w:rPr>
            </w:pPr>
            <w:r w:rsidRPr="00C7458D">
              <w:rPr>
                <w:rFonts w:cs="Arial"/>
                <w:color w:val="1A1A1A"/>
                <w:sz w:val="24"/>
                <w:szCs w:val="24"/>
              </w:rPr>
              <w:t>European Union</w:t>
            </w:r>
          </w:p>
        </w:tc>
      </w:tr>
      <w:tr w:rsidR="00D11A6D" w:rsidRPr="00C7458D" w14:paraId="7F297559"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7"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EV</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8" w14:textId="77777777" w:rsidR="00D11A6D" w:rsidRPr="00C7458D" w:rsidRDefault="00B5054F" w:rsidP="00C7458D">
            <w:pPr>
              <w:spacing w:line="360" w:lineRule="auto"/>
              <w:rPr>
                <w:rFonts w:cs="Arial"/>
                <w:sz w:val="24"/>
                <w:szCs w:val="24"/>
              </w:rPr>
            </w:pPr>
            <w:r w:rsidRPr="00C7458D">
              <w:rPr>
                <w:rFonts w:cs="Arial"/>
                <w:color w:val="1A1A1A"/>
                <w:sz w:val="24"/>
                <w:szCs w:val="24"/>
              </w:rPr>
              <w:t>Electric vehicle</w:t>
            </w:r>
          </w:p>
        </w:tc>
      </w:tr>
      <w:tr w:rsidR="00D11A6D" w:rsidRPr="00C7458D" w14:paraId="7F29755C"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5A"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FY</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5B" w14:textId="77777777" w:rsidR="00D11A6D" w:rsidRPr="00C7458D" w:rsidRDefault="00B5054F" w:rsidP="00C7458D">
            <w:pPr>
              <w:spacing w:line="360" w:lineRule="auto"/>
              <w:rPr>
                <w:rFonts w:cs="Arial"/>
                <w:sz w:val="24"/>
                <w:szCs w:val="24"/>
              </w:rPr>
            </w:pPr>
            <w:r w:rsidRPr="00C7458D">
              <w:rPr>
                <w:rFonts w:cs="Arial"/>
                <w:color w:val="1A1A1A"/>
                <w:sz w:val="24"/>
                <w:szCs w:val="24"/>
              </w:rPr>
              <w:t>Financial year (BHP’s ends 30 June)</w:t>
            </w:r>
          </w:p>
        </w:tc>
      </w:tr>
      <w:tr w:rsidR="00D11A6D" w:rsidRPr="00C7458D" w14:paraId="7F29755F"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D"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ICMM</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5E" w14:textId="77777777" w:rsidR="00D11A6D" w:rsidRPr="00C7458D" w:rsidRDefault="00B5054F" w:rsidP="00C7458D">
            <w:pPr>
              <w:spacing w:line="360" w:lineRule="auto"/>
              <w:rPr>
                <w:rFonts w:cs="Arial"/>
                <w:sz w:val="24"/>
                <w:szCs w:val="24"/>
              </w:rPr>
            </w:pPr>
            <w:r w:rsidRPr="00C7458D">
              <w:rPr>
                <w:rFonts w:cs="Arial"/>
                <w:color w:val="1A1A1A"/>
                <w:sz w:val="24"/>
                <w:szCs w:val="24"/>
              </w:rPr>
              <w:t>International Council on Mining and Metals</w:t>
            </w:r>
          </w:p>
        </w:tc>
      </w:tr>
      <w:tr w:rsidR="00D11A6D" w:rsidRPr="00C7458D" w14:paraId="7F297562"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0"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IEA</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1" w14:textId="77777777" w:rsidR="00D11A6D" w:rsidRPr="00C7458D" w:rsidRDefault="00B5054F" w:rsidP="00C7458D">
            <w:pPr>
              <w:spacing w:line="360" w:lineRule="auto"/>
              <w:rPr>
                <w:rFonts w:cs="Arial"/>
                <w:sz w:val="24"/>
                <w:szCs w:val="24"/>
              </w:rPr>
            </w:pPr>
            <w:r w:rsidRPr="00C7458D">
              <w:rPr>
                <w:rFonts w:cs="Arial"/>
                <w:color w:val="1A1A1A"/>
                <w:sz w:val="24"/>
                <w:szCs w:val="24"/>
              </w:rPr>
              <w:t>International Energy Agency</w:t>
            </w:r>
          </w:p>
        </w:tc>
      </w:tr>
      <w:tr w:rsidR="00D11A6D" w:rsidRPr="00C7458D" w14:paraId="7F297565"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63"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IEEFA</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64" w14:textId="77777777" w:rsidR="00D11A6D" w:rsidRPr="00C7458D" w:rsidRDefault="00B5054F" w:rsidP="00C7458D">
            <w:pPr>
              <w:spacing w:line="360" w:lineRule="auto"/>
              <w:rPr>
                <w:rFonts w:cs="Arial"/>
                <w:sz w:val="24"/>
                <w:szCs w:val="24"/>
              </w:rPr>
            </w:pPr>
            <w:r w:rsidRPr="00C7458D">
              <w:rPr>
                <w:rFonts w:cs="Arial"/>
                <w:color w:val="1A1A1A"/>
                <w:sz w:val="24"/>
                <w:szCs w:val="24"/>
              </w:rPr>
              <w:t>Institute for Energy Economics and Financial Analysis</w:t>
            </w:r>
          </w:p>
        </w:tc>
      </w:tr>
      <w:tr w:rsidR="00D11A6D" w:rsidRPr="00C7458D" w14:paraId="7F297568"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6" w14:textId="77777777" w:rsidR="00D11A6D" w:rsidRPr="00C7458D" w:rsidRDefault="00B5054F" w:rsidP="00C7458D">
            <w:pPr>
              <w:spacing w:line="360" w:lineRule="auto"/>
              <w:rPr>
                <w:rFonts w:cs="Arial"/>
                <w:sz w:val="24"/>
                <w:szCs w:val="24"/>
              </w:rPr>
            </w:pPr>
            <w:proofErr w:type="spellStart"/>
            <w:r w:rsidRPr="00C7458D">
              <w:rPr>
                <w:rFonts w:cs="Arial"/>
                <w:b/>
                <w:bCs/>
                <w:color w:val="0B4F5C"/>
                <w:sz w:val="24"/>
                <w:szCs w:val="24"/>
              </w:rPr>
              <w:t>kt</w:t>
            </w:r>
            <w:proofErr w:type="spellEnd"/>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7" w14:textId="77777777" w:rsidR="00D11A6D" w:rsidRPr="00C7458D" w:rsidRDefault="00B5054F" w:rsidP="00C7458D">
            <w:pPr>
              <w:spacing w:line="360" w:lineRule="auto"/>
              <w:rPr>
                <w:rFonts w:cs="Arial"/>
                <w:sz w:val="24"/>
                <w:szCs w:val="24"/>
              </w:rPr>
            </w:pPr>
            <w:proofErr w:type="spellStart"/>
            <w:r w:rsidRPr="00C7458D">
              <w:rPr>
                <w:rFonts w:cs="Arial"/>
                <w:color w:val="1A1A1A"/>
                <w:sz w:val="24"/>
                <w:szCs w:val="24"/>
              </w:rPr>
              <w:t>Kilotonnes</w:t>
            </w:r>
            <w:proofErr w:type="spellEnd"/>
            <w:r w:rsidRPr="00C7458D">
              <w:rPr>
                <w:rFonts w:cs="Arial"/>
                <w:color w:val="1A1A1A"/>
                <w:sz w:val="24"/>
                <w:szCs w:val="24"/>
              </w:rPr>
              <w:t xml:space="preserve"> (thousands of tonnes)</w:t>
            </w:r>
          </w:p>
        </w:tc>
      </w:tr>
      <w:tr w:rsidR="00D11A6D" w:rsidRPr="00C7458D" w14:paraId="7F29756B"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69"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Mt</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6A" w14:textId="77777777" w:rsidR="00D11A6D" w:rsidRPr="00C7458D" w:rsidRDefault="00B5054F" w:rsidP="00C7458D">
            <w:pPr>
              <w:spacing w:line="360" w:lineRule="auto"/>
              <w:rPr>
                <w:rFonts w:cs="Arial"/>
                <w:sz w:val="24"/>
                <w:szCs w:val="24"/>
              </w:rPr>
            </w:pPr>
            <w:r w:rsidRPr="00C7458D">
              <w:rPr>
                <w:rFonts w:cs="Arial"/>
                <w:color w:val="1A1A1A"/>
                <w:sz w:val="24"/>
                <w:szCs w:val="24"/>
              </w:rPr>
              <w:t>Million tonnes</w:t>
            </w:r>
          </w:p>
        </w:tc>
      </w:tr>
      <w:tr w:rsidR="00D11A6D" w:rsidRPr="00C7458D" w14:paraId="7F29756E"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C"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R$</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6D" w14:textId="77777777" w:rsidR="00D11A6D" w:rsidRPr="00C7458D" w:rsidRDefault="00B5054F" w:rsidP="00C7458D">
            <w:pPr>
              <w:spacing w:line="360" w:lineRule="auto"/>
              <w:rPr>
                <w:rFonts w:cs="Arial"/>
                <w:sz w:val="24"/>
                <w:szCs w:val="24"/>
              </w:rPr>
            </w:pPr>
            <w:r w:rsidRPr="00C7458D">
              <w:rPr>
                <w:rFonts w:cs="Arial"/>
                <w:color w:val="1A1A1A"/>
                <w:sz w:val="24"/>
                <w:szCs w:val="24"/>
              </w:rPr>
              <w:t>Brazilian real</w:t>
            </w:r>
          </w:p>
        </w:tc>
      </w:tr>
      <w:tr w:rsidR="00D11A6D" w:rsidRPr="00C7458D" w14:paraId="7F29757D"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7B" w14:textId="77777777" w:rsidR="00D11A6D" w:rsidRPr="00C7458D" w:rsidRDefault="00B5054F" w:rsidP="00C7458D">
            <w:pPr>
              <w:spacing w:line="360" w:lineRule="auto"/>
              <w:rPr>
                <w:rFonts w:cs="Arial"/>
                <w:sz w:val="24"/>
                <w:szCs w:val="24"/>
              </w:rPr>
            </w:pPr>
            <w:proofErr w:type="spellStart"/>
            <w:r w:rsidRPr="00C7458D">
              <w:rPr>
                <w:rFonts w:cs="Arial"/>
                <w:b/>
                <w:bCs/>
                <w:color w:val="0B4F5C"/>
                <w:sz w:val="24"/>
                <w:szCs w:val="24"/>
              </w:rPr>
              <w:t>tCO</w:t>
            </w:r>
            <w:r w:rsidRPr="00C7458D">
              <w:rPr>
                <w:rFonts w:ascii="Cambria Math" w:hAnsi="Cambria Math" w:cs="Cambria Math"/>
                <w:b/>
                <w:bCs/>
                <w:color w:val="0B4F5C"/>
                <w:sz w:val="24"/>
                <w:szCs w:val="24"/>
              </w:rPr>
              <w:t>₂</w:t>
            </w:r>
            <w:r w:rsidRPr="00C7458D">
              <w:rPr>
                <w:rFonts w:cs="Arial"/>
                <w:b/>
                <w:bCs/>
                <w:color w:val="0B4F5C"/>
                <w:sz w:val="24"/>
                <w:szCs w:val="24"/>
              </w:rPr>
              <w:t>e</w:t>
            </w:r>
            <w:proofErr w:type="spellEnd"/>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7C" w14:textId="77777777" w:rsidR="00D11A6D" w:rsidRPr="00C7458D" w:rsidRDefault="00B5054F" w:rsidP="00C7458D">
            <w:pPr>
              <w:spacing w:line="360" w:lineRule="auto"/>
              <w:rPr>
                <w:rFonts w:cs="Arial"/>
                <w:sz w:val="24"/>
                <w:szCs w:val="24"/>
              </w:rPr>
            </w:pPr>
            <w:r w:rsidRPr="00C7458D">
              <w:rPr>
                <w:rFonts w:cs="Arial"/>
                <w:color w:val="1A1A1A"/>
                <w:sz w:val="24"/>
                <w:szCs w:val="24"/>
              </w:rPr>
              <w:t>Tonne(s) of CO</w:t>
            </w:r>
            <w:r w:rsidRPr="00C7458D">
              <w:rPr>
                <w:rFonts w:ascii="Cambria Math" w:hAnsi="Cambria Math" w:cs="Cambria Math"/>
                <w:color w:val="1A1A1A"/>
                <w:sz w:val="24"/>
                <w:szCs w:val="24"/>
              </w:rPr>
              <w:t>₂</w:t>
            </w:r>
            <w:r w:rsidRPr="00C7458D">
              <w:rPr>
                <w:rFonts w:cs="Arial"/>
                <w:color w:val="1A1A1A"/>
                <w:sz w:val="24"/>
                <w:szCs w:val="24"/>
              </w:rPr>
              <w:t xml:space="preserve"> equivalent</w:t>
            </w:r>
          </w:p>
        </w:tc>
      </w:tr>
      <w:tr w:rsidR="00D11A6D" w:rsidRPr="00C7458D" w14:paraId="7F297580"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7E"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UK</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7F" w14:textId="77777777" w:rsidR="00D11A6D" w:rsidRPr="00C7458D" w:rsidRDefault="00B5054F" w:rsidP="00C7458D">
            <w:pPr>
              <w:spacing w:line="360" w:lineRule="auto"/>
              <w:rPr>
                <w:rFonts w:cs="Arial"/>
                <w:sz w:val="24"/>
                <w:szCs w:val="24"/>
              </w:rPr>
            </w:pPr>
            <w:r w:rsidRPr="00C7458D">
              <w:rPr>
                <w:rFonts w:cs="Arial"/>
                <w:color w:val="1A1A1A"/>
                <w:sz w:val="24"/>
                <w:szCs w:val="24"/>
              </w:rPr>
              <w:t>United Kingdom</w:t>
            </w:r>
          </w:p>
        </w:tc>
      </w:tr>
      <w:tr w:rsidR="00D11A6D" w:rsidRPr="00C7458D" w14:paraId="7F297583"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81"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US</w:t>
            </w:r>
          </w:p>
        </w:tc>
        <w:tc>
          <w:tcPr>
            <w:tcW w:w="7126" w:type="dxa"/>
            <w:tcBorders>
              <w:top w:val="single" w:sz="4" w:space="0" w:color="B9C5C7"/>
              <w:left w:val="single" w:sz="4" w:space="0" w:color="B9C5C7"/>
              <w:bottom w:val="single" w:sz="4" w:space="0" w:color="B9C5C7"/>
              <w:right w:val="single" w:sz="4" w:space="0" w:color="B9C5C7"/>
            </w:tcBorders>
            <w:shd w:val="clear" w:color="auto" w:fill="EEF4F5"/>
            <w:tcMar>
              <w:top w:w="50" w:type="dxa"/>
              <w:left w:w="100" w:type="dxa"/>
              <w:bottom w:w="50" w:type="dxa"/>
              <w:right w:w="100" w:type="dxa"/>
            </w:tcMar>
          </w:tcPr>
          <w:p w14:paraId="7F297582" w14:textId="77777777" w:rsidR="00D11A6D" w:rsidRPr="00C7458D" w:rsidRDefault="00B5054F" w:rsidP="00C7458D">
            <w:pPr>
              <w:spacing w:line="360" w:lineRule="auto"/>
              <w:rPr>
                <w:rFonts w:cs="Arial"/>
                <w:sz w:val="24"/>
                <w:szCs w:val="24"/>
              </w:rPr>
            </w:pPr>
            <w:r w:rsidRPr="00C7458D">
              <w:rPr>
                <w:rFonts w:cs="Arial"/>
                <w:color w:val="1A1A1A"/>
                <w:sz w:val="24"/>
                <w:szCs w:val="24"/>
              </w:rPr>
              <w:t>United States</w:t>
            </w:r>
          </w:p>
        </w:tc>
      </w:tr>
      <w:tr w:rsidR="00D11A6D" w:rsidRPr="00C7458D" w14:paraId="7F297586"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84" w14:textId="77777777" w:rsidR="00D11A6D" w:rsidRPr="00C7458D" w:rsidRDefault="00B5054F" w:rsidP="00C7458D">
            <w:pPr>
              <w:spacing w:line="360" w:lineRule="auto"/>
              <w:rPr>
                <w:rFonts w:cs="Arial"/>
                <w:sz w:val="24"/>
                <w:szCs w:val="24"/>
              </w:rPr>
            </w:pPr>
            <w:r w:rsidRPr="00C7458D">
              <w:rPr>
                <w:rFonts w:cs="Arial"/>
                <w:b/>
                <w:bCs/>
                <w:color w:val="0B4F5C"/>
                <w:sz w:val="24"/>
                <w:szCs w:val="24"/>
              </w:rPr>
              <w:t>US$</w:t>
            </w:r>
          </w:p>
        </w:tc>
        <w:tc>
          <w:tcPr>
            <w:tcW w:w="7126" w:type="dxa"/>
            <w:tcBorders>
              <w:top w:val="single" w:sz="4" w:space="0" w:color="B9C5C7"/>
              <w:left w:val="single" w:sz="4" w:space="0" w:color="B9C5C7"/>
              <w:bottom w:val="single" w:sz="4" w:space="0" w:color="B9C5C7"/>
              <w:right w:val="single" w:sz="4" w:space="0" w:color="B9C5C7"/>
            </w:tcBorders>
            <w:shd w:val="clear" w:color="auto" w:fill="FFFFFF"/>
            <w:tcMar>
              <w:top w:w="50" w:type="dxa"/>
              <w:left w:w="100" w:type="dxa"/>
              <w:bottom w:w="50" w:type="dxa"/>
              <w:right w:w="100" w:type="dxa"/>
            </w:tcMar>
          </w:tcPr>
          <w:p w14:paraId="7F297585" w14:textId="77777777" w:rsidR="00D11A6D" w:rsidRPr="00C7458D" w:rsidRDefault="00B5054F" w:rsidP="00C7458D">
            <w:pPr>
              <w:spacing w:line="360" w:lineRule="auto"/>
              <w:rPr>
                <w:rFonts w:cs="Arial"/>
                <w:sz w:val="24"/>
                <w:szCs w:val="24"/>
              </w:rPr>
            </w:pPr>
            <w:r w:rsidRPr="00C7458D">
              <w:rPr>
                <w:rFonts w:cs="Arial"/>
                <w:color w:val="1A1A1A"/>
                <w:sz w:val="24"/>
                <w:szCs w:val="24"/>
              </w:rPr>
              <w:t>US dollar</w:t>
            </w:r>
          </w:p>
        </w:tc>
      </w:tr>
    </w:tbl>
    <w:p w14:paraId="7F29746F" w14:textId="77777777" w:rsidR="00D11A6D" w:rsidRPr="00C7458D" w:rsidRDefault="00B5054F" w:rsidP="00C7458D">
      <w:pPr>
        <w:pStyle w:val="Heading1"/>
        <w:pageBreakBefore/>
        <w:spacing w:line="360" w:lineRule="auto"/>
        <w:rPr>
          <w:sz w:val="28"/>
          <w:szCs w:val="28"/>
        </w:rPr>
      </w:pPr>
      <w:bookmarkStart w:id="4" w:name="_Toc242365150"/>
      <w:bookmarkStart w:id="5" w:name="_Toc242967033"/>
      <w:r w:rsidRPr="00C7458D">
        <w:rPr>
          <w:sz w:val="28"/>
          <w:szCs w:val="28"/>
        </w:rPr>
        <w:lastRenderedPageBreak/>
        <w:t>Task 1: Marketing Environment Analysis</w:t>
      </w:r>
      <w:bookmarkEnd w:id="4"/>
      <w:bookmarkEnd w:id="5"/>
    </w:p>
    <w:p w14:paraId="7F297470" w14:textId="77777777" w:rsidR="00D11A6D" w:rsidRPr="00C7458D" w:rsidRDefault="00B5054F" w:rsidP="00C7458D">
      <w:pPr>
        <w:pStyle w:val="Heading2"/>
        <w:keepNext/>
        <w:spacing w:line="360" w:lineRule="auto"/>
        <w:jc w:val="both"/>
        <w:rPr>
          <w:sz w:val="24"/>
          <w:szCs w:val="24"/>
        </w:rPr>
      </w:pPr>
      <w:bookmarkStart w:id="6" w:name="_Toc242365151"/>
      <w:bookmarkStart w:id="7" w:name="_Toc242967034"/>
      <w:r w:rsidRPr="00C7458D">
        <w:rPr>
          <w:sz w:val="24"/>
          <w:szCs w:val="24"/>
        </w:rPr>
        <w:t>1.1 Introduction and approach</w:t>
      </w:r>
      <w:bookmarkEnd w:id="6"/>
      <w:bookmarkEnd w:id="7"/>
    </w:p>
    <w:p w14:paraId="7F297471" w14:textId="011E1674" w:rsidR="00D11A6D" w:rsidRPr="00C7458D" w:rsidRDefault="00403214" w:rsidP="00C7458D">
      <w:pPr>
        <w:spacing w:after="200" w:line="360" w:lineRule="auto"/>
        <w:jc w:val="both"/>
        <w:rPr>
          <w:rFonts w:cs="Arial"/>
          <w:sz w:val="24"/>
          <w:szCs w:val="24"/>
        </w:rPr>
      </w:pPr>
      <w:r w:rsidRPr="00403214">
        <w:rPr>
          <w:sz w:val="24"/>
          <w:szCs w:val="24"/>
        </w:rPr>
        <w:t>Broken Hill Proprietary Company Limited</w:t>
      </w:r>
      <w:r w:rsidR="00E01180">
        <w:rPr>
          <w:sz w:val="24"/>
          <w:szCs w:val="24"/>
        </w:rPr>
        <w:t xml:space="preserve"> (BHP)</w:t>
      </w:r>
      <w:r w:rsidR="00B5054F" w:rsidRPr="00C7458D">
        <w:rPr>
          <w:rFonts w:cs="Arial"/>
          <w:sz w:val="24"/>
          <w:szCs w:val="24"/>
        </w:rPr>
        <w:t xml:space="preserve"> is a large Australian mining company producing copper, iron ore and steelmaking coal, and building a potash (fertiliser) mine in Canada. In the year to June 2026 (FY2026), it earned revenue of US$58.8 billion and underlying EBITDA (operating profit) of US$32.9 billion, over half (US$18 billion) from copper for the first time (Figure 1; BHP, 2026b). It produced 1,953 thousand tonnes (</w:t>
      </w:r>
      <w:proofErr w:type="spellStart"/>
      <w:r w:rsidR="00B5054F" w:rsidRPr="00C7458D">
        <w:rPr>
          <w:rFonts w:cs="Arial"/>
          <w:sz w:val="24"/>
          <w:szCs w:val="24"/>
        </w:rPr>
        <w:t>kt</w:t>
      </w:r>
      <w:proofErr w:type="spellEnd"/>
      <w:r w:rsidR="00B5054F" w:rsidRPr="00C7458D">
        <w:rPr>
          <w:rFonts w:cs="Arial"/>
          <w:sz w:val="24"/>
          <w:szCs w:val="24"/>
        </w:rPr>
        <w:t>) of copper, a record 265 million tonnes (Mt) of iron ore and 18.6 Mt of steelmaking coal (Figure 2; BHP, 2026a).</w:t>
      </w:r>
    </w:p>
    <w:p w14:paraId="7F297472"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8A" wp14:editId="7F29758B">
            <wp:extent cx="3360420" cy="2219277"/>
            <wp:effectExtent l="0" t="0" r="0" b="0"/>
            <wp:docPr id="2" name="f2" descr="BHP’s revenue and operating profit, FY2025 and FY2026" title="BHP’s revenue and operating profit, FY2025 and FY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371736" cy="2226750"/>
                    </a:xfrm>
                    <a:prstGeom prst="rect">
                      <a:avLst/>
                    </a:prstGeom>
                  </pic:spPr>
                </pic:pic>
              </a:graphicData>
            </a:graphic>
          </wp:inline>
        </w:drawing>
      </w:r>
    </w:p>
    <w:p w14:paraId="7F297473"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1: </w:t>
      </w:r>
      <w:r w:rsidRPr="00C7458D">
        <w:rPr>
          <w:rFonts w:cs="Arial"/>
          <w:i/>
          <w:iCs/>
          <w:color w:val="1D2A2D"/>
          <w:sz w:val="20"/>
          <w:szCs w:val="20"/>
        </w:rPr>
        <w:t>BHP’s revenue and operating profit, FY2025 and FY2026</w:t>
      </w:r>
    </w:p>
    <w:p w14:paraId="7F297474"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data from BHP (2026b).</w:t>
      </w:r>
    </w:p>
    <w:p w14:paraId="7F297475"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8C" wp14:editId="7F29758D">
            <wp:extent cx="4488180" cy="2388353"/>
            <wp:effectExtent l="0" t="0" r="7620" b="0"/>
            <wp:docPr id="3" name="f3" descr="What BHP produced in FY2025 and FY2026" title="What BHP produced in FY2025 and FY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504550" cy="2397064"/>
                    </a:xfrm>
                    <a:prstGeom prst="rect">
                      <a:avLst/>
                    </a:prstGeom>
                  </pic:spPr>
                </pic:pic>
              </a:graphicData>
            </a:graphic>
          </wp:inline>
        </w:drawing>
      </w:r>
    </w:p>
    <w:p w14:paraId="7F297476"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2: </w:t>
      </w:r>
      <w:r w:rsidRPr="00C7458D">
        <w:rPr>
          <w:rFonts w:cs="Arial"/>
          <w:i/>
          <w:iCs/>
          <w:color w:val="1D2A2D"/>
          <w:sz w:val="20"/>
          <w:szCs w:val="20"/>
        </w:rPr>
        <w:t>What BHP produced in FY2025 and FY2026</w:t>
      </w:r>
    </w:p>
    <w:p w14:paraId="7F297477"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 xml:space="preserve">Source: Self-made, data from BHP (2026a). Copper includes 100% of the </w:t>
      </w:r>
      <w:proofErr w:type="spellStart"/>
      <w:r w:rsidRPr="00C7458D">
        <w:rPr>
          <w:rFonts w:cs="Arial"/>
          <w:color w:val="4A5558"/>
          <w:sz w:val="20"/>
          <w:szCs w:val="20"/>
        </w:rPr>
        <w:t>Escondida</w:t>
      </w:r>
      <w:proofErr w:type="spellEnd"/>
      <w:r w:rsidRPr="00C7458D">
        <w:rPr>
          <w:rFonts w:cs="Arial"/>
          <w:color w:val="4A5558"/>
          <w:sz w:val="20"/>
          <w:szCs w:val="20"/>
        </w:rPr>
        <w:t xml:space="preserve"> mine.</w:t>
      </w:r>
    </w:p>
    <w:p w14:paraId="7F297478" w14:textId="77777777" w:rsidR="00D11A6D" w:rsidRPr="00C7458D" w:rsidRDefault="00B5054F" w:rsidP="00C7458D">
      <w:pPr>
        <w:spacing w:after="200" w:line="360" w:lineRule="auto"/>
        <w:jc w:val="both"/>
        <w:rPr>
          <w:rFonts w:cs="Arial"/>
          <w:sz w:val="24"/>
          <w:szCs w:val="24"/>
        </w:rPr>
      </w:pPr>
      <w:r w:rsidRPr="00C7458D">
        <w:rPr>
          <w:rFonts w:cs="Arial"/>
          <w:sz w:val="24"/>
          <w:szCs w:val="24"/>
        </w:rPr>
        <w:lastRenderedPageBreak/>
        <w:t>Emissions are grouped into three ‘scopes’: Scopes 1 and 2 come from a company’s own sites and purchased electricity; Scope 3 comes from the wider value chain, such as customers using its products. BHP’s sites emitted only 9.4 Mt of carbon dioxide equivalent (</w:t>
      </w:r>
      <w:proofErr w:type="spellStart"/>
      <w:r w:rsidRPr="00C7458D">
        <w:rPr>
          <w:rFonts w:cs="Arial"/>
          <w:sz w:val="24"/>
          <w:szCs w:val="24"/>
        </w:rPr>
        <w:t>CO</w:t>
      </w:r>
      <w:r w:rsidRPr="00C7458D">
        <w:rPr>
          <w:rFonts w:ascii="Cambria Math" w:hAnsi="Cambria Math" w:cs="Cambria Math"/>
          <w:sz w:val="24"/>
          <w:szCs w:val="24"/>
        </w:rPr>
        <w:t>₂</w:t>
      </w:r>
      <w:r w:rsidRPr="00C7458D">
        <w:rPr>
          <w:rFonts w:cs="Arial"/>
          <w:sz w:val="24"/>
          <w:szCs w:val="24"/>
        </w:rPr>
        <w:t>e</w:t>
      </w:r>
      <w:proofErr w:type="spellEnd"/>
      <w:r w:rsidRPr="00C7458D">
        <w:rPr>
          <w:rFonts w:cs="Arial"/>
          <w:sz w:val="24"/>
          <w:szCs w:val="24"/>
        </w:rPr>
        <w:t>) in FY2026, but Scope 3 emissions reached 429 Mt (Jennifer L., 2026), so lower-carbon products depend mostly on customers.</w:t>
      </w:r>
    </w:p>
    <w:p w14:paraId="7F297479" w14:textId="55728888" w:rsidR="00D11A6D" w:rsidRPr="00C7458D" w:rsidRDefault="00B5054F" w:rsidP="00C7458D">
      <w:pPr>
        <w:spacing w:after="200" w:line="360" w:lineRule="auto"/>
        <w:jc w:val="both"/>
        <w:rPr>
          <w:rFonts w:cs="Arial"/>
          <w:sz w:val="24"/>
          <w:szCs w:val="24"/>
        </w:rPr>
      </w:pPr>
      <w:r w:rsidRPr="00C7458D">
        <w:rPr>
          <w:rFonts w:cs="Arial"/>
          <w:sz w:val="24"/>
          <w:szCs w:val="24"/>
        </w:rPr>
        <w:t xml:space="preserve">Kotler et al. (2020; 2024) describe the </w:t>
      </w:r>
      <w:r w:rsidR="005058EB" w:rsidRPr="00C7458D">
        <w:rPr>
          <w:rFonts w:cs="Arial"/>
          <w:sz w:val="24"/>
          <w:szCs w:val="24"/>
        </w:rPr>
        <w:t>macro environment</w:t>
      </w:r>
      <w:r w:rsidRPr="00C7458D">
        <w:rPr>
          <w:rFonts w:cs="Arial"/>
          <w:sz w:val="24"/>
          <w:szCs w:val="24"/>
        </w:rPr>
        <w:t xml:space="preserve"> as six forces: demographic, economic, natural, technological, political and cultural. This report examines three (Figure 3): the </w:t>
      </w:r>
      <w:r w:rsidRPr="00C7458D">
        <w:rPr>
          <w:rFonts w:cs="Arial"/>
          <w:b/>
          <w:bCs/>
          <w:color w:val="0B4F5C"/>
          <w:sz w:val="24"/>
          <w:szCs w:val="24"/>
        </w:rPr>
        <w:t>natural environment</w:t>
      </w:r>
      <w:r w:rsidRPr="00C7458D">
        <w:rPr>
          <w:rFonts w:cs="Arial"/>
          <w:sz w:val="24"/>
          <w:szCs w:val="24"/>
        </w:rPr>
        <w:t xml:space="preserve"> (the required main focus), plus the </w:t>
      </w:r>
      <w:r w:rsidRPr="00C7458D">
        <w:rPr>
          <w:rFonts w:cs="Arial"/>
          <w:b/>
          <w:bCs/>
          <w:color w:val="0B4F5C"/>
          <w:sz w:val="24"/>
          <w:szCs w:val="24"/>
        </w:rPr>
        <w:t>political-legal</w:t>
      </w:r>
      <w:r w:rsidRPr="00C7458D">
        <w:rPr>
          <w:rFonts w:cs="Arial"/>
          <w:sz w:val="24"/>
          <w:szCs w:val="24"/>
        </w:rPr>
        <w:t xml:space="preserve"> and </w:t>
      </w:r>
      <w:r w:rsidRPr="00C7458D">
        <w:rPr>
          <w:rFonts w:cs="Arial"/>
          <w:b/>
          <w:bCs/>
          <w:color w:val="0B4F5C"/>
          <w:sz w:val="24"/>
          <w:szCs w:val="24"/>
        </w:rPr>
        <w:t>economic</w:t>
      </w:r>
      <w:r w:rsidRPr="00C7458D">
        <w:rPr>
          <w:rFonts w:cs="Arial"/>
          <w:sz w:val="24"/>
          <w:szCs w:val="24"/>
        </w:rPr>
        <w:t xml:space="preserve"> environments, which affect BHP most directly.</w:t>
      </w:r>
    </w:p>
    <w:p w14:paraId="7F29747A"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8E" wp14:editId="7F29758F">
            <wp:extent cx="3821430" cy="2227812"/>
            <wp:effectExtent l="0" t="0" r="7620" b="1270"/>
            <wp:docPr id="4" name="f1" descr="The macroenvironment actors, with the four analysed in this report highlighted" title="The macroenvironment actors, with the four analysed in this report highligh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828395" cy="2231872"/>
                    </a:xfrm>
                    <a:prstGeom prst="rect">
                      <a:avLst/>
                    </a:prstGeom>
                  </pic:spPr>
                </pic:pic>
              </a:graphicData>
            </a:graphic>
          </wp:inline>
        </w:drawing>
      </w:r>
    </w:p>
    <w:p w14:paraId="7F29747B" w14:textId="7F491393"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3: </w:t>
      </w:r>
      <w:r w:rsidRPr="00C7458D">
        <w:rPr>
          <w:rFonts w:cs="Arial"/>
          <w:i/>
          <w:iCs/>
          <w:color w:val="1D2A2D"/>
          <w:sz w:val="20"/>
          <w:szCs w:val="20"/>
        </w:rPr>
        <w:t xml:space="preserve">The </w:t>
      </w:r>
      <w:r w:rsidR="005058EB" w:rsidRPr="00C7458D">
        <w:rPr>
          <w:rFonts w:cs="Arial"/>
          <w:i/>
          <w:iCs/>
          <w:color w:val="1D2A2D"/>
          <w:sz w:val="20"/>
          <w:szCs w:val="20"/>
        </w:rPr>
        <w:t>macro environment</w:t>
      </w:r>
      <w:r w:rsidRPr="00C7458D">
        <w:rPr>
          <w:rFonts w:cs="Arial"/>
          <w:i/>
          <w:iCs/>
          <w:color w:val="1D2A2D"/>
          <w:sz w:val="20"/>
          <w:szCs w:val="20"/>
        </w:rPr>
        <w:t xml:space="preserve"> actors, with the three analysed highlighted</w:t>
      </w:r>
    </w:p>
    <w:p w14:paraId="7F29747C"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based on Kotler et al. (2020; 2024).</w:t>
      </w:r>
    </w:p>
    <w:p w14:paraId="7F29747D" w14:textId="77777777" w:rsidR="00D11A6D" w:rsidRPr="00C7458D" w:rsidRDefault="00B5054F" w:rsidP="00C7458D">
      <w:pPr>
        <w:pStyle w:val="Heading2"/>
        <w:keepNext/>
        <w:spacing w:line="360" w:lineRule="auto"/>
        <w:jc w:val="both"/>
        <w:rPr>
          <w:sz w:val="24"/>
          <w:szCs w:val="24"/>
        </w:rPr>
      </w:pPr>
      <w:bookmarkStart w:id="8" w:name="_Toc242365152"/>
      <w:bookmarkStart w:id="9" w:name="_Toc242967035"/>
      <w:r w:rsidRPr="00C7458D">
        <w:rPr>
          <w:sz w:val="24"/>
          <w:szCs w:val="24"/>
        </w:rPr>
        <w:t>1.2 Natural environment (primary actor)</w:t>
      </w:r>
      <w:bookmarkEnd w:id="8"/>
      <w:bookmarkEnd w:id="9"/>
    </w:p>
    <w:p w14:paraId="7F29747E" w14:textId="77777777" w:rsidR="00D11A6D" w:rsidRPr="00C7458D" w:rsidRDefault="006D7703" w:rsidP="00C7458D">
      <w:pPr>
        <w:spacing w:after="200" w:line="360" w:lineRule="auto"/>
        <w:jc w:val="both"/>
        <w:rPr>
          <w:rFonts w:cs="Arial"/>
          <w:sz w:val="24"/>
          <w:szCs w:val="24"/>
        </w:rPr>
      </w:pPr>
      <w:r w:rsidRPr="00C7458D">
        <w:rPr>
          <w:rFonts w:cs="Arial"/>
          <w:sz w:val="24"/>
          <w:szCs w:val="24"/>
        </w:rPr>
        <w:t>Kotler et al. (2024, pp. 115-117) argue that raw-material shortages, pollution and tougher regulation increasingly shape business decisions. For BHP, four issues stand out.</w:t>
      </w:r>
    </w:p>
    <w:p w14:paraId="7F29747F" w14:textId="77777777" w:rsidR="00D11A6D" w:rsidRPr="00C7458D" w:rsidRDefault="00B5054F" w:rsidP="00C7458D">
      <w:pPr>
        <w:pStyle w:val="Heading3"/>
        <w:keepNext/>
        <w:spacing w:line="360" w:lineRule="auto"/>
        <w:jc w:val="both"/>
        <w:rPr>
          <w:sz w:val="24"/>
          <w:szCs w:val="24"/>
        </w:rPr>
      </w:pPr>
      <w:bookmarkStart w:id="10" w:name="_Toc242365153"/>
      <w:bookmarkStart w:id="11" w:name="_Toc242967036"/>
      <w:r w:rsidRPr="00C7458D">
        <w:rPr>
          <w:sz w:val="24"/>
          <w:szCs w:val="24"/>
        </w:rPr>
        <w:t>1.2.1 BHP’s own emissions</w:t>
      </w:r>
      <w:bookmarkEnd w:id="10"/>
      <w:bookmarkEnd w:id="11"/>
    </w:p>
    <w:p w14:paraId="7F297480" w14:textId="77777777" w:rsidR="00D11A6D" w:rsidRPr="00C7458D" w:rsidRDefault="00B5054F" w:rsidP="00C7458D">
      <w:pPr>
        <w:spacing w:after="200" w:line="360" w:lineRule="auto"/>
        <w:jc w:val="both"/>
        <w:rPr>
          <w:rFonts w:cs="Arial"/>
          <w:sz w:val="24"/>
          <w:szCs w:val="24"/>
        </w:rPr>
      </w:pPr>
      <w:r w:rsidRPr="00C7458D">
        <w:rPr>
          <w:rFonts w:cs="Arial"/>
          <w:sz w:val="24"/>
          <w:szCs w:val="24"/>
        </w:rPr>
        <w:t>BHP cut these by a third, from 14.1 Mt in FY2020 to 9.4 Mt in FY2026, beating its 2030 target of 30% (Figure 4; BHP, 2026b; Jennifer L., 2026). Cleaner electricity drove most progress: 80% of site power is now renewable (BHP, 2026b). Diesel is the hardest part left: BHP burns about 1,850 million litres a year, and battery-powered haul trucks are not expected until the late 2020s (BHP, 2024a).</w:t>
      </w:r>
    </w:p>
    <w:p w14:paraId="7F297481"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lastRenderedPageBreak/>
        <w:drawing>
          <wp:inline distT="0" distB="0" distL="0" distR="0" wp14:anchorId="7F297590" wp14:editId="7F297591">
            <wp:extent cx="3272790" cy="2050948"/>
            <wp:effectExtent l="0" t="0" r="3810" b="6985"/>
            <wp:docPr id="5" name="f4" descr="Emissions from BHP’s own sites (Scope 1 and 2) compared with its 2030 target" title="Emissions from BHP’s own sites (Scope 1 and 2) compared with its 2030 targ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3291251" cy="2062517"/>
                    </a:xfrm>
                    <a:prstGeom prst="rect">
                      <a:avLst/>
                    </a:prstGeom>
                  </pic:spPr>
                </pic:pic>
              </a:graphicData>
            </a:graphic>
          </wp:inline>
        </w:drawing>
      </w:r>
    </w:p>
    <w:p w14:paraId="7F297482"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4: </w:t>
      </w:r>
      <w:r w:rsidRPr="00C7458D">
        <w:rPr>
          <w:rFonts w:cs="Arial"/>
          <w:i/>
          <w:iCs/>
          <w:color w:val="1D2A2D"/>
          <w:sz w:val="20"/>
          <w:szCs w:val="20"/>
        </w:rPr>
        <w:t>Emissions from BHP’s own sites (Scope 1 and 2) compared with its 2030 target</w:t>
      </w:r>
    </w:p>
    <w:p w14:paraId="7F297483"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data from BHP (2026b) and Jennifer L. (2026).</w:t>
      </w:r>
    </w:p>
    <w:p w14:paraId="7F297484" w14:textId="77777777" w:rsidR="00D11A6D" w:rsidRPr="00C7458D" w:rsidRDefault="00B5054F" w:rsidP="00C7458D">
      <w:pPr>
        <w:pStyle w:val="Heading3"/>
        <w:keepNext/>
        <w:spacing w:line="360" w:lineRule="auto"/>
        <w:jc w:val="both"/>
        <w:rPr>
          <w:sz w:val="24"/>
          <w:szCs w:val="24"/>
        </w:rPr>
      </w:pPr>
      <w:bookmarkStart w:id="12" w:name="_Toc242365154"/>
      <w:bookmarkStart w:id="13" w:name="_Toc242967037"/>
      <w:r w:rsidRPr="00C7458D">
        <w:rPr>
          <w:sz w:val="24"/>
          <w:szCs w:val="24"/>
        </w:rPr>
        <w:t>1.2.2 Customers’ emissions</w:t>
      </w:r>
      <w:bookmarkEnd w:id="12"/>
      <w:bookmarkEnd w:id="13"/>
    </w:p>
    <w:p w14:paraId="7F297485" w14:textId="63138291" w:rsidR="00D11A6D" w:rsidRPr="00C7458D" w:rsidRDefault="00B5054F" w:rsidP="00C7458D">
      <w:pPr>
        <w:spacing w:after="200" w:line="360" w:lineRule="auto"/>
        <w:jc w:val="both"/>
        <w:rPr>
          <w:rFonts w:cs="Arial"/>
          <w:sz w:val="24"/>
          <w:szCs w:val="24"/>
        </w:rPr>
      </w:pPr>
      <w:r w:rsidRPr="00C7458D">
        <w:rPr>
          <w:rFonts w:cs="Arial"/>
          <w:sz w:val="24"/>
          <w:szCs w:val="24"/>
        </w:rPr>
        <w:t xml:space="preserve">This is the bigger problem. BHP’s Scope 3 emissions are about 46 times its own, and 85% come from customers turning its iron ore and coal into steel (Figure 5; Jennifer L., 2026). </w:t>
      </w:r>
      <w:r w:rsidR="005058EB" w:rsidRPr="00C7458D">
        <w:rPr>
          <w:rFonts w:cs="Arial"/>
          <w:sz w:val="24"/>
          <w:szCs w:val="24"/>
        </w:rPr>
        <w:t>Critics’</w:t>
      </w:r>
      <w:r w:rsidRPr="00C7458D">
        <w:rPr>
          <w:rFonts w:cs="Arial"/>
          <w:sz w:val="24"/>
          <w:szCs w:val="24"/>
        </w:rPr>
        <w:t xml:space="preserve"> note that BHP mainly sells </w:t>
      </w:r>
      <w:proofErr w:type="spellStart"/>
      <w:r w:rsidRPr="00C7458D">
        <w:rPr>
          <w:rFonts w:cs="Arial"/>
          <w:sz w:val="24"/>
          <w:szCs w:val="24"/>
        </w:rPr>
        <w:t>or</w:t>
      </w:r>
      <w:bookmarkStart w:id="14" w:name="_GoBack"/>
      <w:bookmarkEnd w:id="14"/>
      <w:r w:rsidRPr="00C7458D">
        <w:rPr>
          <w:rFonts w:cs="Arial"/>
          <w:sz w:val="24"/>
          <w:szCs w:val="24"/>
        </w:rPr>
        <w:t>e</w:t>
      </w:r>
      <w:proofErr w:type="spellEnd"/>
      <w:r w:rsidRPr="00C7458D">
        <w:rPr>
          <w:rFonts w:cs="Arial"/>
          <w:sz w:val="24"/>
          <w:szCs w:val="24"/>
        </w:rPr>
        <w:t xml:space="preserve"> suited to coal-based blast furnaces and, unlike rivals, has no measurable Scope 3 target (Nicholas, 2024). Cleaner technology is slow: the </w:t>
      </w:r>
      <w:proofErr w:type="spellStart"/>
      <w:r w:rsidRPr="00C7458D">
        <w:rPr>
          <w:rFonts w:cs="Arial"/>
          <w:sz w:val="24"/>
          <w:szCs w:val="24"/>
        </w:rPr>
        <w:t>NeoSmelt</w:t>
      </w:r>
      <w:proofErr w:type="spellEnd"/>
      <w:r w:rsidRPr="00C7458D">
        <w:rPr>
          <w:rFonts w:cs="Arial"/>
          <w:sz w:val="24"/>
          <w:szCs w:val="24"/>
        </w:rPr>
        <w:t xml:space="preserve"> pilot with BlueScope and Rio Tinto, due in 2028, could cut steelmaking emissions intensity by up to 80% (BlueScope, 2024), but wide adoption is expected only after 2030 (BHP, 2024a).</w:t>
      </w:r>
    </w:p>
    <w:p w14:paraId="7F297486"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92" wp14:editId="7F297593">
            <wp:extent cx="4518660" cy="1787236"/>
            <wp:effectExtent l="0" t="0" r="0" b="3810"/>
            <wp:docPr id="6" name="f5" descr="Where BHP’s total carbon footprint comes from, FY2026" title="Where BHP’s total carbon footprint comes from, FY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539062" cy="1795306"/>
                    </a:xfrm>
                    <a:prstGeom prst="rect">
                      <a:avLst/>
                    </a:prstGeom>
                  </pic:spPr>
                </pic:pic>
              </a:graphicData>
            </a:graphic>
          </wp:inline>
        </w:drawing>
      </w:r>
    </w:p>
    <w:p w14:paraId="7F297487"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5: </w:t>
      </w:r>
      <w:r w:rsidRPr="00C7458D">
        <w:rPr>
          <w:rFonts w:cs="Arial"/>
          <w:i/>
          <w:iCs/>
          <w:color w:val="1D2A2D"/>
          <w:sz w:val="20"/>
          <w:szCs w:val="20"/>
        </w:rPr>
        <w:t>Where BHP’s total carbon footprint comes from, FY2026</w:t>
      </w:r>
    </w:p>
    <w:p w14:paraId="7F297488"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data from Jennifer L. (2026), reporting BHP’s FY2026 figures.</w:t>
      </w:r>
    </w:p>
    <w:p w14:paraId="7F297489" w14:textId="77777777" w:rsidR="00D11A6D" w:rsidRPr="00C7458D" w:rsidRDefault="00B5054F" w:rsidP="00C7458D">
      <w:pPr>
        <w:pStyle w:val="Heading3"/>
        <w:keepNext/>
        <w:spacing w:line="360" w:lineRule="auto"/>
        <w:jc w:val="both"/>
        <w:rPr>
          <w:sz w:val="24"/>
          <w:szCs w:val="24"/>
        </w:rPr>
      </w:pPr>
      <w:bookmarkStart w:id="15" w:name="_Toc242365155"/>
      <w:bookmarkStart w:id="16" w:name="_Toc242967038"/>
      <w:r w:rsidRPr="00C7458D">
        <w:rPr>
          <w:sz w:val="24"/>
          <w:szCs w:val="24"/>
        </w:rPr>
        <w:t>1.2.3 Water and waste</w:t>
      </w:r>
      <w:bookmarkEnd w:id="15"/>
      <w:bookmarkEnd w:id="16"/>
    </w:p>
    <w:p w14:paraId="7F29748A" w14:textId="12236D26" w:rsidR="00D11A6D" w:rsidRPr="00C7458D" w:rsidRDefault="00B5054F" w:rsidP="00C7458D">
      <w:pPr>
        <w:spacing w:after="200" w:line="360" w:lineRule="auto"/>
        <w:jc w:val="both"/>
        <w:rPr>
          <w:rFonts w:cs="Arial"/>
          <w:sz w:val="24"/>
          <w:szCs w:val="24"/>
        </w:rPr>
      </w:pPr>
      <w:r w:rsidRPr="00C7458D">
        <w:rPr>
          <w:rFonts w:cs="Arial"/>
          <w:sz w:val="24"/>
          <w:szCs w:val="24"/>
        </w:rPr>
        <w:t xml:space="preserve">At </w:t>
      </w:r>
      <w:proofErr w:type="spellStart"/>
      <w:r w:rsidRPr="00C7458D">
        <w:rPr>
          <w:rFonts w:cs="Arial"/>
          <w:sz w:val="24"/>
          <w:szCs w:val="24"/>
        </w:rPr>
        <w:t>Escondida</w:t>
      </w:r>
      <w:proofErr w:type="spellEnd"/>
      <w:r w:rsidRPr="00C7458D">
        <w:rPr>
          <w:rFonts w:cs="Arial"/>
          <w:sz w:val="24"/>
          <w:szCs w:val="24"/>
        </w:rPr>
        <w:t xml:space="preserve"> in Chile, BHP’s seawater desalinatio</w:t>
      </w:r>
      <w:r w:rsidR="00403214">
        <w:rPr>
          <w:rFonts w:cs="Arial"/>
          <w:sz w:val="24"/>
          <w:szCs w:val="24"/>
        </w:rPr>
        <w:t xml:space="preserve">n plant </w:t>
      </w:r>
      <w:r w:rsidR="00403214" w:rsidRPr="00403214">
        <w:rPr>
          <w:sz w:val="24"/>
          <w:szCs w:val="24"/>
        </w:rPr>
        <w:t>aims to draw</w:t>
      </w:r>
      <w:r w:rsidR="00403214">
        <w:t xml:space="preserve"> </w:t>
      </w:r>
      <w:r w:rsidRPr="00C7458D">
        <w:rPr>
          <w:rFonts w:cs="Arial"/>
          <w:sz w:val="24"/>
          <w:szCs w:val="24"/>
        </w:rPr>
        <w:t xml:space="preserve">on underground water by 2030 (BHP, 2019). However, the 2015 collapse of the </w:t>
      </w:r>
      <w:proofErr w:type="spellStart"/>
      <w:r w:rsidRPr="00C7458D">
        <w:rPr>
          <w:rFonts w:cs="Arial"/>
          <w:sz w:val="24"/>
          <w:szCs w:val="24"/>
        </w:rPr>
        <w:t>Fundão</w:t>
      </w:r>
      <w:proofErr w:type="spellEnd"/>
      <w:r w:rsidRPr="00C7458D">
        <w:rPr>
          <w:rFonts w:cs="Arial"/>
          <w:sz w:val="24"/>
          <w:szCs w:val="24"/>
        </w:rPr>
        <w:t xml:space="preserve"> dam at </w:t>
      </w:r>
      <w:proofErr w:type="spellStart"/>
      <w:r w:rsidRPr="00C7458D">
        <w:rPr>
          <w:rFonts w:cs="Arial"/>
          <w:sz w:val="24"/>
          <w:szCs w:val="24"/>
        </w:rPr>
        <w:t>Samarco</w:t>
      </w:r>
      <w:proofErr w:type="spellEnd"/>
      <w:r w:rsidRPr="00C7458D">
        <w:rPr>
          <w:rFonts w:cs="Arial"/>
          <w:sz w:val="24"/>
          <w:szCs w:val="24"/>
        </w:rPr>
        <w:t xml:space="preserve">, </w:t>
      </w:r>
      <w:r w:rsidRPr="00C7458D">
        <w:rPr>
          <w:rFonts w:cs="Arial"/>
          <w:sz w:val="24"/>
          <w:szCs w:val="24"/>
        </w:rPr>
        <w:lastRenderedPageBreak/>
        <w:t xml:space="preserve">BHP’s joint venture with Vale in Brazil, killed 19 people and polluted the </w:t>
      </w:r>
      <w:proofErr w:type="spellStart"/>
      <w:r w:rsidRPr="00C7458D">
        <w:rPr>
          <w:rFonts w:cs="Arial"/>
          <w:sz w:val="24"/>
          <w:szCs w:val="24"/>
        </w:rPr>
        <w:t>Doce</w:t>
      </w:r>
      <w:proofErr w:type="spellEnd"/>
      <w:r w:rsidRPr="00C7458D">
        <w:rPr>
          <w:rFonts w:cs="Arial"/>
          <w:sz w:val="24"/>
          <w:szCs w:val="24"/>
        </w:rPr>
        <w:t xml:space="preserve"> River (Engineering News, 2026), a lasting financial and reputational burden.</w:t>
      </w:r>
    </w:p>
    <w:p w14:paraId="7F29748B" w14:textId="77777777" w:rsidR="00D11A6D" w:rsidRPr="00C7458D" w:rsidRDefault="00B5054F" w:rsidP="00C7458D">
      <w:pPr>
        <w:pStyle w:val="Heading3"/>
        <w:keepNext/>
        <w:spacing w:line="360" w:lineRule="auto"/>
        <w:jc w:val="both"/>
        <w:rPr>
          <w:sz w:val="24"/>
          <w:szCs w:val="24"/>
        </w:rPr>
      </w:pPr>
      <w:bookmarkStart w:id="17" w:name="_Toc242365156"/>
      <w:bookmarkStart w:id="18" w:name="_Toc242967039"/>
      <w:r w:rsidRPr="00C7458D">
        <w:rPr>
          <w:sz w:val="24"/>
          <w:szCs w:val="24"/>
        </w:rPr>
        <w:t>1.2.4 Resource scarcity</w:t>
      </w:r>
      <w:bookmarkEnd w:id="17"/>
      <w:bookmarkEnd w:id="18"/>
    </w:p>
    <w:p w14:paraId="7F29748C" w14:textId="77777777" w:rsidR="00D11A6D" w:rsidRPr="00C7458D" w:rsidRDefault="00B5054F" w:rsidP="00C7458D">
      <w:pPr>
        <w:spacing w:after="200" w:line="360" w:lineRule="auto"/>
        <w:jc w:val="both"/>
        <w:rPr>
          <w:rFonts w:cs="Arial"/>
          <w:sz w:val="24"/>
          <w:szCs w:val="24"/>
        </w:rPr>
      </w:pPr>
      <w:r w:rsidRPr="00C7458D">
        <w:rPr>
          <w:rFonts w:cs="Arial"/>
          <w:sz w:val="24"/>
          <w:szCs w:val="24"/>
        </w:rPr>
        <w:t>Clean energy depends on scarce copper: the IEA (2025) expects supply to fall 30% short of demand by 2035, raising the value of BHP’s deposits.</w:t>
      </w:r>
    </w:p>
    <w:p w14:paraId="7F29748D" w14:textId="77777777" w:rsidR="00D11A6D" w:rsidRPr="00C7458D" w:rsidRDefault="00B5054F" w:rsidP="00C7458D">
      <w:pPr>
        <w:pStyle w:val="Heading3"/>
        <w:keepNext/>
        <w:spacing w:line="360" w:lineRule="auto"/>
        <w:jc w:val="both"/>
        <w:rPr>
          <w:sz w:val="24"/>
          <w:szCs w:val="24"/>
        </w:rPr>
      </w:pPr>
      <w:bookmarkStart w:id="19" w:name="_Toc242365157"/>
      <w:bookmarkStart w:id="20" w:name="_Toc242967040"/>
      <w:r w:rsidRPr="00C7458D">
        <w:rPr>
          <w:sz w:val="24"/>
          <w:szCs w:val="24"/>
        </w:rPr>
        <w:t>1.2.5 Evaluation</w:t>
      </w:r>
      <w:bookmarkEnd w:id="19"/>
      <w:bookmarkEnd w:id="20"/>
    </w:p>
    <w:p w14:paraId="7F29748E" w14:textId="77777777" w:rsidR="00D11A6D" w:rsidRPr="00C7458D" w:rsidRDefault="00B5054F" w:rsidP="00C7458D">
      <w:pPr>
        <w:spacing w:after="200" w:line="360" w:lineRule="auto"/>
        <w:jc w:val="both"/>
        <w:rPr>
          <w:rFonts w:cs="Arial"/>
          <w:sz w:val="24"/>
          <w:szCs w:val="24"/>
        </w:rPr>
      </w:pPr>
      <w:proofErr w:type="spellStart"/>
      <w:r w:rsidRPr="00C7458D">
        <w:rPr>
          <w:rFonts w:cs="Arial"/>
          <w:sz w:val="24"/>
          <w:szCs w:val="24"/>
        </w:rPr>
        <w:t>Sovacool</w:t>
      </w:r>
      <w:proofErr w:type="spellEnd"/>
      <w:r w:rsidRPr="00C7458D">
        <w:rPr>
          <w:rFonts w:cs="Arial"/>
          <w:sz w:val="24"/>
          <w:szCs w:val="24"/>
        </w:rPr>
        <w:t xml:space="preserve"> et al. (2020) describe a paradox: clean technology needs mining, which itself causes emissions. For BHP this is more pronounced because its largest products feed coal-based steelmaking. Hart (1995) argues that managing environmental issues well creates competitive advantage, as at BHP’s own sites, but promoting these cuts while ignoring Scope 3 risks accusations of greenwashing, a misleadingly green image (</w:t>
      </w:r>
      <w:proofErr w:type="spellStart"/>
      <w:r w:rsidRPr="00C7458D">
        <w:rPr>
          <w:rFonts w:cs="Arial"/>
          <w:sz w:val="24"/>
          <w:szCs w:val="24"/>
        </w:rPr>
        <w:t>Delmas</w:t>
      </w:r>
      <w:proofErr w:type="spellEnd"/>
      <w:r w:rsidRPr="00C7458D">
        <w:rPr>
          <w:rFonts w:cs="Arial"/>
          <w:sz w:val="24"/>
          <w:szCs w:val="24"/>
        </w:rPr>
        <w:t xml:space="preserve"> and </w:t>
      </w:r>
      <w:proofErr w:type="spellStart"/>
      <w:r w:rsidRPr="00C7458D">
        <w:rPr>
          <w:rFonts w:cs="Arial"/>
          <w:sz w:val="24"/>
          <w:szCs w:val="24"/>
        </w:rPr>
        <w:t>Burbano</w:t>
      </w:r>
      <w:proofErr w:type="spellEnd"/>
      <w:r w:rsidRPr="00C7458D">
        <w:rPr>
          <w:rFonts w:cs="Arial"/>
          <w:sz w:val="24"/>
          <w:szCs w:val="24"/>
        </w:rPr>
        <w:t>, 2011).</w:t>
      </w:r>
    </w:p>
    <w:p w14:paraId="7F29748F" w14:textId="77777777" w:rsidR="00D11A6D" w:rsidRPr="00C7458D" w:rsidRDefault="00B5054F" w:rsidP="00C7458D">
      <w:pPr>
        <w:pStyle w:val="Heading2"/>
        <w:keepNext/>
        <w:spacing w:line="360" w:lineRule="auto"/>
        <w:jc w:val="both"/>
        <w:rPr>
          <w:sz w:val="24"/>
          <w:szCs w:val="24"/>
        </w:rPr>
      </w:pPr>
      <w:bookmarkStart w:id="21" w:name="_Toc242365158"/>
      <w:bookmarkStart w:id="22" w:name="_Toc242967041"/>
      <w:r w:rsidRPr="00C7458D">
        <w:rPr>
          <w:sz w:val="24"/>
          <w:szCs w:val="24"/>
        </w:rPr>
        <w:t>1.3 Other macro-environment actors</w:t>
      </w:r>
      <w:bookmarkEnd w:id="21"/>
      <w:bookmarkEnd w:id="22"/>
    </w:p>
    <w:p w14:paraId="7F297490" w14:textId="77777777" w:rsidR="00D11A6D" w:rsidRPr="00C7458D" w:rsidRDefault="00B5054F" w:rsidP="00C7458D">
      <w:pPr>
        <w:pStyle w:val="Heading3"/>
        <w:keepNext/>
        <w:spacing w:line="360" w:lineRule="auto"/>
        <w:jc w:val="both"/>
        <w:rPr>
          <w:sz w:val="24"/>
          <w:szCs w:val="24"/>
        </w:rPr>
      </w:pPr>
      <w:bookmarkStart w:id="23" w:name="_Toc242365159"/>
      <w:bookmarkStart w:id="24" w:name="_Toc242967042"/>
      <w:r w:rsidRPr="00C7458D">
        <w:rPr>
          <w:sz w:val="24"/>
          <w:szCs w:val="24"/>
        </w:rPr>
        <w:t>1.3.1 Political-legal environment</w:t>
      </w:r>
      <w:bookmarkEnd w:id="23"/>
      <w:bookmarkEnd w:id="24"/>
    </w:p>
    <w:p w14:paraId="7F297491" w14:textId="77777777" w:rsidR="00D11A6D" w:rsidRPr="00C7458D" w:rsidRDefault="00B5054F" w:rsidP="00C7458D">
      <w:pPr>
        <w:spacing w:after="200" w:line="360" w:lineRule="auto"/>
        <w:jc w:val="both"/>
        <w:rPr>
          <w:rFonts w:cs="Arial"/>
          <w:sz w:val="24"/>
          <w:szCs w:val="24"/>
        </w:rPr>
      </w:pPr>
      <w:r w:rsidRPr="00C7458D">
        <w:rPr>
          <w:rFonts w:cs="Arial"/>
          <w:sz w:val="24"/>
          <w:szCs w:val="24"/>
        </w:rPr>
        <w:t xml:space="preserve">Governments and courts turn environmental pressure into costs (Figure 6). Australia’s Safeguard Mechanism cuts emissions limits for large sites by 4.9% annually until 2030 (DLA Piper, 2023), within a 2035 national target of 62-70% (Norton Rose Fulbright, 2025). Europe’s Carbon Border Adjustment Mechanism (CBAM) has charged importers for the carbon in steel since 2026 (European Union, 2023a; Mayer Brown, 2025), making low-carbon iron more valuable to BHP’s customers. Brazil’s 2024 </w:t>
      </w:r>
      <w:proofErr w:type="spellStart"/>
      <w:r w:rsidRPr="00C7458D">
        <w:rPr>
          <w:rFonts w:cs="Arial"/>
          <w:sz w:val="24"/>
          <w:szCs w:val="24"/>
        </w:rPr>
        <w:t>Samarco</w:t>
      </w:r>
      <w:proofErr w:type="spellEnd"/>
      <w:r w:rsidRPr="00C7458D">
        <w:rPr>
          <w:rFonts w:cs="Arial"/>
          <w:sz w:val="24"/>
          <w:szCs w:val="24"/>
        </w:rPr>
        <w:t xml:space="preserve"> settlement totals R$170 billion (Daily Maverick, 2024), and in November 2025 London’s High Court found BHP liable to about 600,000 claimants (</w:t>
      </w:r>
      <w:proofErr w:type="spellStart"/>
      <w:r w:rsidRPr="00C7458D">
        <w:rPr>
          <w:rFonts w:cs="Arial"/>
          <w:sz w:val="24"/>
          <w:szCs w:val="24"/>
        </w:rPr>
        <w:t>SteelOrbis</w:t>
      </w:r>
      <w:proofErr w:type="spellEnd"/>
      <w:r w:rsidRPr="00C7458D">
        <w:rPr>
          <w:rFonts w:cs="Arial"/>
          <w:sz w:val="24"/>
          <w:szCs w:val="24"/>
        </w:rPr>
        <w:t>, 2025); appeal was refused in May 2026 and a compensation trial is due in April 2027 (Engineering News, 2026).</w:t>
      </w:r>
    </w:p>
    <w:p w14:paraId="7F297492"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lastRenderedPageBreak/>
        <w:drawing>
          <wp:inline distT="0" distB="0" distL="0" distR="0" wp14:anchorId="7F297594" wp14:editId="7F297595">
            <wp:extent cx="3592830" cy="2232141"/>
            <wp:effectExtent l="0" t="0" r="7620" b="0"/>
            <wp:docPr id="7" name="f6" descr="Key political and legal events affecting BHP, 2023–2027" title="Key political and legal events affecting BHP, 2023–2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3603956" cy="2239053"/>
                    </a:xfrm>
                    <a:prstGeom prst="rect">
                      <a:avLst/>
                    </a:prstGeom>
                  </pic:spPr>
                </pic:pic>
              </a:graphicData>
            </a:graphic>
          </wp:inline>
        </w:drawing>
      </w:r>
    </w:p>
    <w:p w14:paraId="7F297493"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6: </w:t>
      </w:r>
      <w:r w:rsidRPr="00C7458D">
        <w:rPr>
          <w:rFonts w:cs="Arial"/>
          <w:i/>
          <w:iCs/>
          <w:color w:val="1D2A2D"/>
          <w:sz w:val="20"/>
          <w:szCs w:val="20"/>
        </w:rPr>
        <w:t>Key political and legal events affecting BHP, 2023-2027</w:t>
      </w:r>
    </w:p>
    <w:p w14:paraId="7F297494"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compiled from sources cited in section 1.3.1.</w:t>
      </w:r>
    </w:p>
    <w:p w14:paraId="7F297495" w14:textId="77777777" w:rsidR="00D11A6D" w:rsidRPr="00C7458D" w:rsidRDefault="00B5054F" w:rsidP="00C7458D">
      <w:pPr>
        <w:pStyle w:val="Heading3"/>
        <w:keepNext/>
        <w:spacing w:line="360" w:lineRule="auto"/>
        <w:jc w:val="both"/>
        <w:rPr>
          <w:sz w:val="24"/>
          <w:szCs w:val="24"/>
        </w:rPr>
      </w:pPr>
      <w:bookmarkStart w:id="25" w:name="_Toc242365160"/>
      <w:bookmarkStart w:id="26" w:name="_Toc242967043"/>
      <w:r w:rsidRPr="00C7458D">
        <w:rPr>
          <w:sz w:val="24"/>
          <w:szCs w:val="24"/>
        </w:rPr>
        <w:t>1.3.2 Economic environment</w:t>
      </w:r>
      <w:bookmarkEnd w:id="25"/>
      <w:bookmarkEnd w:id="26"/>
    </w:p>
    <w:p w14:paraId="7F297496" w14:textId="77777777" w:rsidR="00D11A6D" w:rsidRPr="00C7458D" w:rsidRDefault="00B5054F" w:rsidP="00C7458D">
      <w:pPr>
        <w:spacing w:after="200" w:line="360" w:lineRule="auto"/>
        <w:jc w:val="both"/>
        <w:rPr>
          <w:rFonts w:cs="Arial"/>
          <w:sz w:val="24"/>
          <w:szCs w:val="24"/>
        </w:rPr>
      </w:pPr>
      <w:r w:rsidRPr="00C7458D">
        <w:rPr>
          <w:rFonts w:cs="Arial"/>
          <w:sz w:val="24"/>
          <w:szCs w:val="24"/>
        </w:rPr>
        <w:t>China provides over 60% of BHP’s revenue (</w:t>
      </w:r>
      <w:proofErr w:type="spellStart"/>
      <w:r w:rsidRPr="00C7458D">
        <w:rPr>
          <w:rFonts w:cs="Arial"/>
          <w:sz w:val="24"/>
          <w:szCs w:val="24"/>
        </w:rPr>
        <w:t>Caixin</w:t>
      </w:r>
      <w:proofErr w:type="spellEnd"/>
      <w:r w:rsidRPr="00C7458D">
        <w:rPr>
          <w:rFonts w:cs="Arial"/>
          <w:sz w:val="24"/>
          <w:szCs w:val="24"/>
        </w:rPr>
        <w:t xml:space="preserve"> Global, 2026), giving buyers strong bargaining power. In September 2025 the state-backed China Mineral Resources Group (CMRG) told mills to stop buying BHP cargoes during price talks (Mining Weekly, 2025b); in April 2026 BHP agreed to price half of one product’s sales to CMRG in yuan at a 1.8% discount (</w:t>
      </w:r>
      <w:proofErr w:type="spellStart"/>
      <w:r w:rsidRPr="00C7458D">
        <w:rPr>
          <w:rFonts w:cs="Arial"/>
          <w:sz w:val="24"/>
          <w:szCs w:val="24"/>
        </w:rPr>
        <w:t>Caixin</w:t>
      </w:r>
      <w:proofErr w:type="spellEnd"/>
      <w:r w:rsidRPr="00C7458D">
        <w:rPr>
          <w:rFonts w:cs="Arial"/>
          <w:sz w:val="24"/>
          <w:szCs w:val="24"/>
        </w:rPr>
        <w:t xml:space="preserve"> Global, 2026). Iron ore demand may weaken as China limits steel output from 2026 to 2030 (Mining.com, 2025), while Rio Tinto’s </w:t>
      </w:r>
      <w:proofErr w:type="spellStart"/>
      <w:r w:rsidRPr="00C7458D">
        <w:rPr>
          <w:rFonts w:cs="Arial"/>
          <w:sz w:val="24"/>
          <w:szCs w:val="24"/>
        </w:rPr>
        <w:t>Simandou</w:t>
      </w:r>
      <w:proofErr w:type="spellEnd"/>
      <w:r w:rsidRPr="00C7458D">
        <w:rPr>
          <w:rFonts w:cs="Arial"/>
          <w:sz w:val="24"/>
          <w:szCs w:val="24"/>
        </w:rPr>
        <w:t xml:space="preserve"> mine adds up to 120 Mt a year of supply (Mining Weekly, 2025c), pressuring prices. Copper is the opposite: demand from renewables, grids and electric vehicles (BHP, 2025b) may rise by half to 42 Mt a year by 2040, leaving a 10 Mt shortfall (Figure 7; S&amp;P Global, 2026). Some carmakers are switching to cheaper aluminium wiring (AL Circle, 2026).</w:t>
      </w:r>
    </w:p>
    <w:p w14:paraId="7F297497" w14:textId="77777777" w:rsidR="00D11A6D" w:rsidRPr="00C7458D" w:rsidRDefault="00B5054F" w:rsidP="00C7458D">
      <w:pPr>
        <w:keepNext/>
        <w:spacing w:before="200" w:after="80" w:line="360" w:lineRule="auto"/>
        <w:jc w:val="center"/>
        <w:rPr>
          <w:rFonts w:cs="Arial"/>
          <w:sz w:val="20"/>
          <w:szCs w:val="20"/>
        </w:rPr>
      </w:pPr>
      <w:r w:rsidRPr="00C7458D">
        <w:rPr>
          <w:rFonts w:cs="Arial"/>
          <w:noProof/>
          <w:sz w:val="20"/>
          <w:szCs w:val="20"/>
        </w:rPr>
        <w:drawing>
          <wp:inline distT="0" distB="0" distL="0" distR="0" wp14:anchorId="7F297596" wp14:editId="7F297597">
            <wp:extent cx="3353934" cy="2255520"/>
            <wp:effectExtent l="0" t="0" r="0" b="0"/>
            <wp:docPr id="8" name="fecon" descr="Forecast world copper demand and supply" title="Forecast world copper demand and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3380155" cy="2273154"/>
                    </a:xfrm>
                    <a:prstGeom prst="rect">
                      <a:avLst/>
                    </a:prstGeom>
                  </pic:spPr>
                </pic:pic>
              </a:graphicData>
            </a:graphic>
          </wp:inline>
        </w:drawing>
      </w:r>
    </w:p>
    <w:p w14:paraId="7F297498"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7: </w:t>
      </w:r>
      <w:r w:rsidRPr="00C7458D">
        <w:rPr>
          <w:rFonts w:cs="Arial"/>
          <w:i/>
          <w:iCs/>
          <w:color w:val="1D2A2D"/>
          <w:sz w:val="20"/>
          <w:szCs w:val="20"/>
        </w:rPr>
        <w:t>Forecast world copper demand and supply</w:t>
      </w:r>
    </w:p>
    <w:p w14:paraId="7F297499"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data from S&amp;P Global (2026).</w:t>
      </w:r>
    </w:p>
    <w:p w14:paraId="7F29749F" w14:textId="77777777" w:rsidR="00D11A6D" w:rsidRPr="00C7458D" w:rsidRDefault="00B5054F" w:rsidP="00C7458D">
      <w:pPr>
        <w:pStyle w:val="Heading2"/>
        <w:keepNext/>
        <w:spacing w:line="360" w:lineRule="auto"/>
        <w:jc w:val="both"/>
        <w:rPr>
          <w:sz w:val="24"/>
          <w:szCs w:val="24"/>
        </w:rPr>
      </w:pPr>
      <w:bookmarkStart w:id="27" w:name="_Toc242365162"/>
      <w:bookmarkStart w:id="28" w:name="_Toc242967044"/>
      <w:r w:rsidRPr="00C7458D">
        <w:rPr>
          <w:sz w:val="24"/>
          <w:szCs w:val="24"/>
        </w:rPr>
        <w:lastRenderedPageBreak/>
        <w:t>1.4 External opportunities and threats</w:t>
      </w:r>
      <w:bookmarkEnd w:id="27"/>
      <w:bookmarkEnd w:id="28"/>
    </w:p>
    <w:p w14:paraId="7F2974A0" w14:textId="77777777" w:rsidR="00D11A6D" w:rsidRPr="00C7458D" w:rsidRDefault="00B5054F" w:rsidP="00C7458D">
      <w:pPr>
        <w:spacing w:after="200" w:line="360" w:lineRule="auto"/>
        <w:jc w:val="both"/>
        <w:rPr>
          <w:rFonts w:cs="Arial"/>
          <w:sz w:val="24"/>
          <w:szCs w:val="24"/>
        </w:rPr>
      </w:pPr>
      <w:r w:rsidRPr="00C7458D">
        <w:rPr>
          <w:rFonts w:cs="Arial"/>
          <w:sz w:val="24"/>
          <w:szCs w:val="24"/>
        </w:rPr>
        <w:t xml:space="preserve">Synthesising the three actors shows that they reinforce one another. The natural environment creates the core problem: BHP has cut its own emissions, but customers’ emissions are 46 times larger. The political-legal environment turns this into cost, through carbon rules such as CBAM and liabilities such as </w:t>
      </w:r>
      <w:proofErr w:type="spellStart"/>
      <w:r w:rsidRPr="00C7458D">
        <w:rPr>
          <w:rFonts w:cs="Arial"/>
          <w:sz w:val="24"/>
          <w:szCs w:val="24"/>
        </w:rPr>
        <w:t>Samarco</w:t>
      </w:r>
      <w:proofErr w:type="spellEnd"/>
      <w:r w:rsidRPr="00C7458D">
        <w:rPr>
          <w:rFonts w:cs="Arial"/>
          <w:sz w:val="24"/>
          <w:szCs w:val="24"/>
        </w:rPr>
        <w:t xml:space="preserve">. The economic environment decides who captures value: Chinese buyers and </w:t>
      </w:r>
      <w:proofErr w:type="spellStart"/>
      <w:r w:rsidRPr="00C7458D">
        <w:rPr>
          <w:rFonts w:cs="Arial"/>
          <w:sz w:val="24"/>
          <w:szCs w:val="24"/>
        </w:rPr>
        <w:t>Simandou</w:t>
      </w:r>
      <w:proofErr w:type="spellEnd"/>
      <w:r w:rsidRPr="00C7458D">
        <w:rPr>
          <w:rFonts w:cs="Arial"/>
          <w:sz w:val="24"/>
          <w:szCs w:val="24"/>
        </w:rPr>
        <w:t xml:space="preserve"> squeeze iron ore, while the copper shortage strengthens BHP’s position. For BHP this means a growing imbalance: copper, now 55% of operating profit (BHP, 2026b), gains from all three forces, whereas iron ore and coal, its largest emitters, face pressure from all three. Figure 8 ranks the main issues. BHP therefore cannot rely on cleaner sites alone; it must shift its offer towards copper and lower-carbon iron ore.</w:t>
      </w:r>
    </w:p>
    <w:p w14:paraId="7F2974A1"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9A" wp14:editId="7F29759B">
            <wp:extent cx="3482340" cy="2510187"/>
            <wp:effectExtent l="0" t="0" r="3810" b="4445"/>
            <wp:docPr id="10" name="f10" descr="BHP’s main threats and opportunities, by impact and timing" title="BHP’s main threats and opportunities, by impact and ti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3491088" cy="2516493"/>
                    </a:xfrm>
                    <a:prstGeom prst="rect">
                      <a:avLst/>
                    </a:prstGeom>
                  </pic:spPr>
                </pic:pic>
              </a:graphicData>
            </a:graphic>
          </wp:inline>
        </w:drawing>
      </w:r>
    </w:p>
    <w:p w14:paraId="7F2974A2"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8: </w:t>
      </w:r>
      <w:r w:rsidRPr="00C7458D">
        <w:rPr>
          <w:rFonts w:cs="Arial"/>
          <w:i/>
          <w:iCs/>
          <w:color w:val="1D2A2D"/>
          <w:sz w:val="20"/>
          <w:szCs w:val="20"/>
        </w:rPr>
        <w:t>BHP’s main threats and opportunities, by impact and timing</w:t>
      </w:r>
    </w:p>
    <w:p w14:paraId="7F2974A3"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Source: Self-made assessment based on sections 1.2-1.3.</w:t>
      </w:r>
    </w:p>
    <w:p w14:paraId="7F2974A4" w14:textId="77777777" w:rsidR="00D11A6D" w:rsidRPr="00C7458D" w:rsidRDefault="00B5054F" w:rsidP="00C7458D">
      <w:pPr>
        <w:pStyle w:val="Heading1"/>
        <w:pageBreakBefore/>
        <w:spacing w:line="360" w:lineRule="auto"/>
        <w:rPr>
          <w:sz w:val="28"/>
          <w:szCs w:val="28"/>
        </w:rPr>
      </w:pPr>
      <w:bookmarkStart w:id="29" w:name="_Toc242365163"/>
      <w:bookmarkStart w:id="30" w:name="_Toc242967045"/>
      <w:r w:rsidRPr="00C7458D">
        <w:rPr>
          <w:sz w:val="28"/>
          <w:szCs w:val="28"/>
        </w:rPr>
        <w:lastRenderedPageBreak/>
        <w:t>Task 2: Strategic Growth and Competitive Positioning</w:t>
      </w:r>
      <w:bookmarkEnd w:id="29"/>
      <w:bookmarkEnd w:id="30"/>
    </w:p>
    <w:p w14:paraId="7F2974A5" w14:textId="77777777" w:rsidR="00D11A6D" w:rsidRPr="00C7458D" w:rsidRDefault="00B5054F" w:rsidP="00C7458D">
      <w:pPr>
        <w:pStyle w:val="Heading2"/>
        <w:keepNext/>
        <w:spacing w:line="360" w:lineRule="auto"/>
        <w:jc w:val="both"/>
        <w:rPr>
          <w:sz w:val="24"/>
          <w:szCs w:val="24"/>
        </w:rPr>
      </w:pPr>
      <w:bookmarkStart w:id="31" w:name="_Toc242365164"/>
      <w:bookmarkStart w:id="32" w:name="_Toc242967046"/>
      <w:r w:rsidRPr="00C7458D">
        <w:rPr>
          <w:sz w:val="24"/>
          <w:szCs w:val="24"/>
        </w:rPr>
        <w:t xml:space="preserve">2.1 Strategic options under the </w:t>
      </w:r>
      <w:proofErr w:type="spellStart"/>
      <w:r w:rsidRPr="00C7458D">
        <w:rPr>
          <w:sz w:val="24"/>
          <w:szCs w:val="24"/>
        </w:rPr>
        <w:t>Ansoff</w:t>
      </w:r>
      <w:proofErr w:type="spellEnd"/>
      <w:r w:rsidRPr="00C7458D">
        <w:rPr>
          <w:sz w:val="24"/>
          <w:szCs w:val="24"/>
        </w:rPr>
        <w:t xml:space="preserve"> Matrix</w:t>
      </w:r>
      <w:bookmarkEnd w:id="31"/>
      <w:bookmarkEnd w:id="32"/>
    </w:p>
    <w:p w14:paraId="7F2974A6" w14:textId="77777777" w:rsidR="00D11A6D" w:rsidRPr="00C7458D" w:rsidRDefault="00B5054F" w:rsidP="00C7458D">
      <w:pPr>
        <w:spacing w:after="200" w:line="360" w:lineRule="auto"/>
        <w:jc w:val="both"/>
        <w:rPr>
          <w:rFonts w:cs="Arial"/>
          <w:sz w:val="24"/>
          <w:szCs w:val="24"/>
        </w:rPr>
      </w:pPr>
      <w:r w:rsidRPr="00C7458D">
        <w:rPr>
          <w:rFonts w:cs="Arial"/>
          <w:sz w:val="24"/>
          <w:szCs w:val="24"/>
        </w:rPr>
        <w:t xml:space="preserve">The </w:t>
      </w:r>
      <w:proofErr w:type="spellStart"/>
      <w:r w:rsidRPr="00C7458D">
        <w:rPr>
          <w:rFonts w:cs="Arial"/>
          <w:sz w:val="24"/>
          <w:szCs w:val="24"/>
        </w:rPr>
        <w:t>Ansoff</w:t>
      </w:r>
      <w:proofErr w:type="spellEnd"/>
      <w:r w:rsidRPr="00C7458D">
        <w:rPr>
          <w:rFonts w:cs="Arial"/>
          <w:sz w:val="24"/>
          <w:szCs w:val="24"/>
        </w:rPr>
        <w:t xml:space="preserve"> (1957) matrix, explained by Hooley et al. (2020), shows four growth routes: penetration (more of the same products in the same markets), product development, market development and diversification (new products for new markets). Figure 9 applies it to BHP and Table 1 rates each option.</w:t>
      </w:r>
    </w:p>
    <w:p w14:paraId="7F2974A7"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9C" wp14:editId="7F29759D">
            <wp:extent cx="3238500" cy="2259590"/>
            <wp:effectExtent l="0" t="0" r="0" b="7620"/>
            <wp:docPr id="11" name="f8" descr="The Ansoff Matrix applied to BHP" title="The Ansoff Matrix applied to BH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3246150" cy="2264928"/>
                    </a:xfrm>
                    <a:prstGeom prst="rect">
                      <a:avLst/>
                    </a:prstGeom>
                  </pic:spPr>
                </pic:pic>
              </a:graphicData>
            </a:graphic>
          </wp:inline>
        </w:drawing>
      </w:r>
    </w:p>
    <w:p w14:paraId="7F2974A8"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9: </w:t>
      </w:r>
      <w:r w:rsidRPr="00C7458D">
        <w:rPr>
          <w:rFonts w:cs="Arial"/>
          <w:i/>
          <w:iCs/>
          <w:color w:val="1D2A2D"/>
          <w:sz w:val="20"/>
          <w:szCs w:val="20"/>
        </w:rPr>
        <w:t xml:space="preserve">The </w:t>
      </w:r>
      <w:proofErr w:type="spellStart"/>
      <w:r w:rsidRPr="00C7458D">
        <w:rPr>
          <w:rFonts w:cs="Arial"/>
          <w:i/>
          <w:iCs/>
          <w:color w:val="1D2A2D"/>
          <w:sz w:val="20"/>
          <w:szCs w:val="20"/>
        </w:rPr>
        <w:t>Ansoff</w:t>
      </w:r>
      <w:proofErr w:type="spellEnd"/>
      <w:r w:rsidRPr="00C7458D">
        <w:rPr>
          <w:rFonts w:cs="Arial"/>
          <w:i/>
          <w:iCs/>
          <w:color w:val="1D2A2D"/>
          <w:sz w:val="20"/>
          <w:szCs w:val="20"/>
        </w:rPr>
        <w:t xml:space="preserve"> Matrix applied to BHP</w:t>
      </w:r>
    </w:p>
    <w:p w14:paraId="7F2974A9" w14:textId="77777777" w:rsidR="00D11A6D" w:rsidRDefault="00B5054F" w:rsidP="00C7458D">
      <w:pPr>
        <w:spacing w:after="260" w:line="360" w:lineRule="auto"/>
        <w:jc w:val="center"/>
        <w:rPr>
          <w:rFonts w:cs="Arial"/>
          <w:color w:val="4A5558"/>
          <w:sz w:val="20"/>
          <w:szCs w:val="20"/>
        </w:rPr>
      </w:pPr>
      <w:r w:rsidRPr="00C7458D">
        <w:rPr>
          <w:rFonts w:cs="Arial"/>
          <w:color w:val="4A5558"/>
          <w:sz w:val="20"/>
          <w:szCs w:val="20"/>
        </w:rPr>
        <w:t xml:space="preserve">Source: Self-made, based on </w:t>
      </w:r>
      <w:proofErr w:type="spellStart"/>
      <w:r w:rsidRPr="00C7458D">
        <w:rPr>
          <w:rFonts w:cs="Arial"/>
          <w:color w:val="4A5558"/>
          <w:sz w:val="20"/>
          <w:szCs w:val="20"/>
        </w:rPr>
        <w:t>Ansoff</w:t>
      </w:r>
      <w:proofErr w:type="spellEnd"/>
      <w:r w:rsidRPr="00C7458D">
        <w:rPr>
          <w:rFonts w:cs="Arial"/>
          <w:color w:val="4A5558"/>
          <w:sz w:val="20"/>
          <w:szCs w:val="20"/>
        </w:rPr>
        <w:t xml:space="preserve"> (1957) and Hooley et al. (2020).</w:t>
      </w:r>
    </w:p>
    <w:p w14:paraId="26369ACC" w14:textId="17DD436D" w:rsidR="00C7458D" w:rsidRPr="00C7458D" w:rsidRDefault="00C7458D" w:rsidP="00C7458D">
      <w:pPr>
        <w:keepNext/>
        <w:spacing w:before="200" w:after="80" w:line="360" w:lineRule="auto"/>
        <w:rPr>
          <w:rFonts w:cs="Arial"/>
          <w:sz w:val="24"/>
          <w:szCs w:val="24"/>
        </w:rPr>
      </w:pPr>
      <w:r>
        <w:rPr>
          <w:rFonts w:cs="Arial"/>
          <w:b/>
          <w:bCs/>
          <w:color w:val="0B4F5C"/>
          <w:sz w:val="24"/>
          <w:szCs w:val="24"/>
        </w:rPr>
        <w:t>T</w:t>
      </w:r>
      <w:r w:rsidRPr="00C7458D">
        <w:rPr>
          <w:rFonts w:cs="Arial"/>
          <w:b/>
          <w:bCs/>
          <w:color w:val="0B4F5C"/>
          <w:sz w:val="24"/>
          <w:szCs w:val="24"/>
        </w:rPr>
        <w:t xml:space="preserve">able 1: </w:t>
      </w:r>
      <w:r w:rsidRPr="00C7458D">
        <w:rPr>
          <w:rFonts w:cs="Arial"/>
          <w:i/>
          <w:iCs/>
          <w:color w:val="1D2A2D"/>
          <w:sz w:val="24"/>
          <w:szCs w:val="24"/>
        </w:rPr>
        <w:t xml:space="preserve">Appraisal of BHP’s </w:t>
      </w:r>
      <w:proofErr w:type="spellStart"/>
      <w:r w:rsidRPr="00C7458D">
        <w:rPr>
          <w:rFonts w:cs="Arial"/>
          <w:i/>
          <w:iCs/>
          <w:color w:val="1D2A2D"/>
          <w:sz w:val="24"/>
          <w:szCs w:val="24"/>
        </w:rPr>
        <w:t>Ansoff</w:t>
      </w:r>
      <w:proofErr w:type="spellEnd"/>
      <w:r w:rsidRPr="00C7458D">
        <w:rPr>
          <w:rFonts w:cs="Arial"/>
          <w:i/>
          <w:iCs/>
          <w:color w:val="1D2A2D"/>
          <w:sz w:val="24"/>
          <w:szCs w:val="24"/>
        </w:rPr>
        <w:t xml:space="preserve"> growth options</w:t>
      </w:r>
    </w:p>
    <w:p w14:paraId="7F2974AA" w14:textId="5AEE4A5F" w:rsidR="00B5054F" w:rsidRPr="00C7458D" w:rsidRDefault="006D7703" w:rsidP="00C7458D">
      <w:pPr>
        <w:keepNext/>
        <w:spacing w:before="200" w:after="80" w:line="360" w:lineRule="auto"/>
        <w:rPr>
          <w:rFonts w:cs="Arial"/>
          <w:sz w:val="20"/>
          <w:szCs w:val="20"/>
        </w:rPr>
      </w:pPr>
      <w:r w:rsidRPr="00C7458D">
        <w:rPr>
          <w:rFonts w:cs="Arial"/>
          <w:i/>
          <w:iCs/>
          <w:noProof/>
          <w:color w:val="4A5558"/>
          <w:sz w:val="24"/>
          <w:szCs w:val="24"/>
        </w:rPr>
        <w:drawing>
          <wp:anchor distT="0" distB="0" distL="114300" distR="114300" simplePos="0" relativeHeight="251658240" behindDoc="0" locked="0" layoutInCell="1" allowOverlap="1" wp14:anchorId="7F29759E" wp14:editId="7F29759F">
            <wp:simplePos x="0" y="0"/>
            <wp:positionH relativeFrom="margin">
              <wp:align>center</wp:align>
            </wp:positionH>
            <wp:positionV relativeFrom="paragraph">
              <wp:posOffset>162560</wp:posOffset>
            </wp:positionV>
            <wp:extent cx="4884420" cy="2756928"/>
            <wp:effectExtent l="0" t="0" r="0" b="571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884420" cy="2756928"/>
                    </a:xfrm>
                    <a:prstGeom prst="rect">
                      <a:avLst/>
                    </a:prstGeom>
                  </pic:spPr>
                </pic:pic>
              </a:graphicData>
            </a:graphic>
          </wp:anchor>
        </w:drawing>
      </w:r>
    </w:p>
    <w:p w14:paraId="7F2974AB" w14:textId="77777777" w:rsidR="00D11A6D" w:rsidRPr="00C7458D" w:rsidRDefault="00B5054F" w:rsidP="00C7458D">
      <w:pPr>
        <w:spacing w:before="60" w:after="240" w:line="360" w:lineRule="auto"/>
        <w:jc w:val="center"/>
        <w:rPr>
          <w:rFonts w:cs="Arial"/>
          <w:sz w:val="20"/>
          <w:szCs w:val="20"/>
        </w:rPr>
      </w:pPr>
      <w:r w:rsidRPr="00C7458D">
        <w:rPr>
          <w:rFonts w:cs="Arial"/>
          <w:i/>
          <w:iCs/>
          <w:color w:val="4A5558"/>
          <w:sz w:val="20"/>
          <w:szCs w:val="20"/>
        </w:rPr>
        <w:t xml:space="preserve">Source: Self-made appraisal, drawing on sections 1.2-1.4 and </w:t>
      </w:r>
      <w:proofErr w:type="spellStart"/>
      <w:r w:rsidRPr="00C7458D">
        <w:rPr>
          <w:rFonts w:cs="Arial"/>
          <w:i/>
          <w:iCs/>
          <w:color w:val="4A5558"/>
          <w:sz w:val="20"/>
          <w:szCs w:val="20"/>
        </w:rPr>
        <w:t>Ansoff</w:t>
      </w:r>
      <w:proofErr w:type="spellEnd"/>
      <w:r w:rsidRPr="00C7458D">
        <w:rPr>
          <w:rFonts w:cs="Arial"/>
          <w:i/>
          <w:iCs/>
          <w:color w:val="4A5558"/>
          <w:sz w:val="20"/>
          <w:szCs w:val="20"/>
        </w:rPr>
        <w:t xml:space="preserve"> (1957).</w:t>
      </w:r>
    </w:p>
    <w:p w14:paraId="7F2974AC" w14:textId="77777777" w:rsidR="00D11A6D" w:rsidRPr="00C7458D" w:rsidRDefault="00B5054F" w:rsidP="00C7458D">
      <w:pPr>
        <w:pStyle w:val="Heading2"/>
        <w:keepNext/>
        <w:spacing w:line="360" w:lineRule="auto"/>
        <w:jc w:val="both"/>
        <w:rPr>
          <w:sz w:val="24"/>
          <w:szCs w:val="24"/>
        </w:rPr>
      </w:pPr>
      <w:bookmarkStart w:id="33" w:name="_Toc242365165"/>
      <w:bookmarkStart w:id="34" w:name="_Toc242967047"/>
      <w:r w:rsidRPr="00C7458D">
        <w:rPr>
          <w:sz w:val="24"/>
          <w:szCs w:val="24"/>
        </w:rPr>
        <w:lastRenderedPageBreak/>
        <w:t>2.2 Recommended growth strategy</w:t>
      </w:r>
      <w:bookmarkEnd w:id="33"/>
      <w:bookmarkEnd w:id="34"/>
    </w:p>
    <w:p w14:paraId="7F2974AD" w14:textId="77777777" w:rsidR="00D11A6D" w:rsidRPr="00C7458D" w:rsidRDefault="00B5054F" w:rsidP="00C7458D">
      <w:pPr>
        <w:spacing w:after="200" w:line="360" w:lineRule="auto"/>
        <w:jc w:val="both"/>
        <w:rPr>
          <w:rFonts w:cs="Arial"/>
          <w:sz w:val="24"/>
          <w:szCs w:val="24"/>
        </w:rPr>
      </w:pPr>
      <w:r w:rsidRPr="00C7458D">
        <w:rPr>
          <w:rFonts w:cs="Arial"/>
          <w:b/>
          <w:bCs/>
          <w:color w:val="0B4F5C"/>
          <w:sz w:val="24"/>
          <w:szCs w:val="24"/>
        </w:rPr>
        <w:t>Main route 1: product development.</w:t>
      </w:r>
      <w:r w:rsidRPr="00C7458D">
        <w:rPr>
          <w:rFonts w:cs="Arial"/>
          <w:sz w:val="24"/>
          <w:szCs w:val="24"/>
        </w:rPr>
        <w:t xml:space="preserve"> Task 1 showed that BHP’s largest emissions arise when customers use its iron ore. BHP should develop ore products suited to cleaner steelmaking, building on </w:t>
      </w:r>
      <w:proofErr w:type="spellStart"/>
      <w:r w:rsidRPr="00C7458D">
        <w:rPr>
          <w:rFonts w:cs="Arial"/>
          <w:sz w:val="24"/>
          <w:szCs w:val="24"/>
        </w:rPr>
        <w:t>NeoSmelt</w:t>
      </w:r>
      <w:proofErr w:type="spellEnd"/>
      <w:r w:rsidRPr="00C7458D">
        <w:rPr>
          <w:rFonts w:cs="Arial"/>
          <w:sz w:val="24"/>
          <w:szCs w:val="24"/>
        </w:rPr>
        <w:t xml:space="preserve"> (BlueScope, 2024) and its aim to help cut emissions per tonne of steel by 30% (BHP, 2024a). For copper, it should sell certified low-carbon metal backed by 80% renewable power and carbon data for each shipment (BHP, 2026b). This answers CBAM and shifts BHP from selling tonnes of ore to selling lower emissions per tonne of steel (Kotler et al., 2024).</w:t>
      </w:r>
    </w:p>
    <w:p w14:paraId="7F2974AE" w14:textId="77777777" w:rsidR="00D11A6D" w:rsidRPr="00C7458D" w:rsidRDefault="00B5054F" w:rsidP="00C7458D">
      <w:pPr>
        <w:spacing w:after="200" w:line="360" w:lineRule="auto"/>
        <w:jc w:val="both"/>
        <w:rPr>
          <w:rFonts w:cs="Arial"/>
          <w:sz w:val="24"/>
          <w:szCs w:val="24"/>
        </w:rPr>
      </w:pPr>
      <w:r w:rsidRPr="00C7458D">
        <w:rPr>
          <w:rFonts w:cs="Arial"/>
          <w:b/>
          <w:bCs/>
          <w:color w:val="0B4F5C"/>
          <w:sz w:val="24"/>
          <w:szCs w:val="24"/>
        </w:rPr>
        <w:t>Main route 2: market development.</w:t>
      </w:r>
      <w:r w:rsidRPr="00C7458D">
        <w:rPr>
          <w:rFonts w:cs="Arial"/>
          <w:sz w:val="24"/>
          <w:szCs w:val="24"/>
        </w:rPr>
        <w:t xml:space="preserve"> Low-carbon copper should target buyers who value proof of low emissions: European battery makers, who must declare product carbon footprints (European Union, 2023b); US buyers of copper cathode, which is exempt from the 50% US copper tariff (S&amp;P Global Commodity Insights, 2025); and power-grid and data-centre suppliers. More iron ore customers outside China would reduce reliance on CMRG, whose buying power forced discounted yuan pricing (</w:t>
      </w:r>
      <w:proofErr w:type="spellStart"/>
      <w:r w:rsidRPr="00C7458D">
        <w:rPr>
          <w:rFonts w:cs="Arial"/>
          <w:sz w:val="24"/>
          <w:szCs w:val="24"/>
        </w:rPr>
        <w:t>Caixin</w:t>
      </w:r>
      <w:proofErr w:type="spellEnd"/>
      <w:r w:rsidRPr="00C7458D">
        <w:rPr>
          <w:rFonts w:cs="Arial"/>
          <w:sz w:val="24"/>
          <w:szCs w:val="24"/>
        </w:rPr>
        <w:t xml:space="preserve"> Global, 2026). Buyers should be segmented by readiness to decarbonise (Jobber and Ellis-Chadwick, 2023).</w:t>
      </w:r>
    </w:p>
    <w:p w14:paraId="7F2974AF" w14:textId="77777777" w:rsidR="00D11A6D" w:rsidRPr="00C7458D" w:rsidRDefault="00B5054F" w:rsidP="00C7458D">
      <w:pPr>
        <w:spacing w:after="200" w:line="360" w:lineRule="auto"/>
        <w:jc w:val="both"/>
        <w:rPr>
          <w:rFonts w:cs="Arial"/>
          <w:sz w:val="24"/>
          <w:szCs w:val="24"/>
        </w:rPr>
      </w:pPr>
      <w:r w:rsidRPr="00C7458D">
        <w:rPr>
          <w:rFonts w:cs="Arial"/>
          <w:b/>
          <w:bCs/>
          <w:color w:val="0B4F5C"/>
          <w:sz w:val="24"/>
          <w:szCs w:val="24"/>
        </w:rPr>
        <w:t>Supporting routes.</w:t>
      </w:r>
      <w:r w:rsidRPr="00C7458D">
        <w:rPr>
          <w:rFonts w:cs="Arial"/>
          <w:sz w:val="24"/>
          <w:szCs w:val="24"/>
        </w:rPr>
        <w:t xml:space="preserve"> BHP expects copper output to fall to 1,650–1,800 </w:t>
      </w:r>
      <w:proofErr w:type="spellStart"/>
      <w:r w:rsidRPr="00C7458D">
        <w:rPr>
          <w:rFonts w:cs="Arial"/>
          <w:sz w:val="24"/>
          <w:szCs w:val="24"/>
        </w:rPr>
        <w:t>kt</w:t>
      </w:r>
      <w:proofErr w:type="spellEnd"/>
      <w:r w:rsidRPr="00C7458D">
        <w:rPr>
          <w:rFonts w:cs="Arial"/>
          <w:sz w:val="24"/>
          <w:szCs w:val="24"/>
        </w:rPr>
        <w:t xml:space="preserve"> in FY2027 (BHP, 2026a), so </w:t>
      </w:r>
      <w:proofErr w:type="spellStart"/>
      <w:r w:rsidRPr="00C7458D">
        <w:rPr>
          <w:rFonts w:cs="Arial"/>
          <w:sz w:val="24"/>
          <w:szCs w:val="24"/>
        </w:rPr>
        <w:t>Escondida</w:t>
      </w:r>
      <w:proofErr w:type="spellEnd"/>
      <w:r w:rsidRPr="00C7458D">
        <w:rPr>
          <w:rFonts w:cs="Arial"/>
          <w:sz w:val="24"/>
          <w:szCs w:val="24"/>
        </w:rPr>
        <w:t xml:space="preserve"> (1,261 </w:t>
      </w:r>
      <w:proofErr w:type="spellStart"/>
      <w:r w:rsidRPr="00C7458D">
        <w:rPr>
          <w:rFonts w:cs="Arial"/>
          <w:sz w:val="24"/>
          <w:szCs w:val="24"/>
        </w:rPr>
        <w:t>kt</w:t>
      </w:r>
      <w:proofErr w:type="spellEnd"/>
      <w:r w:rsidRPr="00C7458D">
        <w:rPr>
          <w:rFonts w:cs="Arial"/>
          <w:sz w:val="24"/>
          <w:szCs w:val="24"/>
        </w:rPr>
        <w:t xml:space="preserve"> in FY2026) and the Vicuña joint venture in Argentina (BHP, 2025a) remain central. Diversification into potash through the US$8.4 billion Jansen first stage, due mid-2027 (BHP, 2026b), should stay limited: BHP spent about US$3 billion on nickel before suspending it in 2024 (BHP, 2024b).</w:t>
      </w:r>
    </w:p>
    <w:p w14:paraId="7F2974B0" w14:textId="77777777" w:rsidR="00D11A6D" w:rsidRPr="00C7458D" w:rsidRDefault="00B5054F" w:rsidP="00C7458D">
      <w:pPr>
        <w:spacing w:after="200" w:line="360" w:lineRule="auto"/>
        <w:jc w:val="both"/>
        <w:rPr>
          <w:rFonts w:cs="Arial"/>
          <w:sz w:val="24"/>
          <w:szCs w:val="24"/>
        </w:rPr>
      </w:pPr>
      <w:r w:rsidRPr="00C7458D">
        <w:rPr>
          <w:rFonts w:cs="Arial"/>
          <w:sz w:val="24"/>
          <w:szCs w:val="24"/>
        </w:rPr>
        <w:t>This mix is justified by Task 1. Product development answers natural and political-legal pressure on Scope 3, market development reduces economic dependence on China, and copper growth exploits a shortage that favours BHP. Using existing mines, customers and partnerships keeps risk below diversification (</w:t>
      </w:r>
      <w:proofErr w:type="spellStart"/>
      <w:r w:rsidRPr="00C7458D">
        <w:rPr>
          <w:rFonts w:cs="Arial"/>
          <w:sz w:val="24"/>
          <w:szCs w:val="24"/>
        </w:rPr>
        <w:t>Ansoff</w:t>
      </w:r>
      <w:proofErr w:type="spellEnd"/>
      <w:r w:rsidRPr="00C7458D">
        <w:rPr>
          <w:rFonts w:cs="Arial"/>
          <w:sz w:val="24"/>
          <w:szCs w:val="24"/>
        </w:rPr>
        <w:t>, 1957) and turns the main threats in Figure 8 into opportunities.</w:t>
      </w:r>
    </w:p>
    <w:p w14:paraId="7F2974B1" w14:textId="77777777" w:rsidR="00D11A6D" w:rsidRPr="00C7458D" w:rsidRDefault="00B5054F" w:rsidP="00C7458D">
      <w:pPr>
        <w:pStyle w:val="Heading2"/>
        <w:keepNext/>
        <w:spacing w:line="360" w:lineRule="auto"/>
        <w:jc w:val="both"/>
        <w:rPr>
          <w:sz w:val="24"/>
          <w:szCs w:val="24"/>
        </w:rPr>
      </w:pPr>
      <w:bookmarkStart w:id="35" w:name="_Toc242365166"/>
      <w:bookmarkStart w:id="36" w:name="_Toc242967048"/>
      <w:r w:rsidRPr="00C7458D">
        <w:rPr>
          <w:sz w:val="24"/>
          <w:szCs w:val="24"/>
        </w:rPr>
        <w:t>2.3 Competitive positioning</w:t>
      </w:r>
      <w:bookmarkEnd w:id="35"/>
      <w:bookmarkEnd w:id="36"/>
    </w:p>
    <w:p w14:paraId="7F2974B2" w14:textId="74F6DFD6" w:rsidR="00D11A6D" w:rsidRPr="00C7458D" w:rsidRDefault="00AF7F86" w:rsidP="00C7458D">
      <w:pPr>
        <w:spacing w:after="200" w:line="360" w:lineRule="auto"/>
        <w:jc w:val="both"/>
        <w:rPr>
          <w:rFonts w:cs="Arial"/>
          <w:sz w:val="24"/>
          <w:szCs w:val="24"/>
        </w:rPr>
      </w:pPr>
      <w:r w:rsidRPr="00AF7F86">
        <w:rPr>
          <w:rFonts w:cs="Arial"/>
          <w:sz w:val="24"/>
          <w:szCs w:val="24"/>
        </w:rPr>
        <w:t xml:space="preserve">Porter’s (1985) generic strategies, summarised by Whittington et al. (2023), say firms win through either lowest cost or differentiation. BHP should use </w:t>
      </w:r>
      <w:r w:rsidRPr="00AF7F86">
        <w:rPr>
          <w:rFonts w:cs="Arial"/>
          <w:b/>
          <w:bCs/>
          <w:sz w:val="24"/>
          <w:szCs w:val="24"/>
        </w:rPr>
        <w:t>cost leadership in iron ore</w:t>
      </w:r>
      <w:r w:rsidRPr="00AF7F86">
        <w:rPr>
          <w:rFonts w:cs="Arial"/>
          <w:sz w:val="24"/>
          <w:szCs w:val="24"/>
        </w:rPr>
        <w:t xml:space="preserve"> and </w:t>
      </w:r>
      <w:r w:rsidRPr="00AF7F86">
        <w:rPr>
          <w:rFonts w:cs="Arial"/>
          <w:b/>
          <w:bCs/>
          <w:sz w:val="24"/>
          <w:szCs w:val="24"/>
        </w:rPr>
        <w:t>differentiation in copper and low-carbon iron</w:t>
      </w:r>
      <w:r w:rsidRPr="00AF7F86">
        <w:rPr>
          <w:rFonts w:cs="Arial"/>
          <w:sz w:val="24"/>
          <w:szCs w:val="24"/>
        </w:rPr>
        <w:t xml:space="preserve">. Its 59.4% EBITDA margin (BHP, 2026b) shows its iron ore is already low-cost, and that position should be protected against </w:t>
      </w:r>
      <w:proofErr w:type="spellStart"/>
      <w:r w:rsidRPr="00AF7F86">
        <w:rPr>
          <w:rFonts w:cs="Arial"/>
          <w:sz w:val="24"/>
          <w:szCs w:val="24"/>
        </w:rPr>
        <w:t>Simandou</w:t>
      </w:r>
      <w:proofErr w:type="spellEnd"/>
      <w:r w:rsidRPr="00AF7F86">
        <w:rPr>
          <w:rFonts w:cs="Arial"/>
          <w:sz w:val="24"/>
          <w:szCs w:val="24"/>
        </w:rPr>
        <w:t>. In copper and low-carbon iron, BHP should differentiate through certified low-</w:t>
      </w:r>
      <w:r w:rsidRPr="00AF7F86">
        <w:rPr>
          <w:rFonts w:cs="Arial"/>
          <w:sz w:val="24"/>
          <w:szCs w:val="24"/>
        </w:rPr>
        <w:lastRenderedPageBreak/>
        <w:t>carbon supply and steelmaker partnerships. Keeping the two approaches separate avoids being ‘stuck in the middle’ (Porter, 1985).</w:t>
      </w:r>
    </w:p>
    <w:p w14:paraId="7F2974B3" w14:textId="77777777" w:rsidR="00D11A6D" w:rsidRPr="00C7458D" w:rsidRDefault="00B5054F" w:rsidP="00C7458D">
      <w:pPr>
        <w:spacing w:after="200" w:line="360" w:lineRule="auto"/>
        <w:jc w:val="both"/>
        <w:rPr>
          <w:rFonts w:cs="Arial"/>
          <w:sz w:val="24"/>
          <w:szCs w:val="24"/>
        </w:rPr>
      </w:pPr>
      <w:r w:rsidRPr="00C7458D">
        <w:rPr>
          <w:rFonts w:cs="Arial"/>
          <w:sz w:val="24"/>
          <w:szCs w:val="24"/>
        </w:rPr>
        <w:t>Rivals already compete on climate credentials (Figure 10; Appendix A). Rio Tinto aims to cut its own emissions 50% by 2030 (</w:t>
      </w:r>
      <w:proofErr w:type="spellStart"/>
      <w:r w:rsidRPr="00C7458D">
        <w:rPr>
          <w:rFonts w:cs="Arial"/>
          <w:sz w:val="24"/>
          <w:szCs w:val="24"/>
        </w:rPr>
        <w:t>Inspectioneering</w:t>
      </w:r>
      <w:proofErr w:type="spellEnd"/>
      <w:r w:rsidRPr="00C7458D">
        <w:rPr>
          <w:rFonts w:cs="Arial"/>
          <w:sz w:val="24"/>
          <w:szCs w:val="24"/>
        </w:rPr>
        <w:t xml:space="preserve">, 2021), Vale 33% plus 15% for Scope 3 (Vale, </w:t>
      </w:r>
      <w:proofErr w:type="spellStart"/>
      <w:r w:rsidRPr="00C7458D">
        <w:rPr>
          <w:rFonts w:cs="Arial"/>
          <w:sz w:val="24"/>
          <w:szCs w:val="24"/>
        </w:rPr>
        <w:t>n.d.</w:t>
      </w:r>
      <w:proofErr w:type="spellEnd"/>
      <w:r w:rsidRPr="00C7458D">
        <w:rPr>
          <w:rFonts w:cs="Arial"/>
          <w:sz w:val="24"/>
          <w:szCs w:val="24"/>
        </w:rPr>
        <w:t xml:space="preserve">), and Fortescue targets ‘real zero’ in Australian iron ore (Andreyev, 2025). BHP has delivered more but promised less. In copper it is roughly level with </w:t>
      </w:r>
      <w:proofErr w:type="spellStart"/>
      <w:r w:rsidRPr="00C7458D">
        <w:rPr>
          <w:rFonts w:cs="Arial"/>
          <w:sz w:val="24"/>
          <w:szCs w:val="24"/>
        </w:rPr>
        <w:t>Codelco</w:t>
      </w:r>
      <w:proofErr w:type="spellEnd"/>
      <w:r w:rsidRPr="00C7458D">
        <w:rPr>
          <w:rFonts w:cs="Arial"/>
          <w:sz w:val="24"/>
          <w:szCs w:val="24"/>
        </w:rPr>
        <w:t xml:space="preserve"> (Mining Weekly, 2025a) and has twice failed to buy Anglo American (Mining Technology, 2025), so growth must come from its own projects.</w:t>
      </w:r>
    </w:p>
    <w:p w14:paraId="7F2974B4"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A0" wp14:editId="7F2975A1">
            <wp:extent cx="4064000" cy="1960418"/>
            <wp:effectExtent l="0" t="0" r="0" b="1905"/>
            <wp:docPr id="12" name="f7" descr="How much BHP and its rivals plan to cut their own emissions by 2030" title="How much BHP and its rivals plan to cut their own emissions by 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109864" cy="1982542"/>
                    </a:xfrm>
                    <a:prstGeom prst="rect">
                      <a:avLst/>
                    </a:prstGeom>
                  </pic:spPr>
                </pic:pic>
              </a:graphicData>
            </a:graphic>
          </wp:inline>
        </w:drawing>
      </w:r>
    </w:p>
    <w:p w14:paraId="7F2974B5"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10: </w:t>
      </w:r>
      <w:r w:rsidRPr="00C7458D">
        <w:rPr>
          <w:rFonts w:cs="Arial"/>
          <w:i/>
          <w:iCs/>
          <w:color w:val="1D2A2D"/>
          <w:sz w:val="20"/>
          <w:szCs w:val="20"/>
        </w:rPr>
        <w:t>How much BHP and its rivals plan to cut their own emissions by 2030</w:t>
      </w:r>
    </w:p>
    <w:p w14:paraId="7F2974B6" w14:textId="77777777" w:rsidR="00D11A6D" w:rsidRPr="00C7458D" w:rsidRDefault="00B5054F" w:rsidP="00C7458D">
      <w:pPr>
        <w:spacing w:after="260" w:line="360" w:lineRule="auto"/>
        <w:jc w:val="center"/>
        <w:rPr>
          <w:rFonts w:cs="Arial"/>
          <w:sz w:val="20"/>
          <w:szCs w:val="20"/>
        </w:rPr>
      </w:pPr>
      <w:r w:rsidRPr="00C7458D">
        <w:rPr>
          <w:rFonts w:cs="Arial"/>
          <w:color w:val="4A5558"/>
          <w:sz w:val="20"/>
          <w:szCs w:val="20"/>
        </w:rPr>
        <w:t xml:space="preserve">Source: Self-made, data from </w:t>
      </w:r>
      <w:proofErr w:type="spellStart"/>
      <w:r w:rsidRPr="00C7458D">
        <w:rPr>
          <w:rFonts w:cs="Arial"/>
          <w:color w:val="4A5558"/>
          <w:sz w:val="20"/>
          <w:szCs w:val="20"/>
        </w:rPr>
        <w:t>Inspectioneering</w:t>
      </w:r>
      <w:proofErr w:type="spellEnd"/>
      <w:r w:rsidRPr="00C7458D">
        <w:rPr>
          <w:rFonts w:cs="Arial"/>
          <w:color w:val="4A5558"/>
          <w:sz w:val="20"/>
          <w:szCs w:val="20"/>
        </w:rPr>
        <w:t xml:space="preserve"> (2021); Vale (</w:t>
      </w:r>
      <w:proofErr w:type="spellStart"/>
      <w:r w:rsidRPr="00C7458D">
        <w:rPr>
          <w:rFonts w:cs="Arial"/>
          <w:color w:val="4A5558"/>
          <w:sz w:val="20"/>
          <w:szCs w:val="20"/>
        </w:rPr>
        <w:t>n.d.</w:t>
      </w:r>
      <w:proofErr w:type="spellEnd"/>
      <w:r w:rsidRPr="00C7458D">
        <w:rPr>
          <w:rFonts w:cs="Arial"/>
          <w:color w:val="4A5558"/>
          <w:sz w:val="20"/>
          <w:szCs w:val="20"/>
        </w:rPr>
        <w:t>); Andreyev (2025); BHP (2026b). Fortescue’s 100% covers Australian iron ore operations; base years differ.</w:t>
      </w:r>
    </w:p>
    <w:p w14:paraId="7F2974B7" w14:textId="77777777" w:rsidR="00D11A6D" w:rsidRPr="00C7458D" w:rsidRDefault="00B5054F" w:rsidP="00C7458D">
      <w:pPr>
        <w:spacing w:after="200" w:line="360" w:lineRule="auto"/>
        <w:jc w:val="both"/>
        <w:rPr>
          <w:rFonts w:cs="Arial"/>
          <w:sz w:val="24"/>
          <w:szCs w:val="24"/>
        </w:rPr>
      </w:pPr>
      <w:r w:rsidRPr="00C7458D">
        <w:rPr>
          <w:rFonts w:cs="Arial"/>
          <w:sz w:val="24"/>
          <w:szCs w:val="24"/>
        </w:rPr>
        <w:t xml:space="preserve">These strengths are hard to copy (Barney, 1991): world-class copper mines, large iron ore operations, steelmaker partnerships and funds for pilots such as </w:t>
      </w:r>
      <w:proofErr w:type="spellStart"/>
      <w:r w:rsidRPr="00C7458D">
        <w:rPr>
          <w:rFonts w:cs="Arial"/>
          <w:sz w:val="24"/>
          <w:szCs w:val="24"/>
        </w:rPr>
        <w:t>NeoSmelt</w:t>
      </w:r>
      <w:proofErr w:type="spellEnd"/>
      <w:r w:rsidRPr="00C7458D">
        <w:rPr>
          <w:rFonts w:cs="Arial"/>
          <w:sz w:val="24"/>
          <w:szCs w:val="24"/>
        </w:rPr>
        <w:t>. As market leader, BHP should grow the market by helping customers make greener steel (Kotler et al., 2020), since rules such as CBAM can drive innovation that outweighs their cost (Porter and van der Linde, 1995). To be credible, BHP needs a measurable Scope 3 target like Vale’s, to avoid greenwashing claims (</w:t>
      </w:r>
      <w:proofErr w:type="spellStart"/>
      <w:r w:rsidRPr="00C7458D">
        <w:rPr>
          <w:rFonts w:cs="Arial"/>
          <w:sz w:val="24"/>
          <w:szCs w:val="24"/>
        </w:rPr>
        <w:t>Delmas</w:t>
      </w:r>
      <w:proofErr w:type="spellEnd"/>
      <w:r w:rsidRPr="00C7458D">
        <w:rPr>
          <w:rFonts w:cs="Arial"/>
          <w:sz w:val="24"/>
          <w:szCs w:val="24"/>
        </w:rPr>
        <w:t xml:space="preserve"> and </w:t>
      </w:r>
      <w:proofErr w:type="spellStart"/>
      <w:r w:rsidRPr="00C7458D">
        <w:rPr>
          <w:rFonts w:cs="Arial"/>
          <w:sz w:val="24"/>
          <w:szCs w:val="24"/>
        </w:rPr>
        <w:t>Burbano</w:t>
      </w:r>
      <w:proofErr w:type="spellEnd"/>
      <w:r w:rsidRPr="00C7458D">
        <w:rPr>
          <w:rFonts w:cs="Arial"/>
          <w:sz w:val="24"/>
          <w:szCs w:val="24"/>
        </w:rPr>
        <w:t xml:space="preserve">, 2011), and visible progress on </w:t>
      </w:r>
      <w:proofErr w:type="spellStart"/>
      <w:r w:rsidRPr="00C7458D">
        <w:rPr>
          <w:rFonts w:cs="Arial"/>
          <w:sz w:val="24"/>
          <w:szCs w:val="24"/>
        </w:rPr>
        <w:t>Samarco</w:t>
      </w:r>
      <w:proofErr w:type="spellEnd"/>
      <w:r w:rsidRPr="00C7458D">
        <w:rPr>
          <w:rFonts w:cs="Arial"/>
          <w:sz w:val="24"/>
          <w:szCs w:val="24"/>
        </w:rPr>
        <w:t>, reflecting the ‘triple bottom line’ of people, planet and profit (Elkington, 1997).</w:t>
      </w:r>
    </w:p>
    <w:p w14:paraId="7F2974B8" w14:textId="77777777" w:rsidR="00D11A6D" w:rsidRPr="00C7458D" w:rsidRDefault="00B5054F" w:rsidP="00C7458D">
      <w:pPr>
        <w:pStyle w:val="Heading2"/>
        <w:keepNext/>
        <w:spacing w:line="360" w:lineRule="auto"/>
        <w:jc w:val="both"/>
        <w:rPr>
          <w:sz w:val="24"/>
          <w:szCs w:val="24"/>
        </w:rPr>
      </w:pPr>
      <w:bookmarkStart w:id="37" w:name="_Toc242365167"/>
      <w:bookmarkStart w:id="38" w:name="_Toc242967049"/>
      <w:r w:rsidRPr="00C7458D">
        <w:rPr>
          <w:sz w:val="24"/>
          <w:szCs w:val="24"/>
        </w:rPr>
        <w:t>2.4 Implementation and measurement</w:t>
      </w:r>
      <w:bookmarkEnd w:id="37"/>
      <w:bookmarkEnd w:id="38"/>
    </w:p>
    <w:p w14:paraId="7F2974B9" w14:textId="77777777" w:rsidR="00D11A6D" w:rsidRPr="00C7458D" w:rsidRDefault="00B5054F" w:rsidP="00C7458D">
      <w:pPr>
        <w:spacing w:after="200" w:line="360" w:lineRule="auto"/>
        <w:jc w:val="both"/>
        <w:rPr>
          <w:rFonts w:cs="Arial"/>
          <w:sz w:val="24"/>
          <w:szCs w:val="24"/>
        </w:rPr>
      </w:pPr>
      <w:r w:rsidRPr="00C7458D">
        <w:rPr>
          <w:rFonts w:cs="Arial"/>
          <w:sz w:val="24"/>
          <w:szCs w:val="24"/>
        </w:rPr>
        <w:t>Figure 11 shows the plan and Table 2 the measures. A sales, sustainability and finance team should manage partnerships and report quarterly to the board, releasing funds in stages only when contracts and carbon data confirm demand.</w:t>
      </w:r>
    </w:p>
    <w:p w14:paraId="7F2974BA"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lastRenderedPageBreak/>
        <w:drawing>
          <wp:inline distT="0" distB="0" distL="0" distR="0" wp14:anchorId="7F2975A2" wp14:editId="7F2975A3">
            <wp:extent cx="4953000" cy="1714500"/>
            <wp:effectExtent l="0" t="0" r="0" b="0"/>
            <wp:docPr id="13" name="f9" descr="Step-by-step plan, 2027–2030" title="Step-by-step plan, 2027–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953000" cy="1714500"/>
                    </a:xfrm>
                    <a:prstGeom prst="rect">
                      <a:avLst/>
                    </a:prstGeom>
                  </pic:spPr>
                </pic:pic>
              </a:graphicData>
            </a:graphic>
          </wp:inline>
        </w:drawing>
      </w:r>
    </w:p>
    <w:p w14:paraId="7F2974BB" w14:textId="77777777" w:rsidR="00D11A6D" w:rsidRPr="00C7458D" w:rsidRDefault="00B5054F" w:rsidP="00C7458D">
      <w:pPr>
        <w:keepNext/>
        <w:spacing w:after="40" w:line="360" w:lineRule="auto"/>
        <w:jc w:val="center"/>
        <w:rPr>
          <w:rFonts w:cs="Arial"/>
          <w:sz w:val="20"/>
          <w:szCs w:val="20"/>
        </w:rPr>
      </w:pPr>
      <w:r w:rsidRPr="00C7458D">
        <w:rPr>
          <w:rFonts w:cs="Arial"/>
          <w:b/>
          <w:bCs/>
          <w:color w:val="0B4F5C"/>
          <w:sz w:val="20"/>
          <w:szCs w:val="20"/>
        </w:rPr>
        <w:t xml:space="preserve">Figure 11: </w:t>
      </w:r>
      <w:r w:rsidRPr="00C7458D">
        <w:rPr>
          <w:rFonts w:cs="Arial"/>
          <w:i/>
          <w:iCs/>
          <w:color w:val="1D2A2D"/>
          <w:sz w:val="20"/>
          <w:szCs w:val="20"/>
        </w:rPr>
        <w:t>Step-by-step plan, 2027-2030</w:t>
      </w:r>
    </w:p>
    <w:p w14:paraId="7F2974BC" w14:textId="77777777" w:rsidR="00D11A6D" w:rsidRPr="00C7458D" w:rsidRDefault="006D7703" w:rsidP="00C7458D">
      <w:pPr>
        <w:spacing w:after="260" w:line="360" w:lineRule="auto"/>
        <w:jc w:val="center"/>
        <w:rPr>
          <w:rFonts w:cs="Arial"/>
          <w:sz w:val="20"/>
          <w:szCs w:val="20"/>
        </w:rPr>
      </w:pPr>
      <w:r w:rsidRPr="00C7458D">
        <w:rPr>
          <w:rFonts w:cs="Arial"/>
          <w:color w:val="4A5558"/>
          <w:sz w:val="20"/>
          <w:szCs w:val="20"/>
        </w:rPr>
        <w:t>Source: milestones from BlueScope (2024) and BHP (2026b).</w:t>
      </w:r>
    </w:p>
    <w:p w14:paraId="7F2974BD" w14:textId="77777777" w:rsidR="00D11A6D" w:rsidRPr="00C7458D" w:rsidRDefault="00B5054F" w:rsidP="00C7458D">
      <w:pPr>
        <w:keepNext/>
        <w:spacing w:before="200" w:after="80" w:line="360" w:lineRule="auto"/>
        <w:rPr>
          <w:rFonts w:cs="Arial"/>
          <w:i/>
          <w:iCs/>
          <w:color w:val="1D2A2D"/>
          <w:sz w:val="24"/>
          <w:szCs w:val="24"/>
        </w:rPr>
      </w:pPr>
      <w:r w:rsidRPr="00C7458D">
        <w:rPr>
          <w:rFonts w:cs="Arial"/>
          <w:b/>
          <w:bCs/>
          <w:color w:val="0B4F5C"/>
          <w:sz w:val="24"/>
          <w:szCs w:val="24"/>
        </w:rPr>
        <w:t xml:space="preserve">Table 2: </w:t>
      </w:r>
      <w:r w:rsidRPr="00C7458D">
        <w:rPr>
          <w:rFonts w:cs="Arial"/>
          <w:i/>
          <w:iCs/>
          <w:color w:val="1D2A2D"/>
          <w:sz w:val="24"/>
          <w:szCs w:val="24"/>
        </w:rPr>
        <w:t>Indicators for tracking the strategy</w:t>
      </w:r>
    </w:p>
    <w:p w14:paraId="7F2974BE" w14:textId="77777777" w:rsidR="00B5054F" w:rsidRPr="00C7458D" w:rsidRDefault="006D7703"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A4" wp14:editId="7F2975A5">
            <wp:extent cx="5248518" cy="41355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8360" cy="4253650"/>
                    </a:xfrm>
                    <a:prstGeom prst="rect">
                      <a:avLst/>
                    </a:prstGeom>
                  </pic:spPr>
                </pic:pic>
              </a:graphicData>
            </a:graphic>
          </wp:inline>
        </w:drawing>
      </w:r>
    </w:p>
    <w:p w14:paraId="7F2974BF" w14:textId="77777777" w:rsidR="00D11A6D" w:rsidRPr="00C7458D" w:rsidRDefault="006D7703" w:rsidP="00C7458D">
      <w:pPr>
        <w:spacing w:after="260" w:line="360" w:lineRule="auto"/>
        <w:jc w:val="center"/>
        <w:rPr>
          <w:rFonts w:cs="Arial"/>
          <w:sz w:val="20"/>
          <w:szCs w:val="20"/>
        </w:rPr>
      </w:pPr>
      <w:r w:rsidRPr="00C7458D">
        <w:rPr>
          <w:rFonts w:cs="Arial"/>
          <w:i/>
          <w:iCs/>
          <w:color w:val="4A5558"/>
          <w:sz w:val="24"/>
          <w:szCs w:val="24"/>
        </w:rPr>
        <w:t>Sou</w:t>
      </w:r>
      <w:r w:rsidRPr="00C7458D">
        <w:rPr>
          <w:rFonts w:cs="Arial"/>
          <w:i/>
          <w:iCs/>
          <w:color w:val="4A5558"/>
          <w:sz w:val="20"/>
          <w:szCs w:val="20"/>
        </w:rPr>
        <w:t xml:space="preserve">rce: </w:t>
      </w:r>
      <w:r w:rsidRPr="00C7458D">
        <w:rPr>
          <w:rFonts w:cs="Arial"/>
          <w:color w:val="4A5558"/>
          <w:sz w:val="20"/>
          <w:szCs w:val="20"/>
        </w:rPr>
        <w:t>BlueScope (2024) and BHP (2026b).</w:t>
      </w:r>
    </w:p>
    <w:p w14:paraId="7F2974C0" w14:textId="77777777" w:rsidR="00D11A6D" w:rsidRPr="004A6C34" w:rsidRDefault="00B5054F" w:rsidP="00C7458D">
      <w:pPr>
        <w:pStyle w:val="Heading1"/>
        <w:pageBreakBefore/>
        <w:spacing w:line="360" w:lineRule="auto"/>
        <w:rPr>
          <w:sz w:val="28"/>
          <w:szCs w:val="28"/>
        </w:rPr>
      </w:pPr>
      <w:bookmarkStart w:id="39" w:name="_Toc242365168"/>
      <w:bookmarkStart w:id="40" w:name="_Toc242967050"/>
      <w:r w:rsidRPr="004A6C34">
        <w:rPr>
          <w:sz w:val="28"/>
          <w:szCs w:val="28"/>
        </w:rPr>
        <w:lastRenderedPageBreak/>
        <w:t>Task 3: Managerial and Professional Reflection</w:t>
      </w:r>
      <w:bookmarkEnd w:id="39"/>
      <w:bookmarkEnd w:id="40"/>
    </w:p>
    <w:p w14:paraId="7F2974C1" w14:textId="77777777" w:rsidR="00D11A6D" w:rsidRPr="00C7458D" w:rsidRDefault="00B5054F" w:rsidP="004A6C34">
      <w:pPr>
        <w:spacing w:after="200" w:line="360" w:lineRule="auto"/>
        <w:jc w:val="both"/>
        <w:rPr>
          <w:rFonts w:cs="Arial"/>
          <w:sz w:val="24"/>
          <w:szCs w:val="24"/>
        </w:rPr>
      </w:pPr>
      <w:r w:rsidRPr="00C7458D">
        <w:rPr>
          <w:rFonts w:cs="Arial"/>
          <w:sz w:val="24"/>
          <w:szCs w:val="24"/>
        </w:rPr>
        <w:t xml:space="preserve">This reflection uses Rolfe, Freshwater and Jasper’s (2001) ‘What? So what? Now what?’ </w:t>
      </w:r>
      <w:proofErr w:type="gramStart"/>
      <w:r w:rsidR="006D7703" w:rsidRPr="00C7458D">
        <w:rPr>
          <w:rFonts w:cs="Arial"/>
          <w:sz w:val="24"/>
          <w:szCs w:val="24"/>
        </w:rPr>
        <w:t>model.</w:t>
      </w:r>
      <w:proofErr w:type="gramEnd"/>
    </w:p>
    <w:p w14:paraId="46089EEE" w14:textId="77777777" w:rsidR="00D11A6D" w:rsidRPr="00C7458D" w:rsidRDefault="00B5054F" w:rsidP="00C7458D">
      <w:pPr>
        <w:keepNext/>
        <w:spacing w:before="200" w:after="80" w:line="360" w:lineRule="auto"/>
        <w:jc w:val="center"/>
        <w:rPr>
          <w:rFonts w:cs="Arial"/>
          <w:sz w:val="24"/>
          <w:szCs w:val="24"/>
        </w:rPr>
      </w:pPr>
      <w:r w:rsidRPr="00C7458D">
        <w:rPr>
          <w:rFonts w:cs="Arial"/>
          <w:noProof/>
          <w:sz w:val="24"/>
          <w:szCs w:val="24"/>
        </w:rPr>
        <w:drawing>
          <wp:inline distT="0" distB="0" distL="0" distR="0" wp14:anchorId="7F2975A2" wp14:editId="7F2975A3">
            <wp:extent cx="4953000" cy="2043979"/>
            <wp:effectExtent l="0" t="0" r="0" b="0"/>
            <wp:docPr id="9001" name="Figure 12" descr="Reflection summary: What, So what, Now what" title="Step-by-step plan, 2027–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953000" cy="2043979"/>
                    </a:xfrm>
                    <a:prstGeom prst="rect">
                      <a:avLst/>
                    </a:prstGeom>
                  </pic:spPr>
                </pic:pic>
              </a:graphicData>
            </a:graphic>
          </wp:inline>
        </w:drawing>
      </w:r>
    </w:p>
    <w:p w14:paraId="53C5F6AA" w14:textId="77777777" w:rsidR="00D11A6D" w:rsidRPr="004A6C34" w:rsidRDefault="00B5054F" w:rsidP="00C7458D">
      <w:pPr>
        <w:keepNext/>
        <w:spacing w:after="40" w:line="360" w:lineRule="auto"/>
        <w:jc w:val="center"/>
        <w:rPr>
          <w:rFonts w:cs="Arial"/>
          <w:sz w:val="20"/>
          <w:szCs w:val="20"/>
        </w:rPr>
      </w:pPr>
      <w:r w:rsidRPr="004A6C34">
        <w:rPr>
          <w:rFonts w:cs="Arial"/>
          <w:b/>
          <w:bCs/>
          <w:color w:val="0B4F5C"/>
          <w:sz w:val="20"/>
          <w:szCs w:val="20"/>
        </w:rPr>
        <w:t xml:space="preserve">Figure 12: </w:t>
      </w:r>
      <w:r w:rsidRPr="004A6C34">
        <w:rPr>
          <w:rFonts w:cs="Arial"/>
          <w:i/>
          <w:iCs/>
          <w:color w:val="1D2A2D"/>
          <w:sz w:val="20"/>
          <w:szCs w:val="20"/>
        </w:rPr>
        <w:t>Reflection summary using Rolfe et al. (2001)</w:t>
      </w:r>
    </w:p>
    <w:p w14:paraId="6C94A84E" w14:textId="77777777" w:rsidR="00D11A6D" w:rsidRPr="004A6C34" w:rsidRDefault="006D7703" w:rsidP="00C7458D">
      <w:pPr>
        <w:spacing w:after="260" w:line="360" w:lineRule="auto"/>
        <w:jc w:val="center"/>
        <w:rPr>
          <w:rFonts w:cs="Arial"/>
          <w:sz w:val="20"/>
          <w:szCs w:val="20"/>
        </w:rPr>
      </w:pPr>
      <w:r w:rsidRPr="004A6C34">
        <w:rPr>
          <w:rFonts w:cs="Arial"/>
          <w:color w:val="4A5558"/>
          <w:sz w:val="20"/>
          <w:szCs w:val="20"/>
        </w:rPr>
        <w:t>Source: Self-made, based on Rolfe et al. (2001).</w:t>
      </w:r>
    </w:p>
    <w:p w14:paraId="7F2974C2" w14:textId="77777777" w:rsidR="00D11A6D" w:rsidRPr="00C7458D" w:rsidRDefault="00B5054F" w:rsidP="004A6C34">
      <w:pPr>
        <w:pStyle w:val="Heading2"/>
        <w:keepNext/>
        <w:spacing w:line="360" w:lineRule="auto"/>
        <w:jc w:val="both"/>
        <w:rPr>
          <w:sz w:val="24"/>
          <w:szCs w:val="24"/>
        </w:rPr>
      </w:pPr>
      <w:bookmarkStart w:id="41" w:name="_Toc242365169"/>
      <w:bookmarkStart w:id="42" w:name="_Toc242967051"/>
      <w:r w:rsidRPr="00C7458D">
        <w:rPr>
          <w:sz w:val="24"/>
          <w:szCs w:val="24"/>
        </w:rPr>
        <w:t>3.1 What? Decisions taken</w:t>
      </w:r>
      <w:bookmarkEnd w:id="41"/>
      <w:bookmarkEnd w:id="42"/>
    </w:p>
    <w:p w14:paraId="7F2974C3" w14:textId="6FCCA277" w:rsidR="00D11A6D" w:rsidRPr="00C7458D" w:rsidRDefault="00B5054F" w:rsidP="00CB601D">
      <w:pPr>
        <w:spacing w:after="200" w:line="360" w:lineRule="auto"/>
        <w:jc w:val="both"/>
        <w:rPr>
          <w:rFonts w:cs="Arial"/>
          <w:sz w:val="24"/>
          <w:szCs w:val="24"/>
        </w:rPr>
      </w:pPr>
      <w:r w:rsidRPr="00C7458D">
        <w:rPr>
          <w:rFonts w:cs="Arial"/>
          <w:b/>
          <w:bCs/>
          <w:color w:val="0B4F5C"/>
          <w:sz w:val="24"/>
          <w:szCs w:val="24"/>
        </w:rPr>
        <w:t>Why BHP?</w:t>
      </w:r>
      <w:r w:rsidR="00CB601D" w:rsidRPr="00CB601D">
        <w:t xml:space="preserve"> </w:t>
      </w:r>
      <w:r w:rsidR="00CB601D" w:rsidRPr="00CB601D">
        <w:rPr>
          <w:sz w:val="24"/>
          <w:szCs w:val="24"/>
        </w:rPr>
        <w:t>BHP’s own sites emit relatively little, and these emissions are falling; the larger problem is Scope 3, because customers’ use of its products creates far greater emissions. This made it a strong case for testing ‘lower</w:t>
      </w:r>
      <w:r w:rsidR="00CB601D" w:rsidRPr="00CB601D">
        <w:rPr>
          <w:sz w:val="24"/>
          <w:szCs w:val="24"/>
        </w:rPr>
        <w:noBreakHyphen/>
        <w:t xml:space="preserve">carbon products’ when most emissions occur after the sale. Its mix of copper, iron ore, coal and potash also tested the </w:t>
      </w:r>
      <w:proofErr w:type="spellStart"/>
      <w:r w:rsidR="00CB601D" w:rsidRPr="00CB601D">
        <w:rPr>
          <w:sz w:val="24"/>
          <w:szCs w:val="24"/>
        </w:rPr>
        <w:t>Ansoff</w:t>
      </w:r>
      <w:proofErr w:type="spellEnd"/>
      <w:r w:rsidR="00CB601D" w:rsidRPr="00CB601D">
        <w:rPr>
          <w:sz w:val="24"/>
          <w:szCs w:val="24"/>
        </w:rPr>
        <w:t xml:space="preserve"> Matrix on very different products, offering broader insight into strategic growth decisions and highlighting how varied resource portfolios influence long</w:t>
      </w:r>
      <w:r w:rsidR="00CB601D" w:rsidRPr="00CB601D">
        <w:rPr>
          <w:sz w:val="24"/>
          <w:szCs w:val="24"/>
        </w:rPr>
        <w:noBreakHyphen/>
        <w:t>term decarbonisation planning.</w:t>
      </w:r>
    </w:p>
    <w:p w14:paraId="7F2974C4" w14:textId="720F4182" w:rsidR="00D11A6D" w:rsidRPr="00AF02C6" w:rsidRDefault="00B5054F" w:rsidP="00CB601D">
      <w:pPr>
        <w:spacing w:after="200" w:line="360" w:lineRule="auto"/>
        <w:jc w:val="both"/>
        <w:rPr>
          <w:rFonts w:cs="Arial"/>
          <w:b/>
          <w:bCs/>
          <w:sz w:val="24"/>
          <w:szCs w:val="24"/>
        </w:rPr>
      </w:pPr>
      <w:r w:rsidRPr="00C7458D">
        <w:rPr>
          <w:rFonts w:cs="Arial"/>
          <w:b/>
          <w:bCs/>
          <w:color w:val="0B4F5C"/>
          <w:sz w:val="24"/>
          <w:szCs w:val="24"/>
        </w:rPr>
        <w:t>Why these actors?</w:t>
      </w:r>
      <w:r w:rsidRPr="00CB601D">
        <w:rPr>
          <w:rFonts w:cs="Arial"/>
          <w:sz w:val="28"/>
          <w:szCs w:val="28"/>
        </w:rPr>
        <w:t xml:space="preserve"> </w:t>
      </w:r>
      <w:r w:rsidR="00CB601D" w:rsidRPr="00CB601D">
        <w:rPr>
          <w:sz w:val="24"/>
          <w:szCs w:val="24"/>
        </w:rPr>
        <w:t>The brief required the natural environment as the main actor, which suits BHP because it is the force BHP impacts most, through its own and customers’ emissions, water use and waste. I added the political</w:t>
      </w:r>
      <w:r w:rsidR="00CB601D" w:rsidRPr="00CB601D">
        <w:rPr>
          <w:sz w:val="24"/>
          <w:szCs w:val="24"/>
        </w:rPr>
        <w:noBreakHyphen/>
        <w:t xml:space="preserve">legal and economic environments because governments and courts turn environmental pressure into costs and China’s economy drives BHP’s revenue. Technological change is covered within the natural environment, and demographic and cultural forces were excluded because BHP sells to businesses rather than consumers. Local communities, including </w:t>
      </w:r>
      <w:proofErr w:type="spellStart"/>
      <w:r w:rsidR="00CB601D" w:rsidRPr="00CB601D">
        <w:rPr>
          <w:sz w:val="24"/>
          <w:szCs w:val="24"/>
        </w:rPr>
        <w:t>Samarco’s</w:t>
      </w:r>
      <w:proofErr w:type="spellEnd"/>
      <w:r w:rsidR="00CB601D" w:rsidRPr="00CB601D">
        <w:rPr>
          <w:sz w:val="24"/>
          <w:szCs w:val="24"/>
        </w:rPr>
        <w:t xml:space="preserve"> victims, deserve more attention than the word limit allowed: a ‘social licence to operate’ can stop a mine regardless of demand (</w:t>
      </w:r>
      <w:proofErr w:type="spellStart"/>
      <w:r w:rsidR="00CB601D" w:rsidRPr="00CB601D">
        <w:rPr>
          <w:sz w:val="24"/>
          <w:szCs w:val="24"/>
        </w:rPr>
        <w:t>Prno</w:t>
      </w:r>
      <w:proofErr w:type="spellEnd"/>
      <w:r w:rsidR="00CB601D" w:rsidRPr="00CB601D">
        <w:rPr>
          <w:sz w:val="24"/>
          <w:szCs w:val="24"/>
        </w:rPr>
        <w:t xml:space="preserve"> and </w:t>
      </w:r>
      <w:proofErr w:type="spellStart"/>
      <w:r w:rsidR="00CB601D" w:rsidRPr="00CB601D">
        <w:rPr>
          <w:sz w:val="24"/>
          <w:szCs w:val="24"/>
        </w:rPr>
        <w:t>Slocombe</w:t>
      </w:r>
      <w:proofErr w:type="spellEnd"/>
      <w:r w:rsidR="00CB601D" w:rsidRPr="00CB601D">
        <w:rPr>
          <w:sz w:val="24"/>
          <w:szCs w:val="24"/>
        </w:rPr>
        <w:t xml:space="preserve">, 2012), and stakeholder theory suggests such groups are gaining power (Freeman, 1984; Mitchell, </w:t>
      </w:r>
      <w:proofErr w:type="spellStart"/>
      <w:r w:rsidR="00CB601D" w:rsidRPr="00CB601D">
        <w:rPr>
          <w:sz w:val="24"/>
          <w:szCs w:val="24"/>
        </w:rPr>
        <w:t>Agle</w:t>
      </w:r>
      <w:proofErr w:type="spellEnd"/>
      <w:r w:rsidR="00CB601D" w:rsidRPr="00CB601D">
        <w:rPr>
          <w:sz w:val="24"/>
          <w:szCs w:val="24"/>
        </w:rPr>
        <w:t xml:space="preserve"> and Wood, 1997). </w:t>
      </w:r>
      <w:r w:rsidR="00CB601D" w:rsidRPr="00AF02C6">
        <w:rPr>
          <w:rStyle w:val="Strong"/>
          <w:b w:val="0"/>
          <w:bCs w:val="0"/>
          <w:sz w:val="24"/>
          <w:szCs w:val="24"/>
        </w:rPr>
        <w:t xml:space="preserve">Their </w:t>
      </w:r>
      <w:r w:rsidR="00CB601D" w:rsidRPr="00AF02C6">
        <w:rPr>
          <w:rStyle w:val="Strong"/>
          <w:b w:val="0"/>
          <w:bCs w:val="0"/>
          <w:sz w:val="24"/>
          <w:szCs w:val="24"/>
        </w:rPr>
        <w:lastRenderedPageBreak/>
        <w:t>influence is increasingly visible in permitting disputes, ESG expectations and investor scrutiny, reinforcing why social actors matter strategically.</w:t>
      </w:r>
    </w:p>
    <w:p w14:paraId="7F2974C5" w14:textId="66C25A88" w:rsidR="00D11A6D" w:rsidRPr="00C7458D" w:rsidRDefault="00B5054F" w:rsidP="00CB601D">
      <w:pPr>
        <w:spacing w:after="200" w:line="360" w:lineRule="auto"/>
        <w:jc w:val="both"/>
        <w:rPr>
          <w:rFonts w:cs="Arial"/>
          <w:sz w:val="24"/>
          <w:szCs w:val="24"/>
        </w:rPr>
      </w:pPr>
      <w:r w:rsidRPr="00C7458D">
        <w:rPr>
          <w:rFonts w:cs="Arial"/>
          <w:b/>
          <w:bCs/>
          <w:color w:val="0B4F5C"/>
          <w:sz w:val="24"/>
          <w:szCs w:val="24"/>
        </w:rPr>
        <w:t>Why this strategy?</w:t>
      </w:r>
      <w:r w:rsidRPr="00C7458D">
        <w:rPr>
          <w:rFonts w:cs="Arial"/>
          <w:sz w:val="24"/>
          <w:szCs w:val="24"/>
        </w:rPr>
        <w:t xml:space="preserve"> </w:t>
      </w:r>
      <w:r w:rsidR="00CB601D" w:rsidRPr="00CB601D">
        <w:rPr>
          <w:sz w:val="24"/>
          <w:szCs w:val="24"/>
        </w:rPr>
        <w:t>Product and market development tackle BHP’s two biggest weaknesses using assets it already has (</w:t>
      </w:r>
      <w:proofErr w:type="spellStart"/>
      <w:r w:rsidR="00CB601D" w:rsidRPr="00CB601D">
        <w:rPr>
          <w:sz w:val="24"/>
          <w:szCs w:val="24"/>
        </w:rPr>
        <w:t>Ansoff</w:t>
      </w:r>
      <w:proofErr w:type="spellEnd"/>
      <w:r w:rsidR="00CB601D" w:rsidRPr="00CB601D">
        <w:rPr>
          <w:sz w:val="24"/>
          <w:szCs w:val="24"/>
        </w:rPr>
        <w:t>, 1957). I limited diversification because the nickel suspension shows how quickly new products can fail, and rejected relying on low cost alone because it ignores Scope 3. I checked BHP’s claims against independent sources such as IEEFA (Nicholas, 2024) and the IEA (2020), ensuring the strategy was grounded in credible evidence and aligned with realistic industry trends rather than relying solely on BHP’s internal sustainability narrative</w:t>
      </w:r>
      <w:r w:rsidR="00CB601D" w:rsidRPr="00AF02C6">
        <w:rPr>
          <w:b/>
          <w:bCs/>
          <w:sz w:val="24"/>
          <w:szCs w:val="24"/>
        </w:rPr>
        <w:t xml:space="preserve">, </w:t>
      </w:r>
      <w:r w:rsidR="00CB601D" w:rsidRPr="00AF02C6">
        <w:rPr>
          <w:rStyle w:val="Strong"/>
          <w:b w:val="0"/>
          <w:bCs w:val="0"/>
          <w:sz w:val="24"/>
          <w:szCs w:val="24"/>
        </w:rPr>
        <w:t>while also reflecting pressures from external actors shaping long</w:t>
      </w:r>
      <w:r w:rsidR="00CB601D" w:rsidRPr="00AF02C6">
        <w:rPr>
          <w:rStyle w:val="Strong"/>
          <w:b w:val="0"/>
          <w:bCs w:val="0"/>
          <w:sz w:val="24"/>
          <w:szCs w:val="24"/>
        </w:rPr>
        <w:noBreakHyphen/>
        <w:t>term strategic feasibility.</w:t>
      </w:r>
    </w:p>
    <w:p w14:paraId="7F2974C6" w14:textId="77777777" w:rsidR="00D11A6D" w:rsidRPr="00C7458D" w:rsidRDefault="00B5054F" w:rsidP="004A6C34">
      <w:pPr>
        <w:pStyle w:val="Heading2"/>
        <w:keepNext/>
        <w:spacing w:line="360" w:lineRule="auto"/>
        <w:jc w:val="both"/>
        <w:rPr>
          <w:sz w:val="24"/>
          <w:szCs w:val="24"/>
        </w:rPr>
      </w:pPr>
      <w:bookmarkStart w:id="43" w:name="_Toc242365170"/>
      <w:bookmarkStart w:id="44" w:name="_Toc242967052"/>
      <w:r w:rsidRPr="00C7458D">
        <w:rPr>
          <w:sz w:val="24"/>
          <w:szCs w:val="24"/>
        </w:rPr>
        <w:t>3.2 So what? Limitations and their significance</w:t>
      </w:r>
      <w:bookmarkEnd w:id="43"/>
      <w:bookmarkEnd w:id="44"/>
    </w:p>
    <w:p w14:paraId="7F2974C7" w14:textId="77777777" w:rsidR="00D11A6D" w:rsidRPr="00C7458D" w:rsidRDefault="00B5054F" w:rsidP="004A6C34">
      <w:pPr>
        <w:spacing w:after="200" w:line="360" w:lineRule="auto"/>
        <w:jc w:val="both"/>
        <w:rPr>
          <w:rFonts w:cs="Arial"/>
          <w:sz w:val="24"/>
          <w:szCs w:val="24"/>
        </w:rPr>
      </w:pPr>
      <w:r w:rsidRPr="00C7458D">
        <w:rPr>
          <w:rFonts w:cs="Arial"/>
          <w:sz w:val="24"/>
          <w:szCs w:val="24"/>
        </w:rPr>
        <w:t xml:space="preserve">These choices have limits. First, Scope 3 figures are estimates based on assumptions about customers’ steelmaking, so they are less reliable than BHP’s own data. Second, published sources, including company reports and news, may present BHP favourably. Third, comparisons are inexact: BHP counts all of </w:t>
      </w:r>
      <w:proofErr w:type="spellStart"/>
      <w:r w:rsidRPr="00C7458D">
        <w:rPr>
          <w:rFonts w:cs="Arial"/>
          <w:sz w:val="24"/>
          <w:szCs w:val="24"/>
        </w:rPr>
        <w:t>Escondida’s</w:t>
      </w:r>
      <w:proofErr w:type="spellEnd"/>
      <w:r w:rsidRPr="00C7458D">
        <w:rPr>
          <w:rFonts w:cs="Arial"/>
          <w:sz w:val="24"/>
          <w:szCs w:val="24"/>
        </w:rPr>
        <w:t xml:space="preserve"> output, and rivals use different starting years. Fourth, there is little evidence that steelmakers will pay more for lower-carbon ore, and Chinese policy is hard to predict. Finally, the strategy could not be costed without non-public data.</w:t>
      </w:r>
    </w:p>
    <w:p w14:paraId="7F2974C8" w14:textId="77777777" w:rsidR="00D11A6D" w:rsidRPr="00C7458D" w:rsidRDefault="00B5054F" w:rsidP="004A6C34">
      <w:pPr>
        <w:pStyle w:val="Heading2"/>
        <w:keepNext/>
        <w:spacing w:line="360" w:lineRule="auto"/>
        <w:jc w:val="both"/>
        <w:rPr>
          <w:sz w:val="24"/>
          <w:szCs w:val="24"/>
        </w:rPr>
      </w:pPr>
      <w:bookmarkStart w:id="45" w:name="_Toc242365171"/>
      <w:bookmarkStart w:id="46" w:name="_Toc242967053"/>
      <w:r w:rsidRPr="00C7458D">
        <w:rPr>
          <w:sz w:val="24"/>
          <w:szCs w:val="24"/>
        </w:rPr>
        <w:t>3.3 Now what? Next steps before finalising</w:t>
      </w:r>
      <w:bookmarkEnd w:id="45"/>
      <w:bookmarkEnd w:id="46"/>
    </w:p>
    <w:p w14:paraId="7F2974C9" w14:textId="77777777" w:rsidR="00D11A6D" w:rsidRPr="00C7458D" w:rsidRDefault="00B5054F" w:rsidP="004A6C34">
      <w:pPr>
        <w:spacing w:after="200" w:line="360" w:lineRule="auto"/>
        <w:jc w:val="both"/>
        <w:rPr>
          <w:rFonts w:cs="Arial"/>
          <w:sz w:val="24"/>
          <w:szCs w:val="24"/>
        </w:rPr>
      </w:pPr>
      <w:r w:rsidRPr="00C7458D">
        <w:rPr>
          <w:rFonts w:cs="Arial"/>
          <w:sz w:val="24"/>
          <w:szCs w:val="24"/>
        </w:rPr>
        <w:t>Appendix B lists evidence a consultant would collect before finalising. When presenting to senior leaders, I would describe the plan as steps to test in FY2027 rather than fixed decisions. The core message is simple: grow copper, make iron ore lower-carbon and treat potash as an option, reviewing annually as regulation, prices and Chinese policy change.</w:t>
      </w:r>
    </w:p>
    <w:p w14:paraId="7F2974CA" w14:textId="77777777" w:rsidR="00D11A6D" w:rsidRPr="00C7458D" w:rsidRDefault="00B5054F" w:rsidP="00C7458D">
      <w:pPr>
        <w:pStyle w:val="Heading1"/>
        <w:pageBreakBefore/>
        <w:spacing w:line="360" w:lineRule="auto"/>
        <w:rPr>
          <w:sz w:val="24"/>
          <w:szCs w:val="24"/>
        </w:rPr>
      </w:pPr>
      <w:bookmarkStart w:id="47" w:name="_Toc242365172"/>
      <w:bookmarkStart w:id="48" w:name="_Toc242967054"/>
      <w:r w:rsidRPr="00C7458D">
        <w:rPr>
          <w:sz w:val="24"/>
          <w:szCs w:val="24"/>
        </w:rPr>
        <w:lastRenderedPageBreak/>
        <w:t>References</w:t>
      </w:r>
      <w:bookmarkEnd w:id="47"/>
      <w:bookmarkEnd w:id="48"/>
    </w:p>
    <w:p w14:paraId="7F2974CB"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AL Circle (2026) ‘Ferrari, BMW, Tesla and Chinese EV makers increase aluminium wiring adoption amid rising copper costs’, </w:t>
      </w:r>
      <w:r w:rsidRPr="00C7458D">
        <w:rPr>
          <w:rFonts w:cs="Arial"/>
          <w:i/>
          <w:iCs/>
          <w:sz w:val="24"/>
          <w:szCs w:val="24"/>
        </w:rPr>
        <w:t>AL Circle</w:t>
      </w:r>
      <w:r w:rsidRPr="00C7458D">
        <w:rPr>
          <w:rFonts w:cs="Arial"/>
          <w:sz w:val="24"/>
          <w:szCs w:val="24"/>
        </w:rPr>
        <w:t>, 2 July. Available at: https://www.alcircle.com/news/ferrari-bmw-tesla-and-chinese-ev-makers-increase-aluminium-wiring-adoption-amid-rising-copper-costs-120146.</w:t>
      </w:r>
    </w:p>
    <w:p w14:paraId="7F2974CC"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Andreyev, E. (2025) ‘Fortescue’s commitment to achieve real zero by 2030: a bold move to eliminate fossil fuels in mining’, </w:t>
      </w:r>
      <w:r w:rsidRPr="00C7458D">
        <w:rPr>
          <w:rFonts w:cs="Arial"/>
          <w:i/>
          <w:iCs/>
          <w:sz w:val="24"/>
          <w:szCs w:val="24"/>
        </w:rPr>
        <w:t>The Climate Registry</w:t>
      </w:r>
      <w:r w:rsidRPr="00C7458D">
        <w:rPr>
          <w:rFonts w:cs="Arial"/>
          <w:sz w:val="24"/>
          <w:szCs w:val="24"/>
        </w:rPr>
        <w:t>, 10 July. Available at: https://theclimateregistry.org/fortescues-commitment-to-achieve-real-zero-by-2030-a-bold-move-to-eliminate-fossil-fuels-in-mining/.</w:t>
      </w:r>
    </w:p>
    <w:p w14:paraId="7F2974CD"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Ansoff</w:t>
      </w:r>
      <w:proofErr w:type="spellEnd"/>
      <w:r w:rsidRPr="00C7458D">
        <w:rPr>
          <w:rFonts w:cs="Arial"/>
          <w:sz w:val="24"/>
          <w:szCs w:val="24"/>
        </w:rPr>
        <w:t xml:space="preserve">, H.I. (1957) ‘Strategies for diversification’, </w:t>
      </w:r>
      <w:r w:rsidRPr="00C7458D">
        <w:rPr>
          <w:rFonts w:cs="Arial"/>
          <w:i/>
          <w:iCs/>
          <w:sz w:val="24"/>
          <w:szCs w:val="24"/>
        </w:rPr>
        <w:t>Harvard Business Review</w:t>
      </w:r>
      <w:r w:rsidR="006D7703" w:rsidRPr="00C7458D">
        <w:rPr>
          <w:rFonts w:cs="Arial"/>
          <w:sz w:val="24"/>
          <w:szCs w:val="24"/>
        </w:rPr>
        <w:t>, 35(5), pp. 113-</w:t>
      </w:r>
      <w:r w:rsidRPr="00C7458D">
        <w:rPr>
          <w:rFonts w:cs="Arial"/>
          <w:sz w:val="24"/>
          <w:szCs w:val="24"/>
        </w:rPr>
        <w:t>124.</w:t>
      </w:r>
    </w:p>
    <w:p w14:paraId="7F2974CE"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Barney, J. (1991) ‘Firm resources and sustained competitive advantage’, </w:t>
      </w:r>
      <w:r w:rsidRPr="00C7458D">
        <w:rPr>
          <w:rFonts w:cs="Arial"/>
          <w:i/>
          <w:iCs/>
          <w:sz w:val="24"/>
          <w:szCs w:val="24"/>
        </w:rPr>
        <w:t>Journal of Management</w:t>
      </w:r>
      <w:r w:rsidRPr="00C7458D">
        <w:rPr>
          <w:rFonts w:cs="Arial"/>
          <w:sz w:val="24"/>
          <w:szCs w:val="24"/>
        </w:rPr>
        <w:t xml:space="preserve">, 17(1), pp. 99–120. </w:t>
      </w:r>
      <w:proofErr w:type="gramStart"/>
      <w:r w:rsidRPr="00C7458D">
        <w:rPr>
          <w:rFonts w:cs="Arial"/>
          <w:sz w:val="24"/>
          <w:szCs w:val="24"/>
        </w:rPr>
        <w:t>doi:</w:t>
      </w:r>
      <w:proofErr w:type="gramEnd"/>
      <w:r w:rsidRPr="00C7458D">
        <w:rPr>
          <w:rFonts w:cs="Arial"/>
          <w:sz w:val="24"/>
          <w:szCs w:val="24"/>
        </w:rPr>
        <w:t>10.1177/014920639101700108.</w:t>
      </w:r>
    </w:p>
    <w:p w14:paraId="7F2974CF"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(2019) </w:t>
      </w:r>
      <w:r w:rsidRPr="00C7458D">
        <w:rPr>
          <w:rFonts w:cs="Arial"/>
          <w:i/>
          <w:iCs/>
          <w:sz w:val="24"/>
          <w:szCs w:val="24"/>
        </w:rPr>
        <w:t xml:space="preserve">BHP targets 100 per cent renewable energy at </w:t>
      </w:r>
      <w:proofErr w:type="spellStart"/>
      <w:r w:rsidRPr="00C7458D">
        <w:rPr>
          <w:rFonts w:cs="Arial"/>
          <w:i/>
          <w:iCs/>
          <w:sz w:val="24"/>
          <w:szCs w:val="24"/>
        </w:rPr>
        <w:t>Escondida</w:t>
      </w:r>
      <w:proofErr w:type="spellEnd"/>
      <w:r w:rsidRPr="00C7458D">
        <w:rPr>
          <w:rFonts w:cs="Arial"/>
          <w:i/>
          <w:iCs/>
          <w:sz w:val="24"/>
          <w:szCs w:val="24"/>
        </w:rPr>
        <w:t xml:space="preserve"> and Spence operations and elimination of water usage from aquifers in Chile</w:t>
      </w:r>
      <w:r w:rsidRPr="00C7458D">
        <w:rPr>
          <w:rFonts w:cs="Arial"/>
          <w:sz w:val="24"/>
          <w:szCs w:val="24"/>
        </w:rPr>
        <w:t>. Media release, 20 October. Available at: https://www.bhp.com/news/media-centre/releases/2019/10/bhp-targets-100-per-cent-renewable-energy-at-escondida-and-spence-operations-and-elimination-of-water-usage-from-aquifers-in-chile.</w:t>
      </w:r>
    </w:p>
    <w:p w14:paraId="7F2974D0"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(2024a) </w:t>
      </w:r>
      <w:r w:rsidRPr="00C7458D">
        <w:rPr>
          <w:rFonts w:cs="Arial"/>
          <w:i/>
          <w:iCs/>
          <w:sz w:val="24"/>
          <w:szCs w:val="24"/>
        </w:rPr>
        <w:t>Decarbonisation roundtable: speaker notes</w:t>
      </w:r>
      <w:r w:rsidRPr="00C7458D">
        <w:rPr>
          <w:rFonts w:cs="Arial"/>
          <w:sz w:val="24"/>
          <w:szCs w:val="24"/>
        </w:rPr>
        <w:t>. Melbourne: BHP, 26 June. Available at: https://www.bhp.com/-/media/documents/media/reports-and-presentations/2024/260626_decarbonisationroundtable_speakernotes.pdf.</w:t>
      </w:r>
    </w:p>
    <w:p w14:paraId="7F2974D1"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(2024b) </w:t>
      </w:r>
      <w:r w:rsidRPr="00C7458D">
        <w:rPr>
          <w:rFonts w:cs="Arial"/>
          <w:i/>
          <w:iCs/>
          <w:sz w:val="24"/>
          <w:szCs w:val="24"/>
        </w:rPr>
        <w:t>Western Australia Nickel to temporarily suspend operations</w:t>
      </w:r>
      <w:r w:rsidRPr="00C7458D">
        <w:rPr>
          <w:rFonts w:cs="Arial"/>
          <w:sz w:val="24"/>
          <w:szCs w:val="24"/>
        </w:rPr>
        <w:t>. Media release, 11 July. Available at: https://www.bhp.com/news/media-centre/releases/2024/07/western-australia-nickel-to-temporarily-suspend-operations.</w:t>
      </w:r>
    </w:p>
    <w:p w14:paraId="7F2974D2"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(2025a) </w:t>
      </w:r>
      <w:r w:rsidRPr="00C7458D">
        <w:rPr>
          <w:rFonts w:cs="Arial"/>
          <w:i/>
          <w:iCs/>
          <w:sz w:val="24"/>
          <w:szCs w:val="24"/>
        </w:rPr>
        <w:t>BHP and Lundin Mining complete the acquisition of Filo Corp</w:t>
      </w:r>
      <w:r w:rsidRPr="00C7458D">
        <w:rPr>
          <w:rFonts w:cs="Arial"/>
          <w:sz w:val="24"/>
          <w:szCs w:val="24"/>
        </w:rPr>
        <w:t>. Media release, 15 January. Available at: https://www.bhp.com/news/media-centre/releases/2025/01/bhp-and-lundin-mining-complete-the-acquisition-of-filo-corp.</w:t>
      </w:r>
    </w:p>
    <w:p w14:paraId="7F2974D3"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(2025b) </w:t>
      </w:r>
      <w:r w:rsidRPr="00C7458D">
        <w:rPr>
          <w:rFonts w:cs="Arial"/>
          <w:i/>
          <w:iCs/>
          <w:sz w:val="24"/>
          <w:szCs w:val="24"/>
        </w:rPr>
        <w:t>BHP Operational Review for the year ended 30 June 2025</w:t>
      </w:r>
      <w:r w:rsidRPr="00C7458D">
        <w:rPr>
          <w:rFonts w:cs="Arial"/>
          <w:sz w:val="24"/>
          <w:szCs w:val="24"/>
        </w:rPr>
        <w:t>. Melbourne: BHP, 18 July. Available at: https://www.bhp.com/news/media-centre/releases/2025/07/bhp-operational-review-for-the-year-ended-30-june-2025.</w:t>
      </w:r>
    </w:p>
    <w:p w14:paraId="7F2974D4"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lastRenderedPageBreak/>
        <w:t xml:space="preserve">BHP (2026a) </w:t>
      </w:r>
      <w:r w:rsidRPr="00C7458D">
        <w:rPr>
          <w:rFonts w:cs="Arial"/>
          <w:i/>
          <w:iCs/>
          <w:sz w:val="24"/>
          <w:szCs w:val="24"/>
        </w:rPr>
        <w:t>BHP Operational Review for the year ended 30 June 2026</w:t>
      </w:r>
      <w:r w:rsidRPr="00C7458D">
        <w:rPr>
          <w:rFonts w:cs="Arial"/>
          <w:sz w:val="24"/>
          <w:szCs w:val="24"/>
        </w:rPr>
        <w:t>. Melbourne: BHP, 16 July. Available at: https://www.sec.gov/Archives/edgar/data/0000811809/000119312526306705/d212012d6k.htm.</w:t>
      </w:r>
    </w:p>
    <w:p w14:paraId="7F2974D5"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BHP (2026b) </w:t>
      </w:r>
      <w:r w:rsidRPr="00C7458D">
        <w:rPr>
          <w:rFonts w:cs="Arial"/>
          <w:i/>
          <w:iCs/>
          <w:sz w:val="24"/>
          <w:szCs w:val="24"/>
        </w:rPr>
        <w:t>Annual Report 2026</w:t>
      </w:r>
      <w:r w:rsidRPr="00C7458D">
        <w:rPr>
          <w:rFonts w:cs="Arial"/>
          <w:sz w:val="24"/>
          <w:szCs w:val="24"/>
        </w:rPr>
        <w:t>. Melbourne: BHP Group Limited, 18 August. Available at: https://www.sec.gov/Archives/edgar/data/0000811809/000119312526355840/d54971d6k.htm.</w:t>
      </w:r>
    </w:p>
    <w:p w14:paraId="7F2974D6"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BlueScope (2024) </w:t>
      </w:r>
      <w:r w:rsidRPr="00C7458D">
        <w:rPr>
          <w:rFonts w:cs="Arial"/>
          <w:i/>
          <w:iCs/>
          <w:sz w:val="24"/>
          <w:szCs w:val="24"/>
        </w:rPr>
        <w:t>BlueScope, BHP and Rio Tinto select WA for Australia’s largest ironmaking electric smelting furnace pilot plant</w:t>
      </w:r>
      <w:r w:rsidRPr="00C7458D">
        <w:rPr>
          <w:rFonts w:cs="Arial"/>
          <w:sz w:val="24"/>
          <w:szCs w:val="24"/>
        </w:rPr>
        <w:t>. Media release, 17 December. Available at: https://www.bluescope.com/news/BlueScope-BHP-and-Rio-Tinto-select-WA-for-Australia-s-largest-ironmaking-ESF-pilot-plant.</w:t>
      </w:r>
    </w:p>
    <w:p w14:paraId="7F2974D7"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Caixin</w:t>
      </w:r>
      <w:proofErr w:type="spellEnd"/>
      <w:r w:rsidRPr="00C7458D">
        <w:rPr>
          <w:rFonts w:cs="Arial"/>
          <w:sz w:val="24"/>
          <w:szCs w:val="24"/>
        </w:rPr>
        <w:t xml:space="preserve"> Global (2026) ‘BHP shifts to yuan-based pricing in deal with China state buyer’, </w:t>
      </w:r>
      <w:proofErr w:type="spellStart"/>
      <w:r w:rsidRPr="00C7458D">
        <w:rPr>
          <w:rFonts w:cs="Arial"/>
          <w:i/>
          <w:iCs/>
          <w:sz w:val="24"/>
          <w:szCs w:val="24"/>
        </w:rPr>
        <w:t>Caixin</w:t>
      </w:r>
      <w:proofErr w:type="spellEnd"/>
      <w:r w:rsidRPr="00C7458D">
        <w:rPr>
          <w:rFonts w:cs="Arial"/>
          <w:i/>
          <w:iCs/>
          <w:sz w:val="24"/>
          <w:szCs w:val="24"/>
        </w:rPr>
        <w:t xml:space="preserve"> Global</w:t>
      </w:r>
      <w:r w:rsidRPr="00C7458D">
        <w:rPr>
          <w:rFonts w:cs="Arial"/>
          <w:sz w:val="24"/>
          <w:szCs w:val="24"/>
        </w:rPr>
        <w:t>, 22 April. Available at: https://www.caixinglobal.com/2026-04-22/bhp-shifts-to-yuan-based-pricing-in-deal-with-china-state-buyer-102436831.html.</w:t>
      </w:r>
    </w:p>
    <w:p w14:paraId="7F2974D9"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Daily Maverick (2024) ‘BHP, Vale reach $30 billion Brazil settlement over dam disaster’, </w:t>
      </w:r>
      <w:r w:rsidRPr="00C7458D">
        <w:rPr>
          <w:rFonts w:cs="Arial"/>
          <w:i/>
          <w:iCs/>
          <w:sz w:val="24"/>
          <w:szCs w:val="24"/>
        </w:rPr>
        <w:t>Daily Maverick</w:t>
      </w:r>
      <w:r w:rsidRPr="00C7458D">
        <w:rPr>
          <w:rFonts w:cs="Arial"/>
          <w:sz w:val="24"/>
          <w:szCs w:val="24"/>
        </w:rPr>
        <w:t>, 25 October. Available at: https://www.dailymaverick.co.za/article/2024-10-25-bhp-vale-reach-30-billion-brazil-settlement-over-dam-disaster/.</w:t>
      </w:r>
    </w:p>
    <w:p w14:paraId="7F2974DA"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Delmas</w:t>
      </w:r>
      <w:proofErr w:type="spellEnd"/>
      <w:r w:rsidRPr="00C7458D">
        <w:rPr>
          <w:rFonts w:cs="Arial"/>
          <w:sz w:val="24"/>
          <w:szCs w:val="24"/>
        </w:rPr>
        <w:t xml:space="preserve">, M.A. and </w:t>
      </w:r>
      <w:proofErr w:type="spellStart"/>
      <w:r w:rsidRPr="00C7458D">
        <w:rPr>
          <w:rFonts w:cs="Arial"/>
          <w:sz w:val="24"/>
          <w:szCs w:val="24"/>
        </w:rPr>
        <w:t>Burbano</w:t>
      </w:r>
      <w:proofErr w:type="spellEnd"/>
      <w:r w:rsidRPr="00C7458D">
        <w:rPr>
          <w:rFonts w:cs="Arial"/>
          <w:sz w:val="24"/>
          <w:szCs w:val="24"/>
        </w:rPr>
        <w:t xml:space="preserve">, V.C. (2011) ‘The drivers of greenwashing’, </w:t>
      </w:r>
      <w:r w:rsidRPr="00C7458D">
        <w:rPr>
          <w:rFonts w:cs="Arial"/>
          <w:i/>
          <w:iCs/>
          <w:sz w:val="24"/>
          <w:szCs w:val="24"/>
        </w:rPr>
        <w:t>California Management Review</w:t>
      </w:r>
      <w:r w:rsidR="003F52BD" w:rsidRPr="00C7458D">
        <w:rPr>
          <w:rFonts w:cs="Arial"/>
          <w:sz w:val="24"/>
          <w:szCs w:val="24"/>
        </w:rPr>
        <w:t>, 54(1), pp. 64-</w:t>
      </w:r>
      <w:r w:rsidRPr="00C7458D">
        <w:rPr>
          <w:rFonts w:cs="Arial"/>
          <w:sz w:val="24"/>
          <w:szCs w:val="24"/>
        </w:rPr>
        <w:t>87. doi:10.1525/cmr.2011.54.1.64.</w:t>
      </w:r>
    </w:p>
    <w:p w14:paraId="7F2974DB"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DLA Piper (2023) </w:t>
      </w:r>
      <w:r w:rsidRPr="00C7458D">
        <w:rPr>
          <w:rFonts w:cs="Arial"/>
          <w:i/>
          <w:iCs/>
          <w:sz w:val="24"/>
          <w:szCs w:val="24"/>
        </w:rPr>
        <w:t>Carbon emissions: final legislative rules for the Safeguard Mechanism</w:t>
      </w:r>
      <w:r w:rsidRPr="00C7458D">
        <w:rPr>
          <w:rFonts w:cs="Arial"/>
          <w:sz w:val="24"/>
          <w:szCs w:val="24"/>
        </w:rPr>
        <w:t>. June. Available at: https://www.dlapiper.com/insights/publications/2023/06/carbon-emissions-final-legislative-rules-for-the-safeguard-mechanism.</w:t>
      </w:r>
    </w:p>
    <w:p w14:paraId="7F2974DC"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Elkington, J. (1997) </w:t>
      </w:r>
      <w:r w:rsidRPr="00C7458D">
        <w:rPr>
          <w:rFonts w:cs="Arial"/>
          <w:i/>
          <w:iCs/>
          <w:sz w:val="24"/>
          <w:szCs w:val="24"/>
        </w:rPr>
        <w:t>Cannibals with Forks: The Triple Bottom Line of 21st Century Business</w:t>
      </w:r>
      <w:r w:rsidRPr="00C7458D">
        <w:rPr>
          <w:rFonts w:cs="Arial"/>
          <w:sz w:val="24"/>
          <w:szCs w:val="24"/>
        </w:rPr>
        <w:t>. Oxford: Capstone.</w:t>
      </w:r>
    </w:p>
    <w:p w14:paraId="7F2974DD"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Engineering News (2026) ‘BHP can’t appeal UK judgment over 2015 Brazil dam collapse’, </w:t>
      </w:r>
      <w:r w:rsidRPr="00C7458D">
        <w:rPr>
          <w:rFonts w:cs="Arial"/>
          <w:i/>
          <w:iCs/>
          <w:sz w:val="24"/>
          <w:szCs w:val="24"/>
        </w:rPr>
        <w:t>Engineering News</w:t>
      </w:r>
      <w:r w:rsidRPr="00C7458D">
        <w:rPr>
          <w:rFonts w:cs="Arial"/>
          <w:sz w:val="24"/>
          <w:szCs w:val="24"/>
        </w:rPr>
        <w:t>, 6 May. Available at: https://www.engineeringnews.co.za/article/bhp-cant-appeal-uk-judgment-over-2015-brazil-dam-collapse-2026-05-06 (Accessed: 7 October 2026).</w:t>
      </w:r>
    </w:p>
    <w:p w14:paraId="7F2974DE"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lastRenderedPageBreak/>
        <w:t xml:space="preserve">European Union (2023a) ‘Regulation (EU) 2023/956 of the European Parliament and of the Council of 10 May 2023 establishing a carbon border adjustment mechanism’, </w:t>
      </w:r>
      <w:r w:rsidRPr="00C7458D">
        <w:rPr>
          <w:rFonts w:cs="Arial"/>
          <w:i/>
          <w:iCs/>
          <w:sz w:val="24"/>
          <w:szCs w:val="24"/>
        </w:rPr>
        <w:t>Official Journal of the European Union</w:t>
      </w:r>
      <w:r w:rsidR="003F52BD" w:rsidRPr="00C7458D">
        <w:rPr>
          <w:rFonts w:cs="Arial"/>
          <w:sz w:val="24"/>
          <w:szCs w:val="24"/>
        </w:rPr>
        <w:t>, L 130, 16 May, pp. 52-</w:t>
      </w:r>
      <w:r w:rsidRPr="00C7458D">
        <w:rPr>
          <w:rFonts w:cs="Arial"/>
          <w:sz w:val="24"/>
          <w:szCs w:val="24"/>
        </w:rPr>
        <w:t>104.</w:t>
      </w:r>
    </w:p>
    <w:p w14:paraId="7F2974DF"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European Union (2023b) ‘Regulation (EU) 2023/1542 of the European Parliament and of the Council of 12 July 2023 concerning batteries and waste batteries’, </w:t>
      </w:r>
      <w:r w:rsidRPr="00C7458D">
        <w:rPr>
          <w:rFonts w:cs="Arial"/>
          <w:i/>
          <w:iCs/>
          <w:sz w:val="24"/>
          <w:szCs w:val="24"/>
        </w:rPr>
        <w:t>Official Journal of the European Union</w:t>
      </w:r>
      <w:r w:rsidR="003F52BD" w:rsidRPr="00C7458D">
        <w:rPr>
          <w:rFonts w:cs="Arial"/>
          <w:sz w:val="24"/>
          <w:szCs w:val="24"/>
        </w:rPr>
        <w:t>, L 191, 28 July, pp. 1-</w:t>
      </w:r>
      <w:r w:rsidRPr="00C7458D">
        <w:rPr>
          <w:rFonts w:cs="Arial"/>
          <w:sz w:val="24"/>
          <w:szCs w:val="24"/>
        </w:rPr>
        <w:t>117.</w:t>
      </w:r>
    </w:p>
    <w:p w14:paraId="7F2974E0"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Freeman, R.E. (1984) </w:t>
      </w:r>
      <w:r w:rsidRPr="00C7458D">
        <w:rPr>
          <w:rFonts w:cs="Arial"/>
          <w:i/>
          <w:iCs/>
          <w:sz w:val="24"/>
          <w:szCs w:val="24"/>
        </w:rPr>
        <w:t>Strategic Management: A Stakeholder Approach</w:t>
      </w:r>
      <w:r w:rsidRPr="00C7458D">
        <w:rPr>
          <w:rFonts w:cs="Arial"/>
          <w:sz w:val="24"/>
          <w:szCs w:val="24"/>
        </w:rPr>
        <w:t>. Boston, MA: Pitman.</w:t>
      </w:r>
    </w:p>
    <w:p w14:paraId="7F2974E1"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Hart, S.L. (1995) ‘A natural-resource-based view of the firm’, </w:t>
      </w:r>
      <w:r w:rsidRPr="00C7458D">
        <w:rPr>
          <w:rFonts w:cs="Arial"/>
          <w:i/>
          <w:iCs/>
          <w:sz w:val="24"/>
          <w:szCs w:val="24"/>
        </w:rPr>
        <w:t>Academy of Management Review</w:t>
      </w:r>
      <w:r w:rsidR="003F52BD" w:rsidRPr="00C7458D">
        <w:rPr>
          <w:rFonts w:cs="Arial"/>
          <w:sz w:val="24"/>
          <w:szCs w:val="24"/>
        </w:rPr>
        <w:t>, 20(4), pp. 986-</w:t>
      </w:r>
      <w:r w:rsidRPr="00C7458D">
        <w:rPr>
          <w:rFonts w:cs="Arial"/>
          <w:sz w:val="24"/>
          <w:szCs w:val="24"/>
        </w:rPr>
        <w:t>1014. doi:10.5465/amr.1995.9512280033.</w:t>
      </w:r>
    </w:p>
    <w:p w14:paraId="7F2974E2"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Hooley, G., </w:t>
      </w:r>
      <w:proofErr w:type="spellStart"/>
      <w:r w:rsidRPr="00C7458D">
        <w:rPr>
          <w:rFonts w:cs="Arial"/>
          <w:sz w:val="24"/>
          <w:szCs w:val="24"/>
        </w:rPr>
        <w:t>Nicoulaud</w:t>
      </w:r>
      <w:proofErr w:type="spellEnd"/>
      <w:r w:rsidRPr="00C7458D">
        <w:rPr>
          <w:rFonts w:cs="Arial"/>
          <w:sz w:val="24"/>
          <w:szCs w:val="24"/>
        </w:rPr>
        <w:t xml:space="preserve">, B., Rudd, J.M. and Lee, N. (2020) </w:t>
      </w:r>
      <w:r w:rsidRPr="00C7458D">
        <w:rPr>
          <w:rFonts w:cs="Arial"/>
          <w:i/>
          <w:iCs/>
          <w:sz w:val="24"/>
          <w:szCs w:val="24"/>
        </w:rPr>
        <w:t>Marketing Strategy and Competitive Positioning</w:t>
      </w:r>
      <w:r w:rsidRPr="00C7458D">
        <w:rPr>
          <w:rFonts w:cs="Arial"/>
          <w:sz w:val="24"/>
          <w:szCs w:val="24"/>
        </w:rPr>
        <w:t xml:space="preserve">. 7th </w:t>
      </w:r>
      <w:proofErr w:type="spellStart"/>
      <w:r w:rsidRPr="00C7458D">
        <w:rPr>
          <w:rFonts w:cs="Arial"/>
          <w:sz w:val="24"/>
          <w:szCs w:val="24"/>
        </w:rPr>
        <w:t>edn</w:t>
      </w:r>
      <w:proofErr w:type="spellEnd"/>
      <w:r w:rsidRPr="00C7458D">
        <w:rPr>
          <w:rFonts w:cs="Arial"/>
          <w:sz w:val="24"/>
          <w:szCs w:val="24"/>
        </w:rPr>
        <w:t>. Harlow: Pearson.</w:t>
      </w:r>
    </w:p>
    <w:p w14:paraId="7F2974E4"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IEA (International Energy Agency) (2020) </w:t>
      </w:r>
      <w:r w:rsidRPr="00C7458D">
        <w:rPr>
          <w:rFonts w:cs="Arial"/>
          <w:i/>
          <w:iCs/>
          <w:sz w:val="24"/>
          <w:szCs w:val="24"/>
        </w:rPr>
        <w:t>Iron and Steel Technology Roadmap: Towards More Sustainable Steelmaking</w:t>
      </w:r>
      <w:r w:rsidRPr="00C7458D">
        <w:rPr>
          <w:rFonts w:cs="Arial"/>
          <w:sz w:val="24"/>
          <w:szCs w:val="24"/>
        </w:rPr>
        <w:t>. Paris: IEA. Available at: https://www.iea.org/reports/iron-and-steel-technology-roadmap.</w:t>
      </w:r>
    </w:p>
    <w:p w14:paraId="7F2974E5"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IEA (International Energy Agency) (2025) </w:t>
      </w:r>
      <w:r w:rsidRPr="00C7458D">
        <w:rPr>
          <w:rFonts w:cs="Arial"/>
          <w:i/>
          <w:iCs/>
          <w:sz w:val="24"/>
          <w:szCs w:val="24"/>
        </w:rPr>
        <w:t>Global Critical Minerals Outlook 2025</w:t>
      </w:r>
      <w:r w:rsidRPr="00C7458D">
        <w:rPr>
          <w:rFonts w:cs="Arial"/>
          <w:sz w:val="24"/>
          <w:szCs w:val="24"/>
        </w:rPr>
        <w:t>. Paris: IEA. Available at: https://www.iea.org/reports/global-</w:t>
      </w:r>
      <w:r w:rsidR="003F52BD" w:rsidRPr="00C7458D">
        <w:rPr>
          <w:rFonts w:cs="Arial"/>
          <w:sz w:val="24"/>
          <w:szCs w:val="24"/>
        </w:rPr>
        <w:t>critical-minerals-outlook-2025</w:t>
      </w:r>
      <w:r w:rsidRPr="00C7458D">
        <w:rPr>
          <w:rFonts w:cs="Arial"/>
          <w:sz w:val="24"/>
          <w:szCs w:val="24"/>
        </w:rPr>
        <w:t>.</w:t>
      </w:r>
    </w:p>
    <w:p w14:paraId="7F2974E6"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Inspectioneering</w:t>
      </w:r>
      <w:proofErr w:type="spellEnd"/>
      <w:r w:rsidRPr="00C7458D">
        <w:rPr>
          <w:rFonts w:cs="Arial"/>
          <w:sz w:val="24"/>
          <w:szCs w:val="24"/>
        </w:rPr>
        <w:t xml:space="preserve"> (2021) ‘Rio Tinto to invest $7.5 billion to cut carbon emissions by 50% by 2030’, </w:t>
      </w:r>
      <w:proofErr w:type="spellStart"/>
      <w:r w:rsidRPr="00C7458D">
        <w:rPr>
          <w:rFonts w:cs="Arial"/>
          <w:i/>
          <w:iCs/>
          <w:sz w:val="24"/>
          <w:szCs w:val="24"/>
        </w:rPr>
        <w:t>Inspectioneering</w:t>
      </w:r>
      <w:proofErr w:type="spellEnd"/>
      <w:r w:rsidRPr="00C7458D">
        <w:rPr>
          <w:rFonts w:cs="Arial"/>
          <w:sz w:val="24"/>
          <w:szCs w:val="24"/>
        </w:rPr>
        <w:t>, 25 October. Available at: https://inspectioneering.com/news/2021-10-25/9890/rio-tinto-to-invest-75-billion-to-cut-carbon-emissions-by-50-by-2030.</w:t>
      </w:r>
    </w:p>
    <w:p w14:paraId="7F2974D8"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Jennifer L. (2026) ‘BHP profit soars 30% while emissions rise, targets net zero with up to 5M carbon credits’, </w:t>
      </w:r>
      <w:r w:rsidRPr="00C7458D">
        <w:rPr>
          <w:rFonts w:cs="Arial"/>
          <w:i/>
          <w:iCs/>
          <w:sz w:val="24"/>
          <w:szCs w:val="24"/>
        </w:rPr>
        <w:t>CarbonCredits.com</w:t>
      </w:r>
      <w:r w:rsidRPr="00C7458D">
        <w:rPr>
          <w:rFonts w:cs="Arial"/>
          <w:sz w:val="24"/>
          <w:szCs w:val="24"/>
        </w:rPr>
        <w:t>, 20 August. Available at: https://carboncredits.com/bhp-profit-soars-30-while-emissions-rise-targets-net-zero-with-up-to-5m-carbon-credits/.</w:t>
      </w:r>
    </w:p>
    <w:p w14:paraId="7F2974E7"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Jobber, D. and Ellis-Chadwick, F. (2023) </w:t>
      </w:r>
      <w:r w:rsidRPr="00C7458D">
        <w:rPr>
          <w:rFonts w:cs="Arial"/>
          <w:i/>
          <w:iCs/>
          <w:sz w:val="24"/>
          <w:szCs w:val="24"/>
        </w:rPr>
        <w:t>Principles and Practice of Marketing</w:t>
      </w:r>
      <w:r w:rsidRPr="00C7458D">
        <w:rPr>
          <w:rFonts w:cs="Arial"/>
          <w:sz w:val="24"/>
          <w:szCs w:val="24"/>
        </w:rPr>
        <w:t xml:space="preserve">. 10th </w:t>
      </w:r>
      <w:proofErr w:type="spellStart"/>
      <w:r w:rsidRPr="00C7458D">
        <w:rPr>
          <w:rFonts w:cs="Arial"/>
          <w:sz w:val="24"/>
          <w:szCs w:val="24"/>
        </w:rPr>
        <w:t>edn</w:t>
      </w:r>
      <w:proofErr w:type="spellEnd"/>
      <w:r w:rsidRPr="00C7458D">
        <w:rPr>
          <w:rFonts w:cs="Arial"/>
          <w:sz w:val="24"/>
          <w:szCs w:val="24"/>
        </w:rPr>
        <w:t>. London: McGraw Hill.</w:t>
      </w:r>
    </w:p>
    <w:p w14:paraId="7F2974E8"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Kotler, P., Armstrong, G., Harris, L.C. and Piercy, N. (2020) </w:t>
      </w:r>
      <w:r w:rsidRPr="00C7458D">
        <w:rPr>
          <w:rFonts w:cs="Arial"/>
          <w:i/>
          <w:iCs/>
          <w:sz w:val="24"/>
          <w:szCs w:val="24"/>
        </w:rPr>
        <w:t>Principles of Marketing</w:t>
      </w:r>
      <w:r w:rsidRPr="00C7458D">
        <w:rPr>
          <w:rFonts w:cs="Arial"/>
          <w:sz w:val="24"/>
          <w:szCs w:val="24"/>
        </w:rPr>
        <w:t xml:space="preserve">. 8th European </w:t>
      </w:r>
      <w:proofErr w:type="spellStart"/>
      <w:r w:rsidRPr="00C7458D">
        <w:rPr>
          <w:rFonts w:cs="Arial"/>
          <w:sz w:val="24"/>
          <w:szCs w:val="24"/>
        </w:rPr>
        <w:t>edn</w:t>
      </w:r>
      <w:proofErr w:type="spellEnd"/>
      <w:r w:rsidRPr="00C7458D">
        <w:rPr>
          <w:rFonts w:cs="Arial"/>
          <w:sz w:val="24"/>
          <w:szCs w:val="24"/>
        </w:rPr>
        <w:t>. Harlow: Pearson.</w:t>
      </w:r>
    </w:p>
    <w:p w14:paraId="7F2974E9"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lastRenderedPageBreak/>
        <w:t xml:space="preserve">Kotler, P., Armstrong, G., Harris, L.C. and He, H. (2024) </w:t>
      </w:r>
      <w:r w:rsidRPr="00C7458D">
        <w:rPr>
          <w:rFonts w:cs="Arial"/>
          <w:i/>
          <w:iCs/>
          <w:sz w:val="24"/>
          <w:szCs w:val="24"/>
        </w:rPr>
        <w:t>Principles of Marketing</w:t>
      </w:r>
      <w:r w:rsidRPr="00C7458D">
        <w:rPr>
          <w:rFonts w:cs="Arial"/>
          <w:sz w:val="24"/>
          <w:szCs w:val="24"/>
        </w:rPr>
        <w:t xml:space="preserve">. 19th </w:t>
      </w:r>
      <w:proofErr w:type="spellStart"/>
      <w:r w:rsidRPr="00C7458D">
        <w:rPr>
          <w:rFonts w:cs="Arial"/>
          <w:sz w:val="24"/>
          <w:szCs w:val="24"/>
        </w:rPr>
        <w:t>edn</w:t>
      </w:r>
      <w:proofErr w:type="spellEnd"/>
      <w:r w:rsidRPr="00C7458D">
        <w:rPr>
          <w:rFonts w:cs="Arial"/>
          <w:sz w:val="24"/>
          <w:szCs w:val="24"/>
        </w:rPr>
        <w:t>. Harlow: Pearson.</w:t>
      </w:r>
    </w:p>
    <w:p w14:paraId="7F2974EA"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Mayer Brown (2025) </w:t>
      </w:r>
      <w:r w:rsidRPr="00C7458D">
        <w:rPr>
          <w:rFonts w:cs="Arial"/>
          <w:i/>
          <w:iCs/>
          <w:sz w:val="24"/>
          <w:szCs w:val="24"/>
        </w:rPr>
        <w:t>European Commission issues CBAM operational rules and proposes downstream extension of the CBAM scope</w:t>
      </w:r>
      <w:r w:rsidRPr="00C7458D">
        <w:rPr>
          <w:rFonts w:cs="Arial"/>
          <w:sz w:val="24"/>
          <w:szCs w:val="24"/>
        </w:rPr>
        <w:t>. December. Available at: https://www.mayerbrown.com/ja/insights/publications/2025/12/european-commission-issues-cbam-operational-rules-and-proposes-downstream-extension-of-the-cbam-</w:t>
      </w:r>
      <w:r w:rsidR="003F52BD" w:rsidRPr="00C7458D">
        <w:rPr>
          <w:rFonts w:cs="Arial"/>
          <w:sz w:val="24"/>
          <w:szCs w:val="24"/>
        </w:rPr>
        <w:t>scope</w:t>
      </w:r>
      <w:r w:rsidRPr="00C7458D">
        <w:rPr>
          <w:rFonts w:cs="Arial"/>
          <w:sz w:val="24"/>
          <w:szCs w:val="24"/>
        </w:rPr>
        <w:t>.</w:t>
      </w:r>
    </w:p>
    <w:p w14:paraId="7F2974EB" w14:textId="77777777" w:rsidR="00D11A6D" w:rsidRPr="00C7458D" w:rsidRDefault="003F52BD" w:rsidP="00C7458D">
      <w:pPr>
        <w:spacing w:after="120" w:line="360" w:lineRule="auto"/>
        <w:ind w:left="567" w:hanging="567"/>
        <w:jc w:val="both"/>
        <w:rPr>
          <w:rFonts w:cs="Arial"/>
          <w:sz w:val="24"/>
          <w:szCs w:val="24"/>
        </w:rPr>
      </w:pPr>
      <w:r w:rsidRPr="00C7458D">
        <w:rPr>
          <w:rFonts w:cs="Arial"/>
          <w:sz w:val="24"/>
          <w:szCs w:val="24"/>
        </w:rPr>
        <w:t>Mining Technology (2025) ‘BHP-</w:t>
      </w:r>
      <w:r w:rsidR="00B5054F" w:rsidRPr="00C7458D">
        <w:rPr>
          <w:rFonts w:cs="Arial"/>
          <w:sz w:val="24"/>
          <w:szCs w:val="24"/>
        </w:rPr>
        <w:t xml:space="preserve">Anglo American takeover bid ends’, </w:t>
      </w:r>
      <w:r w:rsidR="00B5054F" w:rsidRPr="00C7458D">
        <w:rPr>
          <w:rFonts w:cs="Arial"/>
          <w:i/>
          <w:iCs/>
          <w:sz w:val="24"/>
          <w:szCs w:val="24"/>
        </w:rPr>
        <w:t>Mining Technology</w:t>
      </w:r>
      <w:r w:rsidR="00B5054F" w:rsidRPr="00C7458D">
        <w:rPr>
          <w:rFonts w:cs="Arial"/>
          <w:sz w:val="24"/>
          <w:szCs w:val="24"/>
        </w:rPr>
        <w:t>, November. Available at: https://www.mining-technology.com/newsletters/bhp-anglo-american-takeover-bid</w:t>
      </w:r>
      <w:r w:rsidRPr="00C7458D">
        <w:rPr>
          <w:rFonts w:cs="Arial"/>
          <w:sz w:val="24"/>
          <w:szCs w:val="24"/>
        </w:rPr>
        <w:t>-ends</w:t>
      </w:r>
      <w:r w:rsidR="00B5054F" w:rsidRPr="00C7458D">
        <w:rPr>
          <w:rFonts w:cs="Arial"/>
          <w:sz w:val="24"/>
          <w:szCs w:val="24"/>
        </w:rPr>
        <w:t>.</w:t>
      </w:r>
    </w:p>
    <w:p w14:paraId="7F2974EC"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Mining Weekly (2025a) ‘</w:t>
      </w:r>
      <w:proofErr w:type="spellStart"/>
      <w:r w:rsidRPr="00C7458D">
        <w:rPr>
          <w:rFonts w:cs="Arial"/>
          <w:sz w:val="24"/>
          <w:szCs w:val="24"/>
        </w:rPr>
        <w:t>Codelco</w:t>
      </w:r>
      <w:proofErr w:type="spellEnd"/>
      <w:r w:rsidRPr="00C7458D">
        <w:rPr>
          <w:rFonts w:cs="Arial"/>
          <w:sz w:val="24"/>
          <w:szCs w:val="24"/>
        </w:rPr>
        <w:t xml:space="preserve"> extends reign as top copper producer as BHP challenges’, </w:t>
      </w:r>
      <w:r w:rsidRPr="00C7458D">
        <w:rPr>
          <w:rFonts w:cs="Arial"/>
          <w:i/>
          <w:iCs/>
          <w:sz w:val="24"/>
          <w:szCs w:val="24"/>
        </w:rPr>
        <w:t>Mining Weekly</w:t>
      </w:r>
      <w:r w:rsidRPr="00C7458D">
        <w:rPr>
          <w:rFonts w:cs="Arial"/>
          <w:sz w:val="24"/>
          <w:szCs w:val="24"/>
        </w:rPr>
        <w:t>, 31 March. Available at: https://www.miningweekly.com/article/codelco-extends-reign-as-top-copper-producer-as-bhp-challenges-2025-</w:t>
      </w:r>
      <w:r w:rsidR="003F52BD" w:rsidRPr="00C7458D">
        <w:rPr>
          <w:rFonts w:cs="Arial"/>
          <w:sz w:val="24"/>
          <w:szCs w:val="24"/>
        </w:rPr>
        <w:t>03-31</w:t>
      </w:r>
      <w:r w:rsidRPr="00C7458D">
        <w:rPr>
          <w:rFonts w:cs="Arial"/>
          <w:sz w:val="24"/>
          <w:szCs w:val="24"/>
        </w:rPr>
        <w:t>.</w:t>
      </w:r>
    </w:p>
    <w:p w14:paraId="7F2974ED"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Mining Weekly (2025b) ‘China bans all BHP iron-ore cargoes as pricing dispute deepens, Bloomberg News reports’, </w:t>
      </w:r>
      <w:r w:rsidRPr="00C7458D">
        <w:rPr>
          <w:rFonts w:cs="Arial"/>
          <w:i/>
          <w:iCs/>
          <w:sz w:val="24"/>
          <w:szCs w:val="24"/>
        </w:rPr>
        <w:t>Mining Weekly</w:t>
      </w:r>
      <w:r w:rsidRPr="00C7458D">
        <w:rPr>
          <w:rFonts w:cs="Arial"/>
          <w:sz w:val="24"/>
          <w:szCs w:val="24"/>
        </w:rPr>
        <w:t>, 30 September. Available at: https://newsletter.en.creamermedia.com/article/china-bans-all-bhp-iron-ore-cargoes-as-pricing-dispute-deepens-bloomberg-news-reports-2025-</w:t>
      </w:r>
      <w:r w:rsidR="003F52BD" w:rsidRPr="00C7458D">
        <w:rPr>
          <w:rFonts w:cs="Arial"/>
          <w:sz w:val="24"/>
          <w:szCs w:val="24"/>
        </w:rPr>
        <w:t>09-30</w:t>
      </w:r>
      <w:r w:rsidRPr="00C7458D">
        <w:rPr>
          <w:rFonts w:cs="Arial"/>
          <w:sz w:val="24"/>
          <w:szCs w:val="24"/>
        </w:rPr>
        <w:t>.</w:t>
      </w:r>
    </w:p>
    <w:p w14:paraId="7F2974EE"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Mining Weekly (2025c) ‘Rio Tinto ramps up </w:t>
      </w:r>
      <w:proofErr w:type="spellStart"/>
      <w:r w:rsidRPr="00C7458D">
        <w:rPr>
          <w:rFonts w:cs="Arial"/>
          <w:sz w:val="24"/>
          <w:szCs w:val="24"/>
        </w:rPr>
        <w:t>Simandou</w:t>
      </w:r>
      <w:proofErr w:type="spellEnd"/>
      <w:r w:rsidRPr="00C7458D">
        <w:rPr>
          <w:rFonts w:cs="Arial"/>
          <w:sz w:val="24"/>
          <w:szCs w:val="24"/>
        </w:rPr>
        <w:t xml:space="preserve"> stockpiles to 2Mt for first shipment’, </w:t>
      </w:r>
      <w:proofErr w:type="gramStart"/>
      <w:r w:rsidRPr="00C7458D">
        <w:rPr>
          <w:rFonts w:cs="Arial"/>
          <w:i/>
          <w:iCs/>
          <w:sz w:val="24"/>
          <w:szCs w:val="24"/>
        </w:rPr>
        <w:t>Mining</w:t>
      </w:r>
      <w:proofErr w:type="gramEnd"/>
      <w:r w:rsidRPr="00C7458D">
        <w:rPr>
          <w:rFonts w:cs="Arial"/>
          <w:i/>
          <w:iCs/>
          <w:sz w:val="24"/>
          <w:szCs w:val="24"/>
        </w:rPr>
        <w:t xml:space="preserve"> Weekly</w:t>
      </w:r>
      <w:r w:rsidRPr="00C7458D">
        <w:rPr>
          <w:rFonts w:cs="Arial"/>
          <w:sz w:val="24"/>
          <w:szCs w:val="24"/>
        </w:rPr>
        <w:t>, 17 October. Available at: https://www.miningweekly.com/article/rio-tinto-ramps-up-simandou-stockpiles-to-2-million-tons-for-first-shipment-2025-</w:t>
      </w:r>
      <w:r w:rsidR="003F52BD" w:rsidRPr="00C7458D">
        <w:rPr>
          <w:rFonts w:cs="Arial"/>
          <w:sz w:val="24"/>
          <w:szCs w:val="24"/>
        </w:rPr>
        <w:t>10-17</w:t>
      </w:r>
      <w:r w:rsidRPr="00C7458D">
        <w:rPr>
          <w:rFonts w:cs="Arial"/>
          <w:sz w:val="24"/>
          <w:szCs w:val="24"/>
        </w:rPr>
        <w:t>.</w:t>
      </w:r>
    </w:p>
    <w:p w14:paraId="7F2974EF"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Mining.com (2025) ‘China pledges to control steel output during 2026–2030 period’, </w:t>
      </w:r>
      <w:r w:rsidRPr="00C7458D">
        <w:rPr>
          <w:rFonts w:cs="Arial"/>
          <w:i/>
          <w:iCs/>
          <w:sz w:val="24"/>
          <w:szCs w:val="24"/>
        </w:rPr>
        <w:t>Mining.com</w:t>
      </w:r>
      <w:r w:rsidRPr="00C7458D">
        <w:rPr>
          <w:rFonts w:cs="Arial"/>
          <w:sz w:val="24"/>
          <w:szCs w:val="24"/>
        </w:rPr>
        <w:t>, 27 December. Available at: https://www.mining.com/web/china-pledges-to-control-steel-output-during-2026-2030-pe</w:t>
      </w:r>
      <w:r w:rsidR="003F52BD" w:rsidRPr="00C7458D">
        <w:rPr>
          <w:rFonts w:cs="Arial"/>
          <w:sz w:val="24"/>
          <w:szCs w:val="24"/>
        </w:rPr>
        <w:t>riod/</w:t>
      </w:r>
      <w:r w:rsidRPr="00C7458D">
        <w:rPr>
          <w:rFonts w:cs="Arial"/>
          <w:sz w:val="24"/>
          <w:szCs w:val="24"/>
        </w:rPr>
        <w:t>.</w:t>
      </w:r>
    </w:p>
    <w:p w14:paraId="7F2974F0"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Mitchell, R.K., </w:t>
      </w:r>
      <w:proofErr w:type="spellStart"/>
      <w:r w:rsidRPr="00C7458D">
        <w:rPr>
          <w:rFonts w:cs="Arial"/>
          <w:sz w:val="24"/>
          <w:szCs w:val="24"/>
        </w:rPr>
        <w:t>Agle</w:t>
      </w:r>
      <w:proofErr w:type="spellEnd"/>
      <w:r w:rsidRPr="00C7458D">
        <w:rPr>
          <w:rFonts w:cs="Arial"/>
          <w:sz w:val="24"/>
          <w:szCs w:val="24"/>
        </w:rPr>
        <w:t>, B.R. and Wood, D.J. (1997) ‘</w:t>
      </w:r>
      <w:proofErr w:type="gramStart"/>
      <w:r w:rsidRPr="00C7458D">
        <w:rPr>
          <w:rFonts w:cs="Arial"/>
          <w:sz w:val="24"/>
          <w:szCs w:val="24"/>
        </w:rPr>
        <w:t>Toward</w:t>
      </w:r>
      <w:proofErr w:type="gramEnd"/>
      <w:r w:rsidRPr="00C7458D">
        <w:rPr>
          <w:rFonts w:cs="Arial"/>
          <w:sz w:val="24"/>
          <w:szCs w:val="24"/>
        </w:rPr>
        <w:t xml:space="preserve"> a theory of stakeholder identification and salience: defining the principle of who and what really counts’, </w:t>
      </w:r>
      <w:r w:rsidRPr="00C7458D">
        <w:rPr>
          <w:rFonts w:cs="Arial"/>
          <w:i/>
          <w:iCs/>
          <w:sz w:val="24"/>
          <w:szCs w:val="24"/>
        </w:rPr>
        <w:t>Academy of Management Review</w:t>
      </w:r>
      <w:r w:rsidRPr="00C7458D">
        <w:rPr>
          <w:rFonts w:cs="Arial"/>
          <w:sz w:val="24"/>
          <w:szCs w:val="24"/>
        </w:rPr>
        <w:t>, 22(4), pp. 853–886.</w:t>
      </w:r>
    </w:p>
    <w:p w14:paraId="7F2974F1"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Nicholas, S. (2024) </w:t>
      </w:r>
      <w:r w:rsidRPr="00C7458D">
        <w:rPr>
          <w:rFonts w:cs="Arial"/>
          <w:i/>
          <w:iCs/>
          <w:sz w:val="24"/>
          <w:szCs w:val="24"/>
        </w:rPr>
        <w:t>BHP is lagging its peers on Scope 3 and steel technology transition</w:t>
      </w:r>
      <w:r w:rsidRPr="00C7458D">
        <w:rPr>
          <w:rFonts w:cs="Arial"/>
          <w:sz w:val="24"/>
          <w:szCs w:val="24"/>
        </w:rPr>
        <w:t>. Institute for Energy Economics and Financial Analysis (IEEFA), October. Available at: https://ieefa.org/sites/default/files/2024-10/BN_BHP%20is%20lagging%20its%20peers%20on%20Scope%203%20and%20steel%20tec</w:t>
      </w:r>
      <w:r w:rsidR="003F52BD" w:rsidRPr="00C7458D">
        <w:rPr>
          <w:rFonts w:cs="Arial"/>
          <w:sz w:val="24"/>
          <w:szCs w:val="24"/>
        </w:rPr>
        <w:t>hnology%20transition_Oct24.pdf.</w:t>
      </w:r>
    </w:p>
    <w:p w14:paraId="7F2974F2"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lastRenderedPageBreak/>
        <w:t xml:space="preserve">Norton Rose Fulbright (2025) </w:t>
      </w:r>
      <w:r w:rsidRPr="00C7458D">
        <w:rPr>
          <w:rFonts w:cs="Arial"/>
          <w:i/>
          <w:iCs/>
          <w:sz w:val="24"/>
          <w:szCs w:val="24"/>
        </w:rPr>
        <w:t>Australian Government releases 2035 target and other national climate policy updates</w:t>
      </w:r>
      <w:r w:rsidRPr="00C7458D">
        <w:rPr>
          <w:rFonts w:cs="Arial"/>
          <w:sz w:val="24"/>
          <w:szCs w:val="24"/>
        </w:rPr>
        <w:t>. September. Available at: https://www.nortonrosefulbright.com/en/knowledge/publications/2d059e5e/australian-government-releases-2035-target-and-other-national-climate-p</w:t>
      </w:r>
      <w:r w:rsidR="003F52BD" w:rsidRPr="00C7458D">
        <w:rPr>
          <w:rFonts w:cs="Arial"/>
          <w:sz w:val="24"/>
          <w:szCs w:val="24"/>
        </w:rPr>
        <w:t>olicy-updates</w:t>
      </w:r>
      <w:r w:rsidRPr="00C7458D">
        <w:rPr>
          <w:rFonts w:cs="Arial"/>
          <w:sz w:val="24"/>
          <w:szCs w:val="24"/>
        </w:rPr>
        <w:t>.</w:t>
      </w:r>
    </w:p>
    <w:p w14:paraId="7F2974F3"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Porter, M.E. (1985) </w:t>
      </w:r>
      <w:r w:rsidRPr="00C7458D">
        <w:rPr>
          <w:rFonts w:cs="Arial"/>
          <w:i/>
          <w:iCs/>
          <w:sz w:val="24"/>
          <w:szCs w:val="24"/>
        </w:rPr>
        <w:t>Competitive Advantage: Creating and Sustaining Superior Performance</w:t>
      </w:r>
      <w:r w:rsidRPr="00C7458D">
        <w:rPr>
          <w:rFonts w:cs="Arial"/>
          <w:sz w:val="24"/>
          <w:szCs w:val="24"/>
        </w:rPr>
        <w:t>. New York: Free Press.</w:t>
      </w:r>
    </w:p>
    <w:p w14:paraId="7F2974F4"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Porter, M.E. and van der Linde, C. (1995) ‘Toward a new conception of the environment–competitiveness relationship’, </w:t>
      </w:r>
      <w:r w:rsidRPr="00C7458D">
        <w:rPr>
          <w:rFonts w:cs="Arial"/>
          <w:i/>
          <w:iCs/>
          <w:sz w:val="24"/>
          <w:szCs w:val="24"/>
        </w:rPr>
        <w:t>Journal of Economic Perspectives</w:t>
      </w:r>
      <w:r w:rsidR="003F52BD" w:rsidRPr="00C7458D">
        <w:rPr>
          <w:rFonts w:cs="Arial"/>
          <w:sz w:val="24"/>
          <w:szCs w:val="24"/>
        </w:rPr>
        <w:t>, 9(4), pp. 97-</w:t>
      </w:r>
      <w:r w:rsidRPr="00C7458D">
        <w:rPr>
          <w:rFonts w:cs="Arial"/>
          <w:sz w:val="24"/>
          <w:szCs w:val="24"/>
        </w:rPr>
        <w:t>118.</w:t>
      </w:r>
    </w:p>
    <w:p w14:paraId="7F2974F5"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Prno</w:t>
      </w:r>
      <w:proofErr w:type="spellEnd"/>
      <w:r w:rsidRPr="00C7458D">
        <w:rPr>
          <w:rFonts w:cs="Arial"/>
          <w:sz w:val="24"/>
          <w:szCs w:val="24"/>
        </w:rPr>
        <w:t xml:space="preserve">, J. and </w:t>
      </w:r>
      <w:proofErr w:type="spellStart"/>
      <w:r w:rsidRPr="00C7458D">
        <w:rPr>
          <w:rFonts w:cs="Arial"/>
          <w:sz w:val="24"/>
          <w:szCs w:val="24"/>
        </w:rPr>
        <w:t>Slocombe</w:t>
      </w:r>
      <w:proofErr w:type="spellEnd"/>
      <w:r w:rsidRPr="00C7458D">
        <w:rPr>
          <w:rFonts w:cs="Arial"/>
          <w:sz w:val="24"/>
          <w:szCs w:val="24"/>
        </w:rPr>
        <w:t>, D.S. (2012) ‘</w:t>
      </w:r>
      <w:proofErr w:type="gramStart"/>
      <w:r w:rsidRPr="00C7458D">
        <w:rPr>
          <w:rFonts w:cs="Arial"/>
          <w:sz w:val="24"/>
          <w:szCs w:val="24"/>
        </w:rPr>
        <w:t>Exploring</w:t>
      </w:r>
      <w:proofErr w:type="gramEnd"/>
      <w:r w:rsidRPr="00C7458D">
        <w:rPr>
          <w:rFonts w:cs="Arial"/>
          <w:sz w:val="24"/>
          <w:szCs w:val="24"/>
        </w:rPr>
        <w:t xml:space="preserve"> the origins of “social license to operate” in the mining sector: perspectives from governance and sustainability theories’, </w:t>
      </w:r>
      <w:r w:rsidRPr="00C7458D">
        <w:rPr>
          <w:rFonts w:cs="Arial"/>
          <w:i/>
          <w:iCs/>
          <w:sz w:val="24"/>
          <w:szCs w:val="24"/>
        </w:rPr>
        <w:t>Resources Policy</w:t>
      </w:r>
      <w:r w:rsidR="003F52BD" w:rsidRPr="00C7458D">
        <w:rPr>
          <w:rFonts w:cs="Arial"/>
          <w:sz w:val="24"/>
          <w:szCs w:val="24"/>
        </w:rPr>
        <w:t>, 37(3), pp. 346-</w:t>
      </w:r>
      <w:r w:rsidRPr="00C7458D">
        <w:rPr>
          <w:rFonts w:cs="Arial"/>
          <w:sz w:val="24"/>
          <w:szCs w:val="24"/>
        </w:rPr>
        <w:t>357.</w:t>
      </w:r>
    </w:p>
    <w:p w14:paraId="7F2974F6"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Rolfe, G., Freshwater, D. and Jasper, M. (2001) </w:t>
      </w:r>
      <w:r w:rsidRPr="00C7458D">
        <w:rPr>
          <w:rFonts w:cs="Arial"/>
          <w:i/>
          <w:iCs/>
          <w:sz w:val="24"/>
          <w:szCs w:val="24"/>
        </w:rPr>
        <w:t>Critical Reflection for Nursing and the Helping Professions: A User’s Guide</w:t>
      </w:r>
      <w:r w:rsidRPr="00C7458D">
        <w:rPr>
          <w:rFonts w:cs="Arial"/>
          <w:sz w:val="24"/>
          <w:szCs w:val="24"/>
        </w:rPr>
        <w:t>. Basingstoke: Palgrave.</w:t>
      </w:r>
    </w:p>
    <w:p w14:paraId="7F2974F7"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S&amp;P Global (2026) </w:t>
      </w:r>
      <w:r w:rsidRPr="00C7458D">
        <w:rPr>
          <w:rFonts w:cs="Arial"/>
          <w:i/>
          <w:iCs/>
          <w:sz w:val="24"/>
          <w:szCs w:val="24"/>
        </w:rPr>
        <w:t>Copper in the Age of AI: Challenges of Electrification</w:t>
      </w:r>
      <w:r w:rsidRPr="00C7458D">
        <w:rPr>
          <w:rFonts w:cs="Arial"/>
          <w:sz w:val="24"/>
          <w:szCs w:val="24"/>
        </w:rPr>
        <w:t>. 8 January. Available at: https://www.spglobal.com/market-intelligence/en/news-insights/research/2026/01/the-copper-conundrum-why-meeting-ai-era-electrification-demands-is-a-race-against-time.</w:t>
      </w:r>
    </w:p>
    <w:p w14:paraId="7F2974F8"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S&amp;P Global Commodity Insights (2025) ‘US to impose sweeping 50% tariff on imports of semi-finished copper products’, </w:t>
      </w:r>
      <w:r w:rsidRPr="00C7458D">
        <w:rPr>
          <w:rFonts w:cs="Arial"/>
          <w:i/>
          <w:iCs/>
          <w:sz w:val="24"/>
          <w:szCs w:val="24"/>
        </w:rPr>
        <w:t>S&amp;P Global Commodity Insights</w:t>
      </w:r>
      <w:r w:rsidRPr="00C7458D">
        <w:rPr>
          <w:rFonts w:cs="Arial"/>
          <w:sz w:val="24"/>
          <w:szCs w:val="24"/>
        </w:rPr>
        <w:t>, 30 July. Available at: https://www.spglobal.com/commodity-insights/en/news-research/latest-news/metals/073025-us-to-impose-sweeping-50-tariff-on-imports-of-semi-finished-copper-products.</w:t>
      </w:r>
    </w:p>
    <w:p w14:paraId="7F2974F9"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Sovacool</w:t>
      </w:r>
      <w:proofErr w:type="spellEnd"/>
      <w:r w:rsidRPr="00C7458D">
        <w:rPr>
          <w:rFonts w:cs="Arial"/>
          <w:sz w:val="24"/>
          <w:szCs w:val="24"/>
        </w:rPr>
        <w:t xml:space="preserve">, B.K., Ali, S.H., </w:t>
      </w:r>
      <w:proofErr w:type="spellStart"/>
      <w:r w:rsidRPr="00C7458D">
        <w:rPr>
          <w:rFonts w:cs="Arial"/>
          <w:sz w:val="24"/>
          <w:szCs w:val="24"/>
        </w:rPr>
        <w:t>Bazilian</w:t>
      </w:r>
      <w:proofErr w:type="spellEnd"/>
      <w:r w:rsidRPr="00C7458D">
        <w:rPr>
          <w:rFonts w:cs="Arial"/>
          <w:sz w:val="24"/>
          <w:szCs w:val="24"/>
        </w:rPr>
        <w:t xml:space="preserve">, M., Radley, B., </w:t>
      </w:r>
      <w:proofErr w:type="spellStart"/>
      <w:r w:rsidRPr="00C7458D">
        <w:rPr>
          <w:rFonts w:cs="Arial"/>
          <w:sz w:val="24"/>
          <w:szCs w:val="24"/>
        </w:rPr>
        <w:t>Nemery</w:t>
      </w:r>
      <w:proofErr w:type="spellEnd"/>
      <w:r w:rsidRPr="00C7458D">
        <w:rPr>
          <w:rFonts w:cs="Arial"/>
          <w:sz w:val="24"/>
          <w:szCs w:val="24"/>
        </w:rPr>
        <w:t xml:space="preserve">, B., </w:t>
      </w:r>
      <w:proofErr w:type="spellStart"/>
      <w:r w:rsidRPr="00C7458D">
        <w:rPr>
          <w:rFonts w:cs="Arial"/>
          <w:sz w:val="24"/>
          <w:szCs w:val="24"/>
        </w:rPr>
        <w:t>Okatz</w:t>
      </w:r>
      <w:proofErr w:type="spellEnd"/>
      <w:r w:rsidRPr="00C7458D">
        <w:rPr>
          <w:rFonts w:cs="Arial"/>
          <w:sz w:val="24"/>
          <w:szCs w:val="24"/>
        </w:rPr>
        <w:t xml:space="preserve">, J. and </w:t>
      </w:r>
      <w:proofErr w:type="spellStart"/>
      <w:r w:rsidRPr="00C7458D">
        <w:rPr>
          <w:rFonts w:cs="Arial"/>
          <w:sz w:val="24"/>
          <w:szCs w:val="24"/>
        </w:rPr>
        <w:t>Mulvaney</w:t>
      </w:r>
      <w:proofErr w:type="spellEnd"/>
      <w:r w:rsidRPr="00C7458D">
        <w:rPr>
          <w:rFonts w:cs="Arial"/>
          <w:sz w:val="24"/>
          <w:szCs w:val="24"/>
        </w:rPr>
        <w:t xml:space="preserve">, D. (2020) ‘Sustainable minerals and metals for a low-carbon future’, </w:t>
      </w:r>
      <w:r w:rsidRPr="00C7458D">
        <w:rPr>
          <w:rFonts w:cs="Arial"/>
          <w:i/>
          <w:iCs/>
          <w:sz w:val="24"/>
          <w:szCs w:val="24"/>
        </w:rPr>
        <w:t>Science</w:t>
      </w:r>
      <w:r w:rsidR="003F52BD" w:rsidRPr="00C7458D">
        <w:rPr>
          <w:rFonts w:cs="Arial"/>
          <w:sz w:val="24"/>
          <w:szCs w:val="24"/>
        </w:rPr>
        <w:t>, 367(6473), pp. 30-</w:t>
      </w:r>
      <w:r w:rsidRPr="00C7458D">
        <w:rPr>
          <w:rFonts w:cs="Arial"/>
          <w:sz w:val="24"/>
          <w:szCs w:val="24"/>
        </w:rPr>
        <w:t>33. doi:10.1126/science.aaz6003.</w:t>
      </w:r>
    </w:p>
    <w:p w14:paraId="7F2974FA" w14:textId="77777777" w:rsidR="00D11A6D" w:rsidRPr="00C7458D" w:rsidRDefault="00B5054F" w:rsidP="00C7458D">
      <w:pPr>
        <w:spacing w:after="120" w:line="360" w:lineRule="auto"/>
        <w:ind w:left="567" w:hanging="567"/>
        <w:jc w:val="both"/>
        <w:rPr>
          <w:rFonts w:cs="Arial"/>
          <w:sz w:val="24"/>
          <w:szCs w:val="24"/>
        </w:rPr>
      </w:pPr>
      <w:proofErr w:type="spellStart"/>
      <w:r w:rsidRPr="00C7458D">
        <w:rPr>
          <w:rFonts w:cs="Arial"/>
          <w:sz w:val="24"/>
          <w:szCs w:val="24"/>
        </w:rPr>
        <w:t>SteelOrbis</w:t>
      </w:r>
      <w:proofErr w:type="spellEnd"/>
      <w:r w:rsidRPr="00C7458D">
        <w:rPr>
          <w:rFonts w:cs="Arial"/>
          <w:sz w:val="24"/>
          <w:szCs w:val="24"/>
        </w:rPr>
        <w:t xml:space="preserve"> (2025) ‘UK court finds BHP liable for Brazil’s </w:t>
      </w:r>
      <w:proofErr w:type="spellStart"/>
      <w:r w:rsidRPr="00C7458D">
        <w:rPr>
          <w:rFonts w:cs="Arial"/>
          <w:sz w:val="24"/>
          <w:szCs w:val="24"/>
        </w:rPr>
        <w:t>Samarco</w:t>
      </w:r>
      <w:proofErr w:type="spellEnd"/>
      <w:r w:rsidRPr="00C7458D">
        <w:rPr>
          <w:rFonts w:cs="Arial"/>
          <w:sz w:val="24"/>
          <w:szCs w:val="24"/>
        </w:rPr>
        <w:t xml:space="preserve"> accident’, </w:t>
      </w:r>
      <w:proofErr w:type="spellStart"/>
      <w:r w:rsidRPr="00C7458D">
        <w:rPr>
          <w:rFonts w:cs="Arial"/>
          <w:i/>
          <w:iCs/>
          <w:sz w:val="24"/>
          <w:szCs w:val="24"/>
        </w:rPr>
        <w:t>SteelOrbis</w:t>
      </w:r>
      <w:proofErr w:type="spellEnd"/>
      <w:r w:rsidRPr="00C7458D">
        <w:rPr>
          <w:rFonts w:cs="Arial"/>
          <w:sz w:val="24"/>
          <w:szCs w:val="24"/>
        </w:rPr>
        <w:t>, 15 November. Available at: https://www.steelorbis.com/steel-news/latest-news/uk-court-finds-bhp-liable-for-brazils-samarco-accident-1419839.htm.</w:t>
      </w:r>
    </w:p>
    <w:p w14:paraId="7F2974FB"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Vale (</w:t>
      </w:r>
      <w:proofErr w:type="spellStart"/>
      <w:r w:rsidRPr="00C7458D">
        <w:rPr>
          <w:rFonts w:cs="Arial"/>
          <w:sz w:val="24"/>
          <w:szCs w:val="24"/>
        </w:rPr>
        <w:t>n.d.</w:t>
      </w:r>
      <w:proofErr w:type="spellEnd"/>
      <w:r w:rsidRPr="00C7458D">
        <w:rPr>
          <w:rFonts w:cs="Arial"/>
          <w:sz w:val="24"/>
          <w:szCs w:val="24"/>
        </w:rPr>
        <w:t xml:space="preserve">) </w:t>
      </w:r>
      <w:proofErr w:type="gramStart"/>
      <w:r w:rsidRPr="00C7458D">
        <w:rPr>
          <w:rFonts w:cs="Arial"/>
          <w:i/>
          <w:iCs/>
          <w:sz w:val="24"/>
          <w:szCs w:val="24"/>
        </w:rPr>
        <w:t>Our</w:t>
      </w:r>
      <w:proofErr w:type="gramEnd"/>
      <w:r w:rsidRPr="00C7458D">
        <w:rPr>
          <w:rFonts w:cs="Arial"/>
          <w:i/>
          <w:iCs/>
          <w:sz w:val="24"/>
          <w:szCs w:val="24"/>
        </w:rPr>
        <w:t xml:space="preserve"> commitments</w:t>
      </w:r>
      <w:r w:rsidRPr="00C7458D">
        <w:rPr>
          <w:rFonts w:cs="Arial"/>
          <w:sz w:val="24"/>
          <w:szCs w:val="24"/>
        </w:rPr>
        <w:t>. Available at: https://vale.com/esg/our-commitments.</w:t>
      </w:r>
    </w:p>
    <w:p w14:paraId="7F2974FC" w14:textId="77777777" w:rsidR="00D11A6D" w:rsidRPr="00C7458D" w:rsidRDefault="00B5054F" w:rsidP="00C7458D">
      <w:pPr>
        <w:spacing w:after="120" w:line="360" w:lineRule="auto"/>
        <w:ind w:left="567" w:hanging="567"/>
        <w:jc w:val="both"/>
        <w:rPr>
          <w:rFonts w:cs="Arial"/>
          <w:sz w:val="24"/>
          <w:szCs w:val="24"/>
        </w:rPr>
      </w:pPr>
      <w:r w:rsidRPr="00C7458D">
        <w:rPr>
          <w:rFonts w:cs="Arial"/>
          <w:sz w:val="24"/>
          <w:szCs w:val="24"/>
        </w:rPr>
        <w:t xml:space="preserve">Whittington, R., </w:t>
      </w:r>
      <w:proofErr w:type="spellStart"/>
      <w:r w:rsidRPr="00C7458D">
        <w:rPr>
          <w:rFonts w:cs="Arial"/>
          <w:sz w:val="24"/>
          <w:szCs w:val="24"/>
        </w:rPr>
        <w:t>Regnér</w:t>
      </w:r>
      <w:proofErr w:type="spellEnd"/>
      <w:r w:rsidRPr="00C7458D">
        <w:rPr>
          <w:rFonts w:cs="Arial"/>
          <w:sz w:val="24"/>
          <w:szCs w:val="24"/>
        </w:rPr>
        <w:t xml:space="preserve">, P., </w:t>
      </w:r>
      <w:proofErr w:type="spellStart"/>
      <w:r w:rsidRPr="00C7458D">
        <w:rPr>
          <w:rFonts w:cs="Arial"/>
          <w:sz w:val="24"/>
          <w:szCs w:val="24"/>
        </w:rPr>
        <w:t>Angwin</w:t>
      </w:r>
      <w:proofErr w:type="spellEnd"/>
      <w:r w:rsidRPr="00C7458D">
        <w:rPr>
          <w:rFonts w:cs="Arial"/>
          <w:sz w:val="24"/>
          <w:szCs w:val="24"/>
        </w:rPr>
        <w:t xml:space="preserve">, D., Johnson, G. and Scholes, K. (2023) </w:t>
      </w:r>
      <w:r w:rsidRPr="00C7458D">
        <w:rPr>
          <w:rFonts w:cs="Arial"/>
          <w:i/>
          <w:iCs/>
          <w:sz w:val="24"/>
          <w:szCs w:val="24"/>
        </w:rPr>
        <w:t>Exploring Strategy: Text and Cases</w:t>
      </w:r>
      <w:r w:rsidRPr="00C7458D">
        <w:rPr>
          <w:rFonts w:cs="Arial"/>
          <w:sz w:val="24"/>
          <w:szCs w:val="24"/>
        </w:rPr>
        <w:t xml:space="preserve">. 13th </w:t>
      </w:r>
      <w:proofErr w:type="spellStart"/>
      <w:r w:rsidRPr="00C7458D">
        <w:rPr>
          <w:rFonts w:cs="Arial"/>
          <w:sz w:val="24"/>
          <w:szCs w:val="24"/>
        </w:rPr>
        <w:t>edn</w:t>
      </w:r>
      <w:proofErr w:type="spellEnd"/>
      <w:r w:rsidRPr="00C7458D">
        <w:rPr>
          <w:rFonts w:cs="Arial"/>
          <w:sz w:val="24"/>
          <w:szCs w:val="24"/>
        </w:rPr>
        <w:t>. Harlow: Pearson.</w:t>
      </w:r>
    </w:p>
    <w:p w14:paraId="7F2974FD" w14:textId="77777777" w:rsidR="00D11A6D" w:rsidRPr="00C7458D" w:rsidRDefault="00B5054F" w:rsidP="00C7458D">
      <w:pPr>
        <w:pStyle w:val="Heading1"/>
        <w:pageBreakBefore/>
        <w:spacing w:line="360" w:lineRule="auto"/>
        <w:rPr>
          <w:sz w:val="24"/>
          <w:szCs w:val="24"/>
        </w:rPr>
      </w:pPr>
      <w:bookmarkStart w:id="49" w:name="_Toc242365173"/>
      <w:bookmarkStart w:id="50" w:name="_Toc242967055"/>
      <w:r w:rsidRPr="00C7458D">
        <w:rPr>
          <w:sz w:val="24"/>
          <w:szCs w:val="24"/>
        </w:rPr>
        <w:lastRenderedPageBreak/>
        <w:t>Appendices</w:t>
      </w:r>
      <w:bookmarkEnd w:id="49"/>
      <w:bookmarkEnd w:id="50"/>
    </w:p>
    <w:p w14:paraId="7F2974FE" w14:textId="77777777" w:rsidR="00D11A6D" w:rsidRPr="00C7458D" w:rsidRDefault="00B5054F" w:rsidP="00C7458D">
      <w:pPr>
        <w:pStyle w:val="Heading2"/>
        <w:spacing w:line="360" w:lineRule="auto"/>
        <w:rPr>
          <w:sz w:val="24"/>
          <w:szCs w:val="24"/>
        </w:rPr>
      </w:pPr>
      <w:bookmarkStart w:id="51" w:name="_Toc242365174"/>
      <w:bookmarkStart w:id="52" w:name="_Toc242967056"/>
      <w:r w:rsidRPr="00C7458D">
        <w:rPr>
          <w:sz w:val="24"/>
          <w:szCs w:val="24"/>
        </w:rPr>
        <w:t>Appendix A: Competitor profiles</w:t>
      </w:r>
      <w:bookmarkEnd w:id="51"/>
      <w:bookmarkEnd w:id="52"/>
    </w:p>
    <w:p w14:paraId="7F2974FF" w14:textId="77777777" w:rsidR="00D11A6D" w:rsidRPr="00C7458D" w:rsidRDefault="00B5054F" w:rsidP="00C7458D">
      <w:pPr>
        <w:keepNext/>
        <w:spacing w:before="200" w:after="80" w:line="360" w:lineRule="auto"/>
        <w:rPr>
          <w:rFonts w:cs="Arial"/>
          <w:sz w:val="24"/>
          <w:szCs w:val="24"/>
        </w:rPr>
      </w:pPr>
      <w:r w:rsidRPr="00C7458D">
        <w:rPr>
          <w:rFonts w:cs="Arial"/>
          <w:b/>
          <w:bCs/>
          <w:color w:val="0B4F5C"/>
          <w:sz w:val="24"/>
          <w:szCs w:val="24"/>
        </w:rPr>
        <w:t xml:space="preserve">Table A1: </w:t>
      </w:r>
      <w:r w:rsidRPr="00C7458D">
        <w:rPr>
          <w:rFonts w:cs="Arial"/>
          <w:i/>
          <w:iCs/>
          <w:color w:val="1D2A2D"/>
          <w:sz w:val="24"/>
          <w:szCs w:val="24"/>
        </w:rPr>
        <w:t>Direct and indirect rivals and their low-carbon positions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1700"/>
        <w:gridCol w:w="2900"/>
        <w:gridCol w:w="2526"/>
      </w:tblGrid>
      <w:tr w:rsidR="00D11A6D" w:rsidRPr="00C7458D" w14:paraId="7F297504" w14:textId="77777777">
        <w:trPr>
          <w:tblHeader/>
        </w:trPr>
        <w:tc>
          <w:tcPr>
            <w:tcW w:w="1900"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00"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Competitor</w:t>
            </w:r>
          </w:p>
        </w:tc>
        <w:tc>
          <w:tcPr>
            <w:tcW w:w="1700"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01"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Type</w:t>
            </w:r>
          </w:p>
        </w:tc>
        <w:tc>
          <w:tcPr>
            <w:tcW w:w="2900"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02"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Low-carbon position</w:t>
            </w:r>
          </w:p>
        </w:tc>
        <w:tc>
          <w:tcPr>
            <w:tcW w:w="2526"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03"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Implication for BHP</w:t>
            </w:r>
          </w:p>
        </w:tc>
      </w:tr>
      <w:tr w:rsidR="00D11A6D" w:rsidRPr="00C7458D" w14:paraId="7F297509"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05" w14:textId="77777777" w:rsidR="00D11A6D" w:rsidRPr="00C7458D" w:rsidRDefault="00B5054F" w:rsidP="00C7458D">
            <w:pPr>
              <w:spacing w:line="360" w:lineRule="auto"/>
              <w:rPr>
                <w:rFonts w:cs="Arial"/>
                <w:sz w:val="24"/>
                <w:szCs w:val="24"/>
              </w:rPr>
            </w:pPr>
            <w:r w:rsidRPr="00C7458D">
              <w:rPr>
                <w:rFonts w:cs="Arial"/>
                <w:color w:val="1A1A1A"/>
                <w:sz w:val="24"/>
                <w:szCs w:val="24"/>
              </w:rPr>
              <w:t>Rio Tinto</w:t>
            </w:r>
          </w:p>
        </w:tc>
        <w:tc>
          <w:tcPr>
            <w:tcW w:w="1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06" w14:textId="77777777" w:rsidR="00D11A6D" w:rsidRPr="00C7458D" w:rsidRDefault="003F52BD" w:rsidP="00C7458D">
            <w:pPr>
              <w:spacing w:line="360" w:lineRule="auto"/>
              <w:rPr>
                <w:rFonts w:cs="Arial"/>
                <w:sz w:val="24"/>
                <w:szCs w:val="24"/>
              </w:rPr>
            </w:pPr>
            <w:r w:rsidRPr="00C7458D">
              <w:rPr>
                <w:rFonts w:cs="Arial"/>
                <w:color w:val="1A1A1A"/>
                <w:sz w:val="24"/>
                <w:szCs w:val="24"/>
              </w:rPr>
              <w:t>Direct,</w:t>
            </w:r>
            <w:r w:rsidR="00B5054F" w:rsidRPr="00C7458D">
              <w:rPr>
                <w:rFonts w:cs="Arial"/>
                <w:color w:val="1A1A1A"/>
                <w:sz w:val="24"/>
                <w:szCs w:val="24"/>
              </w:rPr>
              <w:t xml:space="preserve"> iron ore and copper</w:t>
            </w:r>
          </w:p>
        </w:tc>
        <w:tc>
          <w:tcPr>
            <w:tcW w:w="2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07" w14:textId="77777777" w:rsidR="00D11A6D" w:rsidRPr="00C7458D" w:rsidRDefault="003F52BD" w:rsidP="00C7458D">
            <w:pPr>
              <w:spacing w:line="360" w:lineRule="auto"/>
              <w:rPr>
                <w:rFonts w:cs="Arial"/>
                <w:sz w:val="24"/>
                <w:szCs w:val="24"/>
              </w:rPr>
            </w:pPr>
            <w:r w:rsidRPr="00C7458D">
              <w:rPr>
                <w:rFonts w:cs="Arial"/>
                <w:color w:val="1A1A1A"/>
                <w:sz w:val="24"/>
                <w:szCs w:val="24"/>
              </w:rPr>
              <w:t>Scope 1+2 -</w:t>
            </w:r>
            <w:r w:rsidR="00B5054F" w:rsidRPr="00C7458D">
              <w:rPr>
                <w:rFonts w:cs="Arial"/>
                <w:color w:val="1A1A1A"/>
                <w:sz w:val="24"/>
                <w:szCs w:val="24"/>
              </w:rPr>
              <w:t xml:space="preserve">50% by 2030 (2018 base of 32.6 Mt); </w:t>
            </w:r>
            <w:proofErr w:type="spellStart"/>
            <w:r w:rsidR="00B5054F" w:rsidRPr="00C7458D">
              <w:rPr>
                <w:rFonts w:cs="Arial"/>
                <w:color w:val="1A1A1A"/>
                <w:sz w:val="24"/>
                <w:szCs w:val="24"/>
              </w:rPr>
              <w:t>Simandou</w:t>
            </w:r>
            <w:proofErr w:type="spellEnd"/>
            <w:r w:rsidR="00B5054F" w:rsidRPr="00C7458D">
              <w:rPr>
                <w:rFonts w:cs="Arial"/>
                <w:color w:val="1A1A1A"/>
                <w:sz w:val="24"/>
                <w:szCs w:val="24"/>
              </w:rPr>
              <w:t xml:space="preserve"> designed for 120 Mt a year of 65%-grade ore</w:t>
            </w:r>
          </w:p>
        </w:tc>
        <w:tc>
          <w:tcPr>
            <w:tcW w:w="25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08" w14:textId="77777777" w:rsidR="00D11A6D" w:rsidRPr="00C7458D" w:rsidRDefault="00B5054F" w:rsidP="00C7458D">
            <w:pPr>
              <w:spacing w:line="360" w:lineRule="auto"/>
              <w:rPr>
                <w:rFonts w:cs="Arial"/>
                <w:sz w:val="24"/>
                <w:szCs w:val="24"/>
              </w:rPr>
            </w:pPr>
            <w:r w:rsidRPr="00C7458D">
              <w:rPr>
                <w:rFonts w:cs="Arial"/>
                <w:color w:val="1A1A1A"/>
                <w:sz w:val="24"/>
                <w:szCs w:val="24"/>
              </w:rPr>
              <w:t>Higher ambition; high-grade supply suited to lower-carbon steelmaking challenges BHP’s ore</w:t>
            </w:r>
          </w:p>
        </w:tc>
      </w:tr>
      <w:tr w:rsidR="00D11A6D" w:rsidRPr="00C7458D" w14:paraId="7F29750E"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0A" w14:textId="77777777" w:rsidR="00D11A6D" w:rsidRPr="00C7458D" w:rsidRDefault="00B5054F" w:rsidP="00C7458D">
            <w:pPr>
              <w:spacing w:line="360" w:lineRule="auto"/>
              <w:rPr>
                <w:rFonts w:cs="Arial"/>
                <w:sz w:val="24"/>
                <w:szCs w:val="24"/>
              </w:rPr>
            </w:pPr>
            <w:r w:rsidRPr="00C7458D">
              <w:rPr>
                <w:rFonts w:cs="Arial"/>
                <w:color w:val="1A1A1A"/>
                <w:sz w:val="24"/>
                <w:szCs w:val="24"/>
              </w:rPr>
              <w:t>Vale</w:t>
            </w:r>
          </w:p>
        </w:tc>
        <w:tc>
          <w:tcPr>
            <w:tcW w:w="17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0B" w14:textId="77777777" w:rsidR="00D11A6D" w:rsidRPr="00C7458D" w:rsidRDefault="003F52BD" w:rsidP="00C7458D">
            <w:pPr>
              <w:spacing w:line="360" w:lineRule="auto"/>
              <w:rPr>
                <w:rFonts w:cs="Arial"/>
                <w:sz w:val="24"/>
                <w:szCs w:val="24"/>
              </w:rPr>
            </w:pPr>
            <w:r w:rsidRPr="00C7458D">
              <w:rPr>
                <w:rFonts w:cs="Arial"/>
                <w:color w:val="1A1A1A"/>
                <w:sz w:val="24"/>
                <w:szCs w:val="24"/>
              </w:rPr>
              <w:t>Direct,</w:t>
            </w:r>
            <w:r w:rsidR="00B5054F" w:rsidRPr="00C7458D">
              <w:rPr>
                <w:rFonts w:cs="Arial"/>
                <w:color w:val="1A1A1A"/>
                <w:sz w:val="24"/>
                <w:szCs w:val="24"/>
              </w:rPr>
              <w:t xml:space="preserve"> iron ore</w:t>
            </w:r>
          </w:p>
        </w:tc>
        <w:tc>
          <w:tcPr>
            <w:tcW w:w="29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0C" w14:textId="77777777" w:rsidR="00D11A6D" w:rsidRPr="00C7458D" w:rsidRDefault="00C92FB0" w:rsidP="00C7458D">
            <w:pPr>
              <w:spacing w:line="360" w:lineRule="auto"/>
              <w:rPr>
                <w:rFonts w:cs="Arial"/>
                <w:sz w:val="24"/>
                <w:szCs w:val="24"/>
              </w:rPr>
            </w:pPr>
            <w:r w:rsidRPr="00C7458D">
              <w:rPr>
                <w:rFonts w:cs="Arial"/>
                <w:color w:val="1A1A1A"/>
                <w:sz w:val="24"/>
                <w:szCs w:val="24"/>
              </w:rPr>
              <w:t>Scope 1+2 -</w:t>
            </w:r>
            <w:r w:rsidR="00B5054F" w:rsidRPr="00C7458D">
              <w:rPr>
                <w:rFonts w:cs="Arial"/>
                <w:color w:val="1A1A1A"/>
                <w:sz w:val="24"/>
                <w:szCs w:val="24"/>
              </w:rPr>
              <w:t>33% by 2030 (2017 base), 26.9%</w:t>
            </w:r>
            <w:r w:rsidRPr="00C7458D">
              <w:rPr>
                <w:rFonts w:cs="Arial"/>
                <w:color w:val="1A1A1A"/>
                <w:sz w:val="24"/>
                <w:szCs w:val="24"/>
              </w:rPr>
              <w:t xml:space="preserve"> achieved in 2024; Scope 3 -</w:t>
            </w:r>
            <w:r w:rsidR="00B5054F" w:rsidRPr="00C7458D">
              <w:rPr>
                <w:rFonts w:cs="Arial"/>
                <w:color w:val="1A1A1A"/>
                <w:sz w:val="24"/>
                <w:szCs w:val="24"/>
              </w:rPr>
              <w:t>15% by 2035</w:t>
            </w:r>
          </w:p>
        </w:tc>
        <w:tc>
          <w:tcPr>
            <w:tcW w:w="2526"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0D" w14:textId="77777777" w:rsidR="00D11A6D" w:rsidRPr="00C7458D" w:rsidRDefault="00B5054F" w:rsidP="00C7458D">
            <w:pPr>
              <w:spacing w:line="360" w:lineRule="auto"/>
              <w:rPr>
                <w:rFonts w:cs="Arial"/>
                <w:sz w:val="24"/>
                <w:szCs w:val="24"/>
              </w:rPr>
            </w:pPr>
            <w:r w:rsidRPr="00C7458D">
              <w:rPr>
                <w:rFonts w:cs="Arial"/>
                <w:color w:val="1A1A1A"/>
                <w:sz w:val="24"/>
                <w:szCs w:val="24"/>
              </w:rPr>
              <w:t>Has the measurable Scope 3 target that BHP lacks</w:t>
            </w:r>
          </w:p>
        </w:tc>
      </w:tr>
      <w:tr w:rsidR="00D11A6D" w:rsidRPr="00C7458D" w14:paraId="7F297513"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0F" w14:textId="77777777" w:rsidR="00D11A6D" w:rsidRPr="00C7458D" w:rsidRDefault="00B5054F" w:rsidP="00C7458D">
            <w:pPr>
              <w:spacing w:line="360" w:lineRule="auto"/>
              <w:rPr>
                <w:rFonts w:cs="Arial"/>
                <w:sz w:val="24"/>
                <w:szCs w:val="24"/>
              </w:rPr>
            </w:pPr>
            <w:r w:rsidRPr="00C7458D">
              <w:rPr>
                <w:rFonts w:cs="Arial"/>
                <w:color w:val="1A1A1A"/>
                <w:sz w:val="24"/>
                <w:szCs w:val="24"/>
              </w:rPr>
              <w:t>Fortescue</w:t>
            </w:r>
          </w:p>
        </w:tc>
        <w:tc>
          <w:tcPr>
            <w:tcW w:w="1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0" w14:textId="77777777" w:rsidR="00D11A6D" w:rsidRPr="00C7458D" w:rsidRDefault="003F52BD" w:rsidP="00C7458D">
            <w:pPr>
              <w:spacing w:line="360" w:lineRule="auto"/>
              <w:rPr>
                <w:rFonts w:cs="Arial"/>
                <w:sz w:val="24"/>
                <w:szCs w:val="24"/>
              </w:rPr>
            </w:pPr>
            <w:r w:rsidRPr="00C7458D">
              <w:rPr>
                <w:rFonts w:cs="Arial"/>
                <w:color w:val="1A1A1A"/>
                <w:sz w:val="24"/>
                <w:szCs w:val="24"/>
              </w:rPr>
              <w:t>Direct,</w:t>
            </w:r>
            <w:r w:rsidR="00B5054F" w:rsidRPr="00C7458D">
              <w:rPr>
                <w:rFonts w:cs="Arial"/>
                <w:color w:val="1A1A1A"/>
                <w:sz w:val="24"/>
                <w:szCs w:val="24"/>
              </w:rPr>
              <w:t xml:space="preserve"> Pilbara iron ore</w:t>
            </w:r>
          </w:p>
        </w:tc>
        <w:tc>
          <w:tcPr>
            <w:tcW w:w="2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1" w14:textId="77777777" w:rsidR="00D11A6D" w:rsidRPr="00C7458D" w:rsidRDefault="00B5054F" w:rsidP="00C7458D">
            <w:pPr>
              <w:spacing w:line="360" w:lineRule="auto"/>
              <w:rPr>
                <w:rFonts w:cs="Arial"/>
                <w:sz w:val="24"/>
                <w:szCs w:val="24"/>
              </w:rPr>
            </w:pPr>
            <w:r w:rsidRPr="00C7458D">
              <w:rPr>
                <w:rFonts w:cs="Arial"/>
                <w:color w:val="1A1A1A"/>
                <w:sz w:val="24"/>
                <w:szCs w:val="24"/>
              </w:rPr>
              <w:t>‘Real zero’ Scope 1+2 in Australian iron ore by 2030; US$6.2bn decarbonisation investment</w:t>
            </w:r>
          </w:p>
        </w:tc>
        <w:tc>
          <w:tcPr>
            <w:tcW w:w="25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2" w14:textId="77777777" w:rsidR="00D11A6D" w:rsidRPr="00C7458D" w:rsidRDefault="00B5054F" w:rsidP="00C7458D">
            <w:pPr>
              <w:spacing w:line="360" w:lineRule="auto"/>
              <w:rPr>
                <w:rFonts w:cs="Arial"/>
                <w:sz w:val="24"/>
                <w:szCs w:val="24"/>
              </w:rPr>
            </w:pPr>
            <w:r w:rsidRPr="00C7458D">
              <w:rPr>
                <w:rFonts w:cs="Arial"/>
                <w:color w:val="1A1A1A"/>
                <w:sz w:val="24"/>
                <w:szCs w:val="24"/>
              </w:rPr>
              <w:t>Strongest decarbonisation narrative in BHP’s home region</w:t>
            </w:r>
          </w:p>
        </w:tc>
      </w:tr>
      <w:tr w:rsidR="00D11A6D" w:rsidRPr="00C7458D" w14:paraId="7F297518"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14" w14:textId="77777777" w:rsidR="00D11A6D" w:rsidRPr="00C7458D" w:rsidRDefault="00B5054F" w:rsidP="00C7458D">
            <w:pPr>
              <w:spacing w:line="360" w:lineRule="auto"/>
              <w:rPr>
                <w:rFonts w:cs="Arial"/>
                <w:sz w:val="24"/>
                <w:szCs w:val="24"/>
              </w:rPr>
            </w:pPr>
            <w:proofErr w:type="spellStart"/>
            <w:r w:rsidRPr="00C7458D">
              <w:rPr>
                <w:rFonts w:cs="Arial"/>
                <w:color w:val="1A1A1A"/>
                <w:sz w:val="24"/>
                <w:szCs w:val="24"/>
              </w:rPr>
              <w:t>Codelco</w:t>
            </w:r>
            <w:proofErr w:type="spellEnd"/>
            <w:r w:rsidRPr="00C7458D">
              <w:rPr>
                <w:rFonts w:cs="Arial"/>
                <w:color w:val="1A1A1A"/>
                <w:sz w:val="24"/>
                <w:szCs w:val="24"/>
              </w:rPr>
              <w:t xml:space="preserve"> / Anglo American</w:t>
            </w:r>
          </w:p>
        </w:tc>
        <w:tc>
          <w:tcPr>
            <w:tcW w:w="17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15" w14:textId="77777777" w:rsidR="00D11A6D" w:rsidRPr="00C7458D" w:rsidRDefault="003F52BD" w:rsidP="00C7458D">
            <w:pPr>
              <w:spacing w:line="360" w:lineRule="auto"/>
              <w:rPr>
                <w:rFonts w:cs="Arial"/>
                <w:sz w:val="24"/>
                <w:szCs w:val="24"/>
              </w:rPr>
            </w:pPr>
            <w:r w:rsidRPr="00C7458D">
              <w:rPr>
                <w:rFonts w:cs="Arial"/>
                <w:color w:val="1A1A1A"/>
                <w:sz w:val="24"/>
                <w:szCs w:val="24"/>
              </w:rPr>
              <w:t>Direct,</w:t>
            </w:r>
            <w:r w:rsidR="00B5054F" w:rsidRPr="00C7458D">
              <w:rPr>
                <w:rFonts w:cs="Arial"/>
                <w:color w:val="1A1A1A"/>
                <w:sz w:val="24"/>
                <w:szCs w:val="24"/>
              </w:rPr>
              <w:t xml:space="preserve"> copper</w:t>
            </w:r>
          </w:p>
        </w:tc>
        <w:tc>
          <w:tcPr>
            <w:tcW w:w="29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16" w14:textId="77777777" w:rsidR="00D11A6D" w:rsidRPr="00C7458D" w:rsidRDefault="00B5054F" w:rsidP="00C7458D">
            <w:pPr>
              <w:spacing w:line="360" w:lineRule="auto"/>
              <w:rPr>
                <w:rFonts w:cs="Arial"/>
                <w:sz w:val="24"/>
                <w:szCs w:val="24"/>
              </w:rPr>
            </w:pPr>
            <w:proofErr w:type="spellStart"/>
            <w:r w:rsidRPr="00C7458D">
              <w:rPr>
                <w:rFonts w:cs="Arial"/>
                <w:color w:val="1A1A1A"/>
                <w:sz w:val="24"/>
                <w:szCs w:val="24"/>
              </w:rPr>
              <w:t>Codelco</w:t>
            </w:r>
            <w:proofErr w:type="spellEnd"/>
            <w:r w:rsidRPr="00C7458D">
              <w:rPr>
                <w:rFonts w:cs="Arial"/>
                <w:color w:val="1A1A1A"/>
                <w:sz w:val="24"/>
                <w:szCs w:val="24"/>
              </w:rPr>
              <w:t xml:space="preserve"> roughly level with BHP on 2024 attributable copper; BHP’s approaches for Anglo failed (2024, Nov 2025)</w:t>
            </w:r>
          </w:p>
        </w:tc>
        <w:tc>
          <w:tcPr>
            <w:tcW w:w="2526"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17" w14:textId="77777777" w:rsidR="00D11A6D" w:rsidRPr="00C7458D" w:rsidRDefault="00B5054F" w:rsidP="00C7458D">
            <w:pPr>
              <w:spacing w:line="360" w:lineRule="auto"/>
              <w:rPr>
                <w:rFonts w:cs="Arial"/>
                <w:sz w:val="24"/>
                <w:szCs w:val="24"/>
              </w:rPr>
            </w:pPr>
            <w:r w:rsidRPr="00C7458D">
              <w:rPr>
                <w:rFonts w:cs="Arial"/>
                <w:color w:val="1A1A1A"/>
                <w:sz w:val="24"/>
                <w:szCs w:val="24"/>
              </w:rPr>
              <w:t>Copper growth must come mainly from BHP’s own projects (</w:t>
            </w:r>
            <w:proofErr w:type="spellStart"/>
            <w:r w:rsidRPr="00C7458D">
              <w:rPr>
                <w:rFonts w:cs="Arial"/>
                <w:color w:val="1A1A1A"/>
                <w:sz w:val="24"/>
                <w:szCs w:val="24"/>
              </w:rPr>
              <w:t>Escondida</w:t>
            </w:r>
            <w:proofErr w:type="spellEnd"/>
            <w:r w:rsidRPr="00C7458D">
              <w:rPr>
                <w:rFonts w:cs="Arial"/>
                <w:color w:val="1A1A1A"/>
                <w:sz w:val="24"/>
                <w:szCs w:val="24"/>
              </w:rPr>
              <w:t>, Vicuña)</w:t>
            </w:r>
          </w:p>
        </w:tc>
      </w:tr>
      <w:tr w:rsidR="00D11A6D" w:rsidRPr="00C7458D" w14:paraId="7F29751D" w14:textId="77777777">
        <w:trPr>
          <w:cantSplit/>
        </w:trPr>
        <w:tc>
          <w:tcPr>
            <w:tcW w:w="1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9" w14:textId="77777777" w:rsidR="00D11A6D" w:rsidRPr="00C7458D" w:rsidRDefault="00B5054F" w:rsidP="00C7458D">
            <w:pPr>
              <w:spacing w:line="360" w:lineRule="auto"/>
              <w:rPr>
                <w:rFonts w:cs="Arial"/>
                <w:sz w:val="24"/>
                <w:szCs w:val="24"/>
              </w:rPr>
            </w:pPr>
            <w:r w:rsidRPr="00C7458D">
              <w:rPr>
                <w:rFonts w:cs="Arial"/>
                <w:color w:val="1A1A1A"/>
                <w:sz w:val="24"/>
                <w:szCs w:val="24"/>
              </w:rPr>
              <w:t>Aluminium</w:t>
            </w:r>
          </w:p>
        </w:tc>
        <w:tc>
          <w:tcPr>
            <w:tcW w:w="1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A" w14:textId="77777777" w:rsidR="00D11A6D" w:rsidRPr="00C7458D" w:rsidRDefault="003F52BD" w:rsidP="00C7458D">
            <w:pPr>
              <w:spacing w:line="360" w:lineRule="auto"/>
              <w:rPr>
                <w:rFonts w:cs="Arial"/>
                <w:sz w:val="24"/>
                <w:szCs w:val="24"/>
              </w:rPr>
            </w:pPr>
            <w:r w:rsidRPr="00C7458D">
              <w:rPr>
                <w:rFonts w:cs="Arial"/>
                <w:color w:val="1A1A1A"/>
                <w:sz w:val="24"/>
                <w:szCs w:val="24"/>
              </w:rPr>
              <w:t>Indirect,</w:t>
            </w:r>
            <w:r w:rsidR="00B5054F" w:rsidRPr="00C7458D">
              <w:rPr>
                <w:rFonts w:cs="Arial"/>
                <w:color w:val="1A1A1A"/>
                <w:sz w:val="24"/>
                <w:szCs w:val="24"/>
              </w:rPr>
              <w:t xml:space="preserve"> copper substitute</w:t>
            </w:r>
          </w:p>
        </w:tc>
        <w:tc>
          <w:tcPr>
            <w:tcW w:w="29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B" w14:textId="77777777" w:rsidR="00D11A6D" w:rsidRPr="00C7458D" w:rsidRDefault="00B5054F" w:rsidP="00C7458D">
            <w:pPr>
              <w:spacing w:line="360" w:lineRule="auto"/>
              <w:rPr>
                <w:rFonts w:cs="Arial"/>
                <w:sz w:val="24"/>
                <w:szCs w:val="24"/>
              </w:rPr>
            </w:pPr>
            <w:r w:rsidRPr="00C7458D">
              <w:rPr>
                <w:rFonts w:cs="Arial"/>
                <w:color w:val="1A1A1A"/>
                <w:sz w:val="24"/>
                <w:szCs w:val="24"/>
              </w:rPr>
              <w:t>Used in Tesla and BMW wiring; could affect about 6% of copper demand by 2030</w:t>
            </w:r>
          </w:p>
        </w:tc>
        <w:tc>
          <w:tcPr>
            <w:tcW w:w="25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1C" w14:textId="77777777" w:rsidR="00D11A6D" w:rsidRPr="00C7458D" w:rsidRDefault="00B5054F" w:rsidP="00C7458D">
            <w:pPr>
              <w:spacing w:line="360" w:lineRule="auto"/>
              <w:rPr>
                <w:rFonts w:cs="Arial"/>
                <w:sz w:val="24"/>
                <w:szCs w:val="24"/>
              </w:rPr>
            </w:pPr>
            <w:r w:rsidRPr="00C7458D">
              <w:rPr>
                <w:rFonts w:cs="Arial"/>
                <w:color w:val="1A1A1A"/>
                <w:sz w:val="24"/>
                <w:szCs w:val="24"/>
              </w:rPr>
              <w:t>High copper prices accelerate switching</w:t>
            </w:r>
          </w:p>
        </w:tc>
      </w:tr>
    </w:tbl>
    <w:p w14:paraId="7F29751E" w14:textId="77777777" w:rsidR="00D11A6D" w:rsidRPr="003B32A0" w:rsidRDefault="00C92FB0" w:rsidP="003B32A0">
      <w:pPr>
        <w:spacing w:before="60" w:after="240" w:line="360" w:lineRule="auto"/>
        <w:jc w:val="center"/>
        <w:rPr>
          <w:rFonts w:cs="Arial"/>
          <w:sz w:val="20"/>
          <w:szCs w:val="20"/>
        </w:rPr>
      </w:pPr>
      <w:r w:rsidRPr="003B32A0">
        <w:rPr>
          <w:rFonts w:cs="Arial"/>
          <w:i/>
          <w:iCs/>
          <w:color w:val="4A5558"/>
          <w:sz w:val="20"/>
          <w:szCs w:val="20"/>
        </w:rPr>
        <w:t xml:space="preserve">Source: </w:t>
      </w:r>
      <w:r w:rsidR="00B5054F" w:rsidRPr="003B32A0">
        <w:rPr>
          <w:rFonts w:cs="Arial"/>
          <w:i/>
          <w:iCs/>
          <w:color w:val="4A5558"/>
          <w:sz w:val="20"/>
          <w:szCs w:val="20"/>
        </w:rPr>
        <w:t xml:space="preserve">data from </w:t>
      </w:r>
      <w:proofErr w:type="spellStart"/>
      <w:r w:rsidR="00B5054F" w:rsidRPr="003B32A0">
        <w:rPr>
          <w:rFonts w:cs="Arial"/>
          <w:i/>
          <w:iCs/>
          <w:color w:val="4A5558"/>
          <w:sz w:val="20"/>
          <w:szCs w:val="20"/>
        </w:rPr>
        <w:t>Inspectioneering</w:t>
      </w:r>
      <w:proofErr w:type="spellEnd"/>
      <w:r w:rsidR="00B5054F" w:rsidRPr="003B32A0">
        <w:rPr>
          <w:rFonts w:cs="Arial"/>
          <w:i/>
          <w:iCs/>
          <w:color w:val="4A5558"/>
          <w:sz w:val="20"/>
          <w:szCs w:val="20"/>
        </w:rPr>
        <w:t xml:space="preserve"> (2021); Andreyev (2025); Mining Weekly (2025a; 2025c); Mining Technology (2025); Vale (</w:t>
      </w:r>
      <w:proofErr w:type="spellStart"/>
      <w:r w:rsidR="00B5054F" w:rsidRPr="003B32A0">
        <w:rPr>
          <w:rFonts w:cs="Arial"/>
          <w:i/>
          <w:iCs/>
          <w:color w:val="4A5558"/>
          <w:sz w:val="20"/>
          <w:szCs w:val="20"/>
        </w:rPr>
        <w:t>n.d.</w:t>
      </w:r>
      <w:proofErr w:type="spellEnd"/>
      <w:r w:rsidR="00B5054F" w:rsidRPr="003B32A0">
        <w:rPr>
          <w:rFonts w:cs="Arial"/>
          <w:i/>
          <w:iCs/>
          <w:color w:val="4A5558"/>
          <w:sz w:val="20"/>
          <w:szCs w:val="20"/>
        </w:rPr>
        <w:t>); AL Circle (2026).</w:t>
      </w:r>
    </w:p>
    <w:p w14:paraId="7F29751F" w14:textId="77777777" w:rsidR="00D11A6D" w:rsidRPr="00C7458D" w:rsidRDefault="00B5054F" w:rsidP="00C7458D">
      <w:pPr>
        <w:pStyle w:val="Heading2"/>
        <w:spacing w:line="360" w:lineRule="auto"/>
        <w:rPr>
          <w:sz w:val="24"/>
          <w:szCs w:val="24"/>
        </w:rPr>
      </w:pPr>
      <w:bookmarkStart w:id="53" w:name="_Toc242365175"/>
      <w:bookmarkStart w:id="54" w:name="_Toc242967057"/>
      <w:r w:rsidRPr="00C7458D">
        <w:rPr>
          <w:sz w:val="24"/>
          <w:szCs w:val="24"/>
        </w:rPr>
        <w:lastRenderedPageBreak/>
        <w:t>Appendix B: Further information required</w:t>
      </w:r>
      <w:bookmarkEnd w:id="53"/>
      <w:bookmarkEnd w:id="54"/>
    </w:p>
    <w:p w14:paraId="7F297520" w14:textId="77777777" w:rsidR="00D11A6D" w:rsidRPr="00C7458D" w:rsidRDefault="00B5054F" w:rsidP="00C7458D">
      <w:pPr>
        <w:keepNext/>
        <w:spacing w:before="200" w:after="80" w:line="360" w:lineRule="auto"/>
        <w:rPr>
          <w:rFonts w:cs="Arial"/>
          <w:sz w:val="24"/>
          <w:szCs w:val="24"/>
        </w:rPr>
      </w:pPr>
      <w:r w:rsidRPr="00C7458D">
        <w:rPr>
          <w:rFonts w:cs="Arial"/>
          <w:b/>
          <w:bCs/>
          <w:color w:val="0B4F5C"/>
          <w:sz w:val="24"/>
          <w:szCs w:val="24"/>
        </w:rPr>
        <w:t xml:space="preserve">Table B1: </w:t>
      </w:r>
      <w:r w:rsidRPr="00C7458D">
        <w:rPr>
          <w:rFonts w:cs="Arial"/>
          <w:i/>
          <w:iCs/>
          <w:color w:val="1D2A2D"/>
          <w:sz w:val="24"/>
          <w:szCs w:val="24"/>
        </w:rPr>
        <w:t>Additional evidence needed before the recommendations are finalised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700"/>
        <w:gridCol w:w="3000"/>
        <w:gridCol w:w="3326"/>
      </w:tblGrid>
      <w:tr w:rsidR="00D11A6D" w:rsidRPr="00C7458D" w14:paraId="7F297524" w14:textId="77777777">
        <w:trPr>
          <w:tblHeader/>
        </w:trPr>
        <w:tc>
          <w:tcPr>
            <w:tcW w:w="2700"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21"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Information gap</w:t>
            </w:r>
          </w:p>
        </w:tc>
        <w:tc>
          <w:tcPr>
            <w:tcW w:w="3000"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22"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Why it matters</w:t>
            </w:r>
          </w:p>
        </w:tc>
        <w:tc>
          <w:tcPr>
            <w:tcW w:w="3326" w:type="dxa"/>
            <w:tcBorders>
              <w:top w:val="single" w:sz="4" w:space="0" w:color="B9C5C7"/>
              <w:left w:val="single" w:sz="4" w:space="0" w:color="B9C5C7"/>
              <w:bottom w:val="single" w:sz="4" w:space="0" w:color="B9C5C7"/>
              <w:right w:val="single" w:sz="4" w:space="0" w:color="B9C5C7"/>
            </w:tcBorders>
            <w:shd w:val="clear" w:color="auto" w:fill="0B4F5C"/>
            <w:tcMar>
              <w:top w:w="70" w:type="dxa"/>
              <w:left w:w="100" w:type="dxa"/>
              <w:bottom w:w="70" w:type="dxa"/>
              <w:right w:w="100" w:type="dxa"/>
            </w:tcMar>
          </w:tcPr>
          <w:p w14:paraId="7F297523" w14:textId="77777777" w:rsidR="00D11A6D" w:rsidRPr="00C7458D" w:rsidRDefault="00B5054F" w:rsidP="00C7458D">
            <w:pPr>
              <w:spacing w:line="360" w:lineRule="auto"/>
              <w:rPr>
                <w:rFonts w:cs="Arial"/>
                <w:sz w:val="24"/>
                <w:szCs w:val="24"/>
              </w:rPr>
            </w:pPr>
            <w:r w:rsidRPr="00C7458D">
              <w:rPr>
                <w:rFonts w:cs="Arial"/>
                <w:b/>
                <w:bCs/>
                <w:color w:val="FFFFFF"/>
                <w:sz w:val="24"/>
                <w:szCs w:val="24"/>
              </w:rPr>
              <w:t>How it would be obtained</w:t>
            </w:r>
          </w:p>
        </w:tc>
      </w:tr>
      <w:tr w:rsidR="00D11A6D" w:rsidRPr="00C7458D" w14:paraId="7F297528"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5" w14:textId="77777777" w:rsidR="00D11A6D" w:rsidRPr="00C7458D" w:rsidRDefault="00B5054F" w:rsidP="00C7458D">
            <w:pPr>
              <w:spacing w:line="360" w:lineRule="auto"/>
              <w:rPr>
                <w:rFonts w:cs="Arial"/>
                <w:sz w:val="24"/>
                <w:szCs w:val="24"/>
              </w:rPr>
            </w:pPr>
            <w:r w:rsidRPr="00C7458D">
              <w:rPr>
                <w:rFonts w:cs="Arial"/>
                <w:color w:val="1A1A1A"/>
                <w:sz w:val="24"/>
                <w:szCs w:val="24"/>
              </w:rPr>
              <w:t>Steelmakers’ willingness to pay for lower-carbon iron ore</w:t>
            </w:r>
          </w:p>
        </w:tc>
        <w:tc>
          <w:tcPr>
            <w:tcW w:w="30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6" w14:textId="77777777" w:rsidR="00D11A6D" w:rsidRPr="00C7458D" w:rsidRDefault="00B5054F" w:rsidP="00C7458D">
            <w:pPr>
              <w:spacing w:line="360" w:lineRule="auto"/>
              <w:rPr>
                <w:rFonts w:cs="Arial"/>
                <w:sz w:val="24"/>
                <w:szCs w:val="24"/>
              </w:rPr>
            </w:pPr>
            <w:r w:rsidRPr="00C7458D">
              <w:rPr>
                <w:rFonts w:cs="Arial"/>
                <w:color w:val="1A1A1A"/>
                <w:sz w:val="24"/>
                <w:szCs w:val="24"/>
              </w:rPr>
              <w:t>Determines whether green iron is commercially viable</w:t>
            </w:r>
          </w:p>
        </w:tc>
        <w:tc>
          <w:tcPr>
            <w:tcW w:w="33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7" w14:textId="77777777" w:rsidR="00D11A6D" w:rsidRPr="00C7458D" w:rsidRDefault="00B5054F" w:rsidP="00C7458D">
            <w:pPr>
              <w:spacing w:line="360" w:lineRule="auto"/>
              <w:rPr>
                <w:rFonts w:cs="Arial"/>
                <w:sz w:val="24"/>
                <w:szCs w:val="24"/>
              </w:rPr>
            </w:pPr>
            <w:r w:rsidRPr="00C7458D">
              <w:rPr>
                <w:rFonts w:cs="Arial"/>
                <w:color w:val="1A1A1A"/>
                <w:sz w:val="24"/>
                <w:szCs w:val="24"/>
              </w:rPr>
              <w:t>Interviews and conjoint analysis with Asian, European and Australian steelmakers</w:t>
            </w:r>
          </w:p>
        </w:tc>
      </w:tr>
      <w:tr w:rsidR="00D11A6D" w:rsidRPr="00C7458D" w14:paraId="7F29752C"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29" w14:textId="77777777" w:rsidR="00D11A6D" w:rsidRPr="00C7458D" w:rsidRDefault="00B5054F" w:rsidP="00C7458D">
            <w:pPr>
              <w:spacing w:line="360" w:lineRule="auto"/>
              <w:rPr>
                <w:rFonts w:cs="Arial"/>
                <w:sz w:val="24"/>
                <w:szCs w:val="24"/>
              </w:rPr>
            </w:pPr>
            <w:r w:rsidRPr="00C7458D">
              <w:rPr>
                <w:rFonts w:cs="Arial"/>
                <w:color w:val="1A1A1A"/>
                <w:sz w:val="24"/>
                <w:szCs w:val="24"/>
              </w:rPr>
              <w:t>Scope 3 methodology and customer process data</w:t>
            </w:r>
          </w:p>
        </w:tc>
        <w:tc>
          <w:tcPr>
            <w:tcW w:w="30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2A" w14:textId="77777777" w:rsidR="00D11A6D" w:rsidRPr="00C7458D" w:rsidRDefault="00B5054F" w:rsidP="00C7458D">
            <w:pPr>
              <w:spacing w:line="360" w:lineRule="auto"/>
              <w:rPr>
                <w:rFonts w:cs="Arial"/>
                <w:sz w:val="24"/>
                <w:szCs w:val="24"/>
              </w:rPr>
            </w:pPr>
            <w:r w:rsidRPr="00C7458D">
              <w:rPr>
                <w:rFonts w:cs="Arial"/>
                <w:color w:val="1A1A1A"/>
                <w:sz w:val="24"/>
                <w:szCs w:val="24"/>
              </w:rPr>
              <w:t>Scope 3 figures are modelled estimates</w:t>
            </w:r>
          </w:p>
        </w:tc>
        <w:tc>
          <w:tcPr>
            <w:tcW w:w="3326"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2B" w14:textId="77777777" w:rsidR="00D11A6D" w:rsidRPr="00C7458D" w:rsidRDefault="00B5054F" w:rsidP="00C7458D">
            <w:pPr>
              <w:spacing w:line="360" w:lineRule="auto"/>
              <w:rPr>
                <w:rFonts w:cs="Arial"/>
                <w:sz w:val="24"/>
                <w:szCs w:val="24"/>
              </w:rPr>
            </w:pPr>
            <w:r w:rsidRPr="00C7458D">
              <w:rPr>
                <w:rFonts w:cs="Arial"/>
                <w:color w:val="1A1A1A"/>
                <w:sz w:val="24"/>
                <w:szCs w:val="24"/>
              </w:rPr>
              <w:t>Access to BHP’s calculation models and customer emissions data</w:t>
            </w:r>
          </w:p>
        </w:tc>
      </w:tr>
      <w:tr w:rsidR="00D11A6D" w:rsidRPr="00C7458D" w14:paraId="7F297530"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D" w14:textId="77777777" w:rsidR="00D11A6D" w:rsidRPr="00C7458D" w:rsidRDefault="00B5054F" w:rsidP="00C7458D">
            <w:pPr>
              <w:spacing w:line="360" w:lineRule="auto"/>
              <w:rPr>
                <w:rFonts w:cs="Arial"/>
                <w:sz w:val="24"/>
                <w:szCs w:val="24"/>
              </w:rPr>
            </w:pPr>
            <w:r w:rsidRPr="00C7458D">
              <w:rPr>
                <w:rFonts w:cs="Arial"/>
                <w:color w:val="1A1A1A"/>
                <w:sz w:val="24"/>
                <w:szCs w:val="24"/>
              </w:rPr>
              <w:t>CMRG contract terms and Chinese policy outlook</w:t>
            </w:r>
          </w:p>
        </w:tc>
        <w:tc>
          <w:tcPr>
            <w:tcW w:w="30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E" w14:textId="77777777" w:rsidR="00D11A6D" w:rsidRPr="00C7458D" w:rsidRDefault="00B5054F" w:rsidP="00C7458D">
            <w:pPr>
              <w:spacing w:line="360" w:lineRule="auto"/>
              <w:rPr>
                <w:rFonts w:cs="Arial"/>
                <w:sz w:val="24"/>
                <w:szCs w:val="24"/>
              </w:rPr>
            </w:pPr>
            <w:r w:rsidRPr="00C7458D">
              <w:rPr>
                <w:rFonts w:cs="Arial"/>
                <w:color w:val="1A1A1A"/>
                <w:sz w:val="24"/>
                <w:szCs w:val="24"/>
              </w:rPr>
              <w:t>China provides over 60% of revenue</w:t>
            </w:r>
          </w:p>
        </w:tc>
        <w:tc>
          <w:tcPr>
            <w:tcW w:w="33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2F" w14:textId="77777777" w:rsidR="00D11A6D" w:rsidRPr="00C7458D" w:rsidRDefault="00B5054F" w:rsidP="00C7458D">
            <w:pPr>
              <w:spacing w:line="360" w:lineRule="auto"/>
              <w:rPr>
                <w:rFonts w:cs="Arial"/>
                <w:sz w:val="24"/>
                <w:szCs w:val="24"/>
              </w:rPr>
            </w:pPr>
            <w:r w:rsidRPr="00C7458D">
              <w:rPr>
                <w:rFonts w:cs="Arial"/>
                <w:color w:val="1A1A1A"/>
                <w:sz w:val="24"/>
                <w:szCs w:val="24"/>
              </w:rPr>
              <w:t>Commercial data from BHP; China policy and trade specialists</w:t>
            </w:r>
          </w:p>
        </w:tc>
      </w:tr>
      <w:tr w:rsidR="00D11A6D" w:rsidRPr="00C7458D" w14:paraId="7F297534"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1" w14:textId="77777777" w:rsidR="00D11A6D" w:rsidRPr="00C7458D" w:rsidRDefault="00B5054F" w:rsidP="00C7458D">
            <w:pPr>
              <w:spacing w:line="360" w:lineRule="auto"/>
              <w:rPr>
                <w:rFonts w:cs="Arial"/>
                <w:sz w:val="24"/>
                <w:szCs w:val="24"/>
              </w:rPr>
            </w:pPr>
            <w:r w:rsidRPr="00C7458D">
              <w:rPr>
                <w:rFonts w:cs="Arial"/>
                <w:color w:val="1A1A1A"/>
                <w:sz w:val="24"/>
                <w:szCs w:val="24"/>
              </w:rPr>
              <w:t>Cost and timing of green-iron and diesel-displacement investment</w:t>
            </w:r>
          </w:p>
        </w:tc>
        <w:tc>
          <w:tcPr>
            <w:tcW w:w="30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2" w14:textId="77777777" w:rsidR="00D11A6D" w:rsidRPr="00C7458D" w:rsidRDefault="00B5054F" w:rsidP="00C7458D">
            <w:pPr>
              <w:spacing w:line="360" w:lineRule="auto"/>
              <w:rPr>
                <w:rFonts w:cs="Arial"/>
                <w:sz w:val="24"/>
                <w:szCs w:val="24"/>
              </w:rPr>
            </w:pPr>
            <w:r w:rsidRPr="00C7458D">
              <w:rPr>
                <w:rFonts w:cs="Arial"/>
                <w:color w:val="1A1A1A"/>
                <w:sz w:val="24"/>
                <w:szCs w:val="24"/>
              </w:rPr>
              <w:t>Needed to build a costed business case</w:t>
            </w:r>
          </w:p>
        </w:tc>
        <w:tc>
          <w:tcPr>
            <w:tcW w:w="3326"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3" w14:textId="77777777" w:rsidR="00D11A6D" w:rsidRPr="00C7458D" w:rsidRDefault="00B5054F" w:rsidP="00C7458D">
            <w:pPr>
              <w:spacing w:line="360" w:lineRule="auto"/>
              <w:rPr>
                <w:rFonts w:cs="Arial"/>
                <w:sz w:val="24"/>
                <w:szCs w:val="24"/>
              </w:rPr>
            </w:pPr>
            <w:r w:rsidRPr="00C7458D">
              <w:rPr>
                <w:rFonts w:cs="Arial"/>
                <w:color w:val="1A1A1A"/>
                <w:sz w:val="24"/>
                <w:szCs w:val="24"/>
              </w:rPr>
              <w:t xml:space="preserve">BHP capital plans; engineering estimates; </w:t>
            </w:r>
            <w:proofErr w:type="spellStart"/>
            <w:r w:rsidRPr="00C7458D">
              <w:rPr>
                <w:rFonts w:cs="Arial"/>
                <w:color w:val="1A1A1A"/>
                <w:sz w:val="24"/>
                <w:szCs w:val="24"/>
              </w:rPr>
              <w:t>NeoSmelt</w:t>
            </w:r>
            <w:proofErr w:type="spellEnd"/>
            <w:r w:rsidRPr="00C7458D">
              <w:rPr>
                <w:rFonts w:cs="Arial"/>
                <w:color w:val="1A1A1A"/>
                <w:sz w:val="24"/>
                <w:szCs w:val="24"/>
              </w:rPr>
              <w:t xml:space="preserve"> study results</w:t>
            </w:r>
          </w:p>
        </w:tc>
      </w:tr>
      <w:tr w:rsidR="00D11A6D" w:rsidRPr="00C7458D" w14:paraId="7F297538"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35" w14:textId="77777777" w:rsidR="00D11A6D" w:rsidRPr="00C7458D" w:rsidRDefault="00B5054F" w:rsidP="00C7458D">
            <w:pPr>
              <w:spacing w:line="360" w:lineRule="auto"/>
              <w:rPr>
                <w:rFonts w:cs="Arial"/>
                <w:sz w:val="24"/>
                <w:szCs w:val="24"/>
              </w:rPr>
            </w:pPr>
            <w:proofErr w:type="spellStart"/>
            <w:r w:rsidRPr="00C7458D">
              <w:rPr>
                <w:rFonts w:cs="Arial"/>
                <w:color w:val="1A1A1A"/>
                <w:sz w:val="24"/>
                <w:szCs w:val="24"/>
              </w:rPr>
              <w:t>Samarco</w:t>
            </w:r>
            <w:proofErr w:type="spellEnd"/>
            <w:r w:rsidRPr="00C7458D">
              <w:rPr>
                <w:rFonts w:cs="Arial"/>
                <w:color w:val="1A1A1A"/>
                <w:sz w:val="24"/>
                <w:szCs w:val="24"/>
              </w:rPr>
              <w:t xml:space="preserve"> damages exposure</w:t>
            </w:r>
          </w:p>
        </w:tc>
        <w:tc>
          <w:tcPr>
            <w:tcW w:w="3000"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36" w14:textId="77777777" w:rsidR="00D11A6D" w:rsidRPr="00C7458D" w:rsidRDefault="00B5054F" w:rsidP="00C7458D">
            <w:pPr>
              <w:spacing w:line="360" w:lineRule="auto"/>
              <w:rPr>
                <w:rFonts w:cs="Arial"/>
                <w:sz w:val="24"/>
                <w:szCs w:val="24"/>
              </w:rPr>
            </w:pPr>
            <w:r w:rsidRPr="00C7458D">
              <w:rPr>
                <w:rFonts w:cs="Arial"/>
                <w:color w:val="1A1A1A"/>
                <w:sz w:val="24"/>
                <w:szCs w:val="24"/>
              </w:rPr>
              <w:t>Could constrain investment capacity</w:t>
            </w:r>
          </w:p>
        </w:tc>
        <w:tc>
          <w:tcPr>
            <w:tcW w:w="3326" w:type="dxa"/>
            <w:tcBorders>
              <w:top w:val="single" w:sz="4" w:space="0" w:color="B9C5C7"/>
              <w:left w:val="single" w:sz="4" w:space="0" w:color="B9C5C7"/>
              <w:bottom w:val="single" w:sz="4" w:space="0" w:color="B9C5C7"/>
              <w:right w:val="single" w:sz="4" w:space="0" w:color="B9C5C7"/>
            </w:tcBorders>
            <w:shd w:val="clear" w:color="auto" w:fill="FFFFFF"/>
            <w:tcMar>
              <w:top w:w="70" w:type="dxa"/>
              <w:left w:w="100" w:type="dxa"/>
              <w:bottom w:w="70" w:type="dxa"/>
              <w:right w:w="100" w:type="dxa"/>
            </w:tcMar>
          </w:tcPr>
          <w:p w14:paraId="7F297537" w14:textId="77777777" w:rsidR="00D11A6D" w:rsidRPr="00C7458D" w:rsidRDefault="00B5054F" w:rsidP="00C7458D">
            <w:pPr>
              <w:spacing w:line="360" w:lineRule="auto"/>
              <w:rPr>
                <w:rFonts w:cs="Arial"/>
                <w:sz w:val="24"/>
                <w:szCs w:val="24"/>
              </w:rPr>
            </w:pPr>
            <w:r w:rsidRPr="00C7458D">
              <w:rPr>
                <w:rFonts w:cs="Arial"/>
                <w:color w:val="1A1A1A"/>
                <w:sz w:val="24"/>
                <w:szCs w:val="24"/>
              </w:rPr>
              <w:t>Legal advice and scenario modelling ahead of the 2027 trial</w:t>
            </w:r>
          </w:p>
        </w:tc>
      </w:tr>
      <w:tr w:rsidR="00D11A6D" w:rsidRPr="00C7458D" w14:paraId="7F29753C" w14:textId="77777777">
        <w:trPr>
          <w:cantSplit/>
        </w:trPr>
        <w:tc>
          <w:tcPr>
            <w:tcW w:w="27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9" w14:textId="77777777" w:rsidR="00D11A6D" w:rsidRPr="00C7458D" w:rsidRDefault="00B5054F" w:rsidP="00C7458D">
            <w:pPr>
              <w:spacing w:line="360" w:lineRule="auto"/>
              <w:rPr>
                <w:rFonts w:cs="Arial"/>
                <w:sz w:val="24"/>
                <w:szCs w:val="24"/>
              </w:rPr>
            </w:pPr>
            <w:r w:rsidRPr="00C7458D">
              <w:rPr>
                <w:rFonts w:cs="Arial"/>
                <w:color w:val="1A1A1A"/>
                <w:sz w:val="24"/>
                <w:szCs w:val="24"/>
              </w:rPr>
              <w:t>Community and stakeholder perspectives</w:t>
            </w:r>
          </w:p>
        </w:tc>
        <w:tc>
          <w:tcPr>
            <w:tcW w:w="3000"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A" w14:textId="77777777" w:rsidR="00D11A6D" w:rsidRPr="00C7458D" w:rsidRDefault="00B5054F" w:rsidP="00C7458D">
            <w:pPr>
              <w:spacing w:line="360" w:lineRule="auto"/>
              <w:rPr>
                <w:rFonts w:cs="Arial"/>
                <w:sz w:val="24"/>
                <w:szCs w:val="24"/>
              </w:rPr>
            </w:pPr>
            <w:r w:rsidRPr="00C7458D">
              <w:rPr>
                <w:rFonts w:cs="Arial"/>
                <w:color w:val="1A1A1A"/>
                <w:sz w:val="24"/>
                <w:szCs w:val="24"/>
              </w:rPr>
              <w:t>Social licence can halt projects</w:t>
            </w:r>
          </w:p>
        </w:tc>
        <w:tc>
          <w:tcPr>
            <w:tcW w:w="3326" w:type="dxa"/>
            <w:tcBorders>
              <w:top w:val="single" w:sz="4" w:space="0" w:color="B9C5C7"/>
              <w:left w:val="single" w:sz="4" w:space="0" w:color="B9C5C7"/>
              <w:bottom w:val="single" w:sz="4" w:space="0" w:color="B9C5C7"/>
              <w:right w:val="single" w:sz="4" w:space="0" w:color="B9C5C7"/>
            </w:tcBorders>
            <w:shd w:val="clear" w:color="auto" w:fill="EEF4F5"/>
            <w:tcMar>
              <w:top w:w="70" w:type="dxa"/>
              <w:left w:w="100" w:type="dxa"/>
              <w:bottom w:w="70" w:type="dxa"/>
              <w:right w:w="100" w:type="dxa"/>
            </w:tcMar>
          </w:tcPr>
          <w:p w14:paraId="7F29753B" w14:textId="77777777" w:rsidR="00D11A6D" w:rsidRPr="00C7458D" w:rsidRDefault="00B5054F" w:rsidP="00C7458D">
            <w:pPr>
              <w:spacing w:line="360" w:lineRule="auto"/>
              <w:rPr>
                <w:rFonts w:cs="Arial"/>
                <w:sz w:val="24"/>
                <w:szCs w:val="24"/>
              </w:rPr>
            </w:pPr>
            <w:r w:rsidRPr="00C7458D">
              <w:rPr>
                <w:rFonts w:cs="Arial"/>
                <w:color w:val="1A1A1A"/>
                <w:sz w:val="24"/>
                <w:szCs w:val="24"/>
              </w:rPr>
              <w:t>Structured stakeholder engagement and materiality assessment</w:t>
            </w:r>
          </w:p>
        </w:tc>
      </w:tr>
    </w:tbl>
    <w:p w14:paraId="5A1B1916" w14:textId="3CE901FE" w:rsidR="00AF7F86" w:rsidRPr="003B32A0" w:rsidRDefault="00B5054F" w:rsidP="003B32A0">
      <w:pPr>
        <w:spacing w:before="60" w:after="240" w:line="360" w:lineRule="auto"/>
        <w:jc w:val="center"/>
        <w:rPr>
          <w:rFonts w:cs="Arial"/>
          <w:sz w:val="20"/>
          <w:szCs w:val="20"/>
        </w:rPr>
      </w:pPr>
      <w:r w:rsidRPr="003B32A0">
        <w:rPr>
          <w:rFonts w:cs="Arial"/>
          <w:i/>
          <w:iCs/>
          <w:color w:val="4A5558"/>
          <w:sz w:val="20"/>
          <w:szCs w:val="20"/>
        </w:rPr>
        <w:t xml:space="preserve">Source: </w:t>
      </w:r>
      <w:r w:rsidR="00C92FB0" w:rsidRPr="003B32A0">
        <w:rPr>
          <w:rFonts w:cs="Arial"/>
          <w:i/>
          <w:iCs/>
          <w:color w:val="4A5558"/>
          <w:sz w:val="20"/>
          <w:szCs w:val="20"/>
        </w:rPr>
        <w:t xml:space="preserve">data from </w:t>
      </w:r>
      <w:proofErr w:type="spellStart"/>
      <w:r w:rsidR="00C92FB0" w:rsidRPr="003B32A0">
        <w:rPr>
          <w:rFonts w:cs="Arial"/>
          <w:i/>
          <w:iCs/>
          <w:color w:val="4A5558"/>
          <w:sz w:val="20"/>
          <w:szCs w:val="20"/>
        </w:rPr>
        <w:t>Inspectioneering</w:t>
      </w:r>
      <w:proofErr w:type="spellEnd"/>
      <w:r w:rsidR="00C92FB0" w:rsidRPr="003B32A0">
        <w:rPr>
          <w:rFonts w:cs="Arial"/>
          <w:i/>
          <w:iCs/>
          <w:color w:val="4A5558"/>
          <w:sz w:val="20"/>
          <w:szCs w:val="20"/>
        </w:rPr>
        <w:t xml:space="preserve"> (2021); Andreyev (2025); Mining Weekly (2025a; 2025c); Mining Technology (2025); Vale (</w:t>
      </w:r>
      <w:proofErr w:type="spellStart"/>
      <w:r w:rsidR="00C92FB0" w:rsidRPr="003B32A0">
        <w:rPr>
          <w:rFonts w:cs="Arial"/>
          <w:i/>
          <w:iCs/>
          <w:color w:val="4A5558"/>
          <w:sz w:val="20"/>
          <w:szCs w:val="20"/>
        </w:rPr>
        <w:t>n.d.</w:t>
      </w:r>
      <w:proofErr w:type="spellEnd"/>
      <w:r w:rsidR="00C92FB0" w:rsidRPr="003B32A0">
        <w:rPr>
          <w:rFonts w:cs="Arial"/>
          <w:i/>
          <w:iCs/>
          <w:color w:val="4A5558"/>
          <w:sz w:val="20"/>
          <w:szCs w:val="20"/>
        </w:rPr>
        <w:t>); AL Circle (2026).</w:t>
      </w:r>
    </w:p>
    <w:sectPr w:rsidR="00AF7F86" w:rsidRPr="003B32A0">
      <w:headerReference w:type="default" r:id="rId23"/>
      <w:footerReference w:type="default" r:id="rId24"/>
      <w:pgSz w:w="11906" w:h="16838"/>
      <w:pgMar w:top="1418" w:right="1134" w:bottom="1418" w:left="1134" w:header="708" w:footer="708" w:gutter="0"/>
      <w:pgNumType w:start="2"/>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1C3314" w14:textId="77777777" w:rsidR="0037204D" w:rsidRDefault="0037204D">
      <w:r>
        <w:separator/>
      </w:r>
    </w:p>
  </w:endnote>
  <w:endnote w:type="continuationSeparator" w:id="0">
    <w:p w14:paraId="380D6668" w14:textId="77777777" w:rsidR="0037204D" w:rsidRDefault="003720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Shruti">
    <w:altName w:val="Cambria Math"/>
    <w:panose1 w:val="020005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ECE6EF" w14:textId="77777777" w:rsidR="0019502C" w:rsidRDefault="0019502C">
    <w:pPr>
      <w:tabs>
        <w:tab w:val="right" w:pos="9638"/>
      </w:tabs>
      <w:rPr>
        <w:color w:val="4A5558"/>
        <w:sz w:val="16"/>
        <w:szCs w:val="16"/>
      </w:rPr>
    </w:pPr>
  </w:p>
  <w:p w14:paraId="18AA3253" w14:textId="77777777" w:rsidR="0019502C" w:rsidRDefault="0019502C">
    <w:pPr>
      <w:tabs>
        <w:tab w:val="right" w:pos="9638"/>
      </w:tabs>
      <w:rPr>
        <w:color w:val="4A5558"/>
        <w:sz w:val="16"/>
        <w:szCs w:val="16"/>
      </w:rPr>
    </w:pPr>
    <w:r>
      <w:rPr>
        <w:color w:val="4A5558"/>
        <w:sz w:val="16"/>
        <w:szCs w:val="16"/>
      </w:rPr>
      <w:t>MANAV PRAJAPATI</w:t>
    </w:r>
  </w:p>
  <w:p w14:paraId="7F2975AB" w14:textId="54594D1A" w:rsidR="00B5054F" w:rsidRDefault="00B5054F">
    <w:pPr>
      <w:tabs>
        <w:tab w:val="right" w:pos="9638"/>
      </w:tabs>
    </w:pPr>
    <w:r>
      <w:rPr>
        <w:color w:val="4A5558"/>
        <w:sz w:val="16"/>
        <w:szCs w:val="16"/>
      </w:rPr>
      <w:tab/>
      <w:t xml:space="preserve">Page </w:t>
    </w:r>
    <w:r>
      <w:rPr>
        <w:color w:val="4A5558"/>
        <w:sz w:val="16"/>
        <w:szCs w:val="16"/>
      </w:rPr>
      <w:fldChar w:fldCharType="begin"/>
    </w:r>
    <w:r>
      <w:rPr>
        <w:color w:val="4A5558"/>
        <w:sz w:val="16"/>
        <w:szCs w:val="16"/>
      </w:rPr>
      <w:instrText>PAGE</w:instrText>
    </w:r>
    <w:r>
      <w:rPr>
        <w:color w:val="4A5558"/>
        <w:sz w:val="16"/>
        <w:szCs w:val="16"/>
      </w:rPr>
      <w:fldChar w:fldCharType="separate"/>
    </w:r>
    <w:r w:rsidR="005058EB">
      <w:rPr>
        <w:noProof/>
        <w:color w:val="4A5558"/>
        <w:sz w:val="16"/>
        <w:szCs w:val="16"/>
      </w:rPr>
      <w:t>21</w:t>
    </w:r>
    <w:r>
      <w:rPr>
        <w:color w:val="4A5558"/>
        <w:sz w:val="16"/>
        <w:szCs w:val="16"/>
      </w:rPr>
      <w:fldChar w:fldCharType="end"/>
    </w:r>
    <w:r>
      <w:rPr>
        <w:color w:val="4A5558"/>
        <w:sz w:val="16"/>
        <w:szCs w:val="16"/>
      </w:rPr>
      <w:t xml:space="preserve"> of </w:t>
    </w:r>
    <w:r>
      <w:rPr>
        <w:color w:val="4A5558"/>
        <w:sz w:val="16"/>
        <w:szCs w:val="16"/>
      </w:rPr>
      <w:fldChar w:fldCharType="begin"/>
    </w:r>
    <w:r>
      <w:rPr>
        <w:color w:val="4A5558"/>
        <w:sz w:val="16"/>
        <w:szCs w:val="16"/>
      </w:rPr>
      <w:instrText>NUMPAGES</w:instrText>
    </w:r>
    <w:r>
      <w:rPr>
        <w:color w:val="4A5558"/>
        <w:sz w:val="16"/>
        <w:szCs w:val="16"/>
      </w:rPr>
      <w:fldChar w:fldCharType="separate"/>
    </w:r>
    <w:r w:rsidR="005058EB">
      <w:rPr>
        <w:noProof/>
        <w:color w:val="4A5558"/>
        <w:sz w:val="16"/>
        <w:szCs w:val="16"/>
      </w:rPr>
      <w:t>24</w:t>
    </w:r>
    <w:r>
      <w:rPr>
        <w:color w:val="4A5558"/>
        <w:sz w:val="16"/>
        <w:szCs w:val="16"/>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E327F6" w14:textId="77777777" w:rsidR="0037204D" w:rsidRDefault="0037204D">
      <w:r>
        <w:separator/>
      </w:r>
    </w:p>
  </w:footnote>
  <w:footnote w:type="continuationSeparator" w:id="0">
    <w:p w14:paraId="61CF044C" w14:textId="77777777" w:rsidR="0037204D" w:rsidRDefault="0037204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2975AA" w14:textId="3C7F3551" w:rsidR="00B5054F" w:rsidRDefault="00B5054F">
    <w:pPr>
      <w:pBdr>
        <w:bottom w:val="single" w:sz="6" w:space="4" w:color="008A9E"/>
      </w:pBdr>
      <w:tabs>
        <w:tab w:val="right" w:pos="9638"/>
      </w:tabs>
      <w:rPr>
        <w:color w:val="4A5558"/>
        <w:sz w:val="16"/>
        <w:szCs w:val="16"/>
      </w:rPr>
    </w:pPr>
    <w:r>
      <w:rPr>
        <w:b/>
        <w:bCs/>
        <w:color w:val="4A5558"/>
        <w:sz w:val="16"/>
        <w:szCs w:val="16"/>
      </w:rPr>
      <w:t xml:space="preserve"> Marketing Management</w:t>
    </w:r>
    <w:r w:rsidR="0019502C">
      <w:rPr>
        <w:color w:val="4A5558"/>
        <w:sz w:val="16"/>
        <w:szCs w:val="16"/>
      </w:rPr>
      <w:tab/>
      <w:t xml:space="preserve"> </w:t>
    </w:r>
  </w:p>
  <w:p w14:paraId="556D95AA" w14:textId="77777777" w:rsidR="0019502C" w:rsidRDefault="0019502C">
    <w:pPr>
      <w:pBdr>
        <w:bottom w:val="single" w:sz="6" w:space="4" w:color="008A9E"/>
      </w:pBdr>
      <w:tabs>
        <w:tab w:val="right" w:pos="9638"/>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F277FCD"/>
    <w:multiLevelType w:val="hybridMultilevel"/>
    <w:tmpl w:val="7938B4FE"/>
    <w:lvl w:ilvl="0" w:tplc="EA729D24">
      <w:start w:val="1"/>
      <w:numFmt w:val="bullet"/>
      <w:lvlText w:val="●"/>
      <w:lvlJc w:val="left"/>
      <w:pPr>
        <w:ind w:left="720" w:hanging="360"/>
      </w:pPr>
    </w:lvl>
    <w:lvl w:ilvl="1" w:tplc="1BC816F2">
      <w:start w:val="1"/>
      <w:numFmt w:val="bullet"/>
      <w:lvlText w:val="○"/>
      <w:lvlJc w:val="left"/>
      <w:pPr>
        <w:ind w:left="1440" w:hanging="360"/>
      </w:pPr>
    </w:lvl>
    <w:lvl w:ilvl="2" w:tplc="C7546B98">
      <w:start w:val="1"/>
      <w:numFmt w:val="bullet"/>
      <w:lvlText w:val="■"/>
      <w:lvlJc w:val="left"/>
      <w:pPr>
        <w:ind w:left="2160" w:hanging="360"/>
      </w:pPr>
    </w:lvl>
    <w:lvl w:ilvl="3" w:tplc="49328AF6">
      <w:start w:val="1"/>
      <w:numFmt w:val="bullet"/>
      <w:lvlText w:val="●"/>
      <w:lvlJc w:val="left"/>
      <w:pPr>
        <w:ind w:left="2880" w:hanging="360"/>
      </w:pPr>
    </w:lvl>
    <w:lvl w:ilvl="4" w:tplc="86588230">
      <w:start w:val="1"/>
      <w:numFmt w:val="bullet"/>
      <w:lvlText w:val="○"/>
      <w:lvlJc w:val="left"/>
      <w:pPr>
        <w:ind w:left="3600" w:hanging="360"/>
      </w:pPr>
    </w:lvl>
    <w:lvl w:ilvl="5" w:tplc="F8628DF0">
      <w:start w:val="1"/>
      <w:numFmt w:val="bullet"/>
      <w:lvlText w:val="■"/>
      <w:lvlJc w:val="left"/>
      <w:pPr>
        <w:ind w:left="4320" w:hanging="360"/>
      </w:pPr>
    </w:lvl>
    <w:lvl w:ilvl="6" w:tplc="D5D8745C">
      <w:start w:val="1"/>
      <w:numFmt w:val="bullet"/>
      <w:lvlText w:val="●"/>
      <w:lvlJc w:val="left"/>
      <w:pPr>
        <w:ind w:left="5040" w:hanging="360"/>
      </w:pPr>
    </w:lvl>
    <w:lvl w:ilvl="7" w:tplc="85382DA0">
      <w:start w:val="1"/>
      <w:numFmt w:val="bullet"/>
      <w:lvlText w:val="●"/>
      <w:lvlJc w:val="left"/>
      <w:pPr>
        <w:ind w:left="5760" w:hanging="360"/>
      </w:pPr>
    </w:lvl>
    <w:lvl w:ilvl="8" w:tplc="D9FACFC8">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1A6D"/>
    <w:rsid w:val="000A305A"/>
    <w:rsid w:val="0012760C"/>
    <w:rsid w:val="001833EE"/>
    <w:rsid w:val="00193331"/>
    <w:rsid w:val="0019502C"/>
    <w:rsid w:val="00225BF0"/>
    <w:rsid w:val="002702DE"/>
    <w:rsid w:val="002F053C"/>
    <w:rsid w:val="0037204D"/>
    <w:rsid w:val="0039553D"/>
    <w:rsid w:val="003B32A0"/>
    <w:rsid w:val="003F0EF1"/>
    <w:rsid w:val="003F52BD"/>
    <w:rsid w:val="00403214"/>
    <w:rsid w:val="00422637"/>
    <w:rsid w:val="00465159"/>
    <w:rsid w:val="004A6C34"/>
    <w:rsid w:val="005058EB"/>
    <w:rsid w:val="00585479"/>
    <w:rsid w:val="006D3AF3"/>
    <w:rsid w:val="006D7703"/>
    <w:rsid w:val="006E11BD"/>
    <w:rsid w:val="00705246"/>
    <w:rsid w:val="00862AE6"/>
    <w:rsid w:val="00872B21"/>
    <w:rsid w:val="00A07693"/>
    <w:rsid w:val="00A6579F"/>
    <w:rsid w:val="00AE46FC"/>
    <w:rsid w:val="00AE7ED5"/>
    <w:rsid w:val="00AF02C6"/>
    <w:rsid w:val="00AF7F86"/>
    <w:rsid w:val="00B211AF"/>
    <w:rsid w:val="00B23695"/>
    <w:rsid w:val="00B25F88"/>
    <w:rsid w:val="00B5054F"/>
    <w:rsid w:val="00BD08AA"/>
    <w:rsid w:val="00BE03F8"/>
    <w:rsid w:val="00C7458D"/>
    <w:rsid w:val="00C92FB0"/>
    <w:rsid w:val="00CB0E02"/>
    <w:rsid w:val="00CB601D"/>
    <w:rsid w:val="00CD129C"/>
    <w:rsid w:val="00D11A6D"/>
    <w:rsid w:val="00E01180"/>
    <w:rsid w:val="00E902CB"/>
    <w:rsid w:val="00EC07B7"/>
    <w:rsid w:val="00F32C1F"/>
    <w:rsid w:val="00F81AA9"/>
    <w:rsid w:val="00F94C4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2973FE"/>
  <w15:docId w15:val="{0E884BBF-5967-4A51-B433-C7F4A6E81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gu-I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58D"/>
    <w:rPr>
      <w:rFonts w:cs="Shruti"/>
    </w:rPr>
  </w:style>
  <w:style w:type="paragraph" w:styleId="Heading1">
    <w:name w:val="heading 1"/>
    <w:qFormat/>
    <w:pPr>
      <w:shd w:val="clear" w:color="auto" w:fill="0B4F5C"/>
      <w:spacing w:after="280"/>
      <w:outlineLvl w:val="0"/>
    </w:pPr>
    <w:rPr>
      <w:b/>
      <w:bCs/>
      <w:color w:val="FFFFFF"/>
      <w:sz w:val="30"/>
      <w:szCs w:val="30"/>
    </w:rPr>
  </w:style>
  <w:style w:type="paragraph" w:styleId="Heading2">
    <w:name w:val="heading 2"/>
    <w:link w:val="Heading2Char"/>
    <w:qFormat/>
    <w:pPr>
      <w:pBdr>
        <w:bottom w:val="single" w:sz="4" w:space="3" w:color="B9C5C7"/>
      </w:pBdr>
      <w:spacing w:before="320" w:after="120"/>
      <w:outlineLvl w:val="1"/>
    </w:pPr>
    <w:rPr>
      <w:b/>
      <w:bCs/>
      <w:color w:val="008A9E"/>
      <w:sz w:val="25"/>
      <w:szCs w:val="25"/>
    </w:rPr>
  </w:style>
  <w:style w:type="paragraph" w:styleId="Heading3">
    <w:name w:val="heading 3"/>
    <w:qFormat/>
    <w:pPr>
      <w:spacing w:before="220" w:after="100"/>
      <w:outlineLvl w:val="2"/>
    </w:pPr>
    <w:rPr>
      <w:b/>
      <w:bCs/>
      <w:i/>
      <w:iCs/>
      <w:color w:val="0B4F5C"/>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4A6C34"/>
    <w:pPr>
      <w:tabs>
        <w:tab w:val="right" w:leader="dot" w:pos="9628"/>
      </w:tabs>
      <w:spacing w:after="100" w:line="360" w:lineRule="auto"/>
      <w:jc w:val="both"/>
    </w:pPr>
  </w:style>
  <w:style w:type="paragraph" w:styleId="TOC2">
    <w:name w:val="toc 2"/>
    <w:basedOn w:val="Normal"/>
    <w:next w:val="Normal"/>
    <w:autoRedefine/>
    <w:uiPriority w:val="39"/>
    <w:unhideWhenUsed/>
    <w:rsid w:val="00B5054F"/>
    <w:pPr>
      <w:spacing w:after="100"/>
      <w:ind w:left="220"/>
    </w:pPr>
  </w:style>
  <w:style w:type="paragraph" w:styleId="TOC3">
    <w:name w:val="toc 3"/>
    <w:basedOn w:val="Normal"/>
    <w:next w:val="Normal"/>
    <w:autoRedefine/>
    <w:uiPriority w:val="39"/>
    <w:unhideWhenUsed/>
    <w:rsid w:val="00B5054F"/>
    <w:pPr>
      <w:spacing w:after="100"/>
      <w:ind w:left="440"/>
    </w:pPr>
  </w:style>
  <w:style w:type="paragraph" w:styleId="Header">
    <w:name w:val="header"/>
    <w:basedOn w:val="Normal"/>
    <w:link w:val="HeaderChar"/>
    <w:uiPriority w:val="99"/>
    <w:unhideWhenUsed/>
    <w:rsid w:val="00B5054F"/>
    <w:pPr>
      <w:tabs>
        <w:tab w:val="center" w:pos="4513"/>
        <w:tab w:val="right" w:pos="9026"/>
      </w:tabs>
    </w:pPr>
  </w:style>
  <w:style w:type="character" w:customStyle="1" w:styleId="HeaderChar">
    <w:name w:val="Header Char"/>
    <w:basedOn w:val="DefaultParagraphFont"/>
    <w:link w:val="Header"/>
    <w:uiPriority w:val="99"/>
    <w:rsid w:val="00B5054F"/>
    <w:rPr>
      <w:rFonts w:cs="Shruti"/>
    </w:rPr>
  </w:style>
  <w:style w:type="paragraph" w:styleId="Footer">
    <w:name w:val="footer"/>
    <w:basedOn w:val="Normal"/>
    <w:link w:val="FooterChar"/>
    <w:uiPriority w:val="99"/>
    <w:unhideWhenUsed/>
    <w:rsid w:val="00B5054F"/>
    <w:pPr>
      <w:tabs>
        <w:tab w:val="center" w:pos="4513"/>
        <w:tab w:val="right" w:pos="9026"/>
      </w:tabs>
    </w:pPr>
  </w:style>
  <w:style w:type="character" w:customStyle="1" w:styleId="FooterChar">
    <w:name w:val="Footer Char"/>
    <w:basedOn w:val="DefaultParagraphFont"/>
    <w:link w:val="Footer"/>
    <w:uiPriority w:val="99"/>
    <w:rsid w:val="00B5054F"/>
    <w:rPr>
      <w:rFonts w:cs="Shruti"/>
    </w:rPr>
  </w:style>
  <w:style w:type="character" w:styleId="CommentReference">
    <w:name w:val="annotation reference"/>
    <w:basedOn w:val="DefaultParagraphFont"/>
    <w:uiPriority w:val="99"/>
    <w:semiHidden/>
    <w:unhideWhenUsed/>
    <w:rsid w:val="0039553D"/>
    <w:rPr>
      <w:sz w:val="16"/>
      <w:szCs w:val="16"/>
    </w:rPr>
  </w:style>
  <w:style w:type="paragraph" w:styleId="CommentText">
    <w:name w:val="annotation text"/>
    <w:basedOn w:val="Normal"/>
    <w:link w:val="CommentTextChar"/>
    <w:uiPriority w:val="99"/>
    <w:unhideWhenUsed/>
    <w:rsid w:val="0039553D"/>
    <w:rPr>
      <w:sz w:val="20"/>
      <w:szCs w:val="20"/>
    </w:rPr>
  </w:style>
  <w:style w:type="character" w:customStyle="1" w:styleId="CommentTextChar">
    <w:name w:val="Comment Text Char"/>
    <w:basedOn w:val="DefaultParagraphFont"/>
    <w:link w:val="CommentText"/>
    <w:uiPriority w:val="99"/>
    <w:rsid w:val="0039553D"/>
    <w:rPr>
      <w:rFonts w:cs="Shruti"/>
      <w:sz w:val="20"/>
      <w:szCs w:val="20"/>
    </w:rPr>
  </w:style>
  <w:style w:type="paragraph" w:styleId="CommentSubject">
    <w:name w:val="annotation subject"/>
    <w:basedOn w:val="CommentText"/>
    <w:next w:val="CommentText"/>
    <w:link w:val="CommentSubjectChar"/>
    <w:uiPriority w:val="99"/>
    <w:semiHidden/>
    <w:unhideWhenUsed/>
    <w:rsid w:val="0039553D"/>
    <w:rPr>
      <w:b/>
      <w:bCs/>
    </w:rPr>
  </w:style>
  <w:style w:type="character" w:customStyle="1" w:styleId="CommentSubjectChar">
    <w:name w:val="Comment Subject Char"/>
    <w:basedOn w:val="CommentTextChar"/>
    <w:link w:val="CommentSubject"/>
    <w:uiPriority w:val="99"/>
    <w:semiHidden/>
    <w:rsid w:val="0039553D"/>
    <w:rPr>
      <w:rFonts w:cs="Shruti"/>
      <w:b/>
      <w:bCs/>
      <w:sz w:val="20"/>
      <w:szCs w:val="20"/>
    </w:rPr>
  </w:style>
  <w:style w:type="paragraph" w:styleId="TOCHeading">
    <w:name w:val="TOC Heading"/>
    <w:basedOn w:val="Heading1"/>
    <w:next w:val="Normal"/>
    <w:uiPriority w:val="39"/>
    <w:unhideWhenUsed/>
    <w:qFormat/>
    <w:rsid w:val="004A6C34"/>
    <w:pPr>
      <w:keepNext/>
      <w:keepLines/>
      <w:shd w:val="clear" w:color="auto" w:fill="auto"/>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US" w:eastAsia="en-US" w:bidi="ar-SA"/>
    </w:rPr>
  </w:style>
  <w:style w:type="character" w:styleId="Strong">
    <w:name w:val="Strong"/>
    <w:basedOn w:val="DefaultParagraphFont"/>
    <w:uiPriority w:val="22"/>
    <w:qFormat/>
    <w:rsid w:val="00CB601D"/>
    <w:rPr>
      <w:b/>
      <w:bCs/>
    </w:rPr>
  </w:style>
  <w:style w:type="character" w:customStyle="1" w:styleId="Heading2Char">
    <w:name w:val="Heading 2 Char"/>
    <w:basedOn w:val="DefaultParagraphFont"/>
    <w:link w:val="Heading2"/>
    <w:rsid w:val="00AF7F86"/>
    <w:rPr>
      <w:b/>
      <w:bCs/>
      <w:color w:val="008A9E"/>
      <w:sz w:val="25"/>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43441-B210-4019-986D-66845D40C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24</Pages>
  <Words>4968</Words>
  <Characters>28319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BHP: Marketing Environment Analysis</vt:lpstr>
    </vt:vector>
  </TitlesOfParts>
  <Company/>
  <LinksUpToDate>false</LinksUpToDate>
  <CharactersWithSpaces>33221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BHP: Marketing Environment Analysis</dc:title>
  <dc:creator>Zarna</dc:creator>
  <cp:lastModifiedBy>Microsoft account</cp:lastModifiedBy>
  <cp:revision>15</cp:revision>
  <dcterms:created xsi:type="dcterms:W3CDTF">2026-10-15T13:32:00Z</dcterms:created>
  <dcterms:modified xsi:type="dcterms:W3CDTF">2026-10-19T19:21:00Z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5635146ff4bee05bbaa0c4799ed42ba1483868f71a729de866382c3e720ffc13</vt:lpwstr>
  </property>
</Properties>
</file>