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C6D38" w14:textId="558A93DC" w:rsidR="008A0149" w:rsidRDefault="008938E7" w:rsidP="008938E7">
      <w:pPr>
        <w:jc w:val="center"/>
        <w:rPr>
          <w:sz w:val="96"/>
          <w:szCs w:val="96"/>
        </w:rPr>
      </w:pPr>
      <w:r w:rsidRPr="008938E7">
        <w:rPr>
          <w:sz w:val="96"/>
          <w:szCs w:val="96"/>
        </w:rPr>
        <w:t>Introduction to health and social care</w:t>
      </w:r>
    </w:p>
    <w:p w14:paraId="54390F34" w14:textId="77777777" w:rsidR="008938E7" w:rsidRPr="008938E7" w:rsidRDefault="008938E7" w:rsidP="008938E7">
      <w:pPr>
        <w:jc w:val="center"/>
        <w:rPr>
          <w:sz w:val="96"/>
          <w:szCs w:val="96"/>
        </w:rPr>
      </w:pPr>
    </w:p>
    <w:p w14:paraId="70312394" w14:textId="58F3C7D2" w:rsidR="008938E7" w:rsidRPr="008938E7" w:rsidRDefault="008938E7">
      <w:pPr>
        <w:rPr>
          <w:sz w:val="96"/>
          <w:szCs w:val="96"/>
        </w:rPr>
      </w:pPr>
      <w:r w:rsidRPr="008938E7">
        <w:rPr>
          <w:sz w:val="96"/>
          <w:szCs w:val="96"/>
        </w:rPr>
        <w:t>Saira Azam</w:t>
      </w:r>
    </w:p>
    <w:p w14:paraId="58F1A96D" w14:textId="51F79EDD" w:rsidR="008938E7" w:rsidRPr="008938E7" w:rsidRDefault="008938E7">
      <w:pPr>
        <w:rPr>
          <w:sz w:val="96"/>
          <w:szCs w:val="96"/>
        </w:rPr>
      </w:pPr>
      <w:r w:rsidRPr="008938E7">
        <w:rPr>
          <w:sz w:val="96"/>
          <w:szCs w:val="96"/>
        </w:rPr>
        <w:t>2515555</w:t>
      </w:r>
    </w:p>
    <w:p w14:paraId="5D8B61EE" w14:textId="3D515CF6" w:rsidR="008938E7" w:rsidRPr="008938E7" w:rsidRDefault="008938E7">
      <w:pPr>
        <w:rPr>
          <w:sz w:val="96"/>
          <w:szCs w:val="96"/>
        </w:rPr>
      </w:pPr>
      <w:r w:rsidRPr="008938E7">
        <w:rPr>
          <w:sz w:val="96"/>
          <w:szCs w:val="96"/>
        </w:rPr>
        <w:t>LCHS4003</w:t>
      </w:r>
    </w:p>
    <w:p w14:paraId="344FBA21" w14:textId="3E1D5D05" w:rsidR="008938E7" w:rsidRPr="008938E7" w:rsidRDefault="008938E7">
      <w:pPr>
        <w:rPr>
          <w:sz w:val="96"/>
          <w:szCs w:val="96"/>
        </w:rPr>
      </w:pPr>
      <w:r w:rsidRPr="008938E7">
        <w:rPr>
          <w:sz w:val="96"/>
          <w:szCs w:val="96"/>
        </w:rPr>
        <w:t>Mumtaz Goolam</w:t>
      </w:r>
    </w:p>
    <w:p w14:paraId="490ADE22" w14:textId="7585364E" w:rsidR="008938E7" w:rsidRDefault="008938E7">
      <w:pPr>
        <w:rPr>
          <w:sz w:val="96"/>
          <w:szCs w:val="96"/>
        </w:rPr>
      </w:pPr>
      <w:r w:rsidRPr="008938E7">
        <w:rPr>
          <w:sz w:val="96"/>
          <w:szCs w:val="96"/>
        </w:rPr>
        <w:t>27/03/2026</w:t>
      </w:r>
    </w:p>
    <w:p w14:paraId="2BAFB2C7" w14:textId="77777777" w:rsidR="00F674D1" w:rsidRDefault="00F674D1">
      <w:pPr>
        <w:rPr>
          <w:sz w:val="96"/>
          <w:szCs w:val="96"/>
        </w:rPr>
      </w:pPr>
    </w:p>
    <w:p w14:paraId="349C4662" w14:textId="77777777" w:rsidR="00697A8D" w:rsidRDefault="00697A8D" w:rsidP="00697A8D"/>
    <w:p w14:paraId="68FA5E40" w14:textId="77777777" w:rsidR="00697A8D" w:rsidRDefault="00697A8D" w:rsidP="00697A8D"/>
    <w:p w14:paraId="3038B986" w14:textId="77777777" w:rsidR="00697A8D" w:rsidRDefault="00697A8D" w:rsidP="00697A8D"/>
    <w:p w14:paraId="6A44FA6F" w14:textId="1C9801DB" w:rsidR="00697A8D" w:rsidRPr="00697A8D" w:rsidRDefault="00697A8D" w:rsidP="00697A8D">
      <w:pPr>
        <w:rPr>
          <w:b/>
          <w:bCs/>
        </w:rPr>
      </w:pPr>
      <w:r w:rsidRPr="00697A8D">
        <w:rPr>
          <w:b/>
          <w:bCs/>
        </w:rPr>
        <w:lastRenderedPageBreak/>
        <w:t>Introduction</w:t>
      </w:r>
    </w:p>
    <w:p w14:paraId="7348768C" w14:textId="77777777" w:rsidR="00697A8D" w:rsidRDefault="00697A8D" w:rsidP="00697A8D"/>
    <w:p w14:paraId="3DF8CD39" w14:textId="77777777" w:rsidR="00697A8D" w:rsidRDefault="00697A8D" w:rsidP="00697A8D">
      <w:r>
        <w:t>This report focuses on the case of Mr Ahmed, a 68-year-old stroke patient who requires ongoing domiciliary care following hospital discharge. Mr Ahmed lives with his wife and receives support from a multidisciplinary team including his GP, district nurse, speech and language therapist, and care workers. Due to his limited English proficiency and communication difficulties following his stroke, he faces challenges in engaging effectively with healthcare professionals. A recent incident involving a missed home visit and delayed medication highlights concerns regarding communication, administrative practice, and collaborative working within his care.</w:t>
      </w:r>
    </w:p>
    <w:p w14:paraId="0CE5E0FF" w14:textId="77777777" w:rsidR="00697A8D" w:rsidRDefault="00697A8D" w:rsidP="00697A8D"/>
    <w:p w14:paraId="69F54F94" w14:textId="77777777" w:rsidR="00697A8D" w:rsidRDefault="00697A8D" w:rsidP="00697A8D">
      <w:r>
        <w:t>The purpose of this report is to critically explore the importance of effective communication, administrative skills, and collaborative working in delivering high-quality care. It will apply relevant legislation such as the Equality Act 2010 and Data Protection Act 2018, alongside communication models and professional frameworks, to demonstrate how these factors impact patient safety and care outcomes in Mr Ahmed’s case.</w:t>
      </w:r>
    </w:p>
    <w:p w14:paraId="6EE72648" w14:textId="77777777" w:rsidR="00697A8D" w:rsidRDefault="00697A8D" w:rsidP="00697A8D"/>
    <w:p w14:paraId="7D306A64" w14:textId="0DDE836A" w:rsidR="00697A8D" w:rsidRPr="00697A8D" w:rsidRDefault="00697A8D" w:rsidP="00697A8D">
      <w:pPr>
        <w:rPr>
          <w:b/>
          <w:bCs/>
        </w:rPr>
      </w:pPr>
      <w:r w:rsidRPr="00697A8D">
        <w:rPr>
          <w:b/>
          <w:bCs/>
        </w:rPr>
        <w:t>Effective Communication</w:t>
      </w:r>
    </w:p>
    <w:p w14:paraId="456E7CA8" w14:textId="77777777" w:rsidR="00697A8D" w:rsidRDefault="00697A8D" w:rsidP="00697A8D"/>
    <w:p w14:paraId="3AB11C76" w14:textId="77777777" w:rsidR="00697A8D" w:rsidRDefault="00697A8D" w:rsidP="00697A8D">
      <w:r>
        <w:t>Effective communication is fundamental in health and social care as it ensures safe, person-centred, and high-quality care delivery (NMC, 2018). In Mr Ahmed’s case, communication is particularly significant due to his limited English proficiency and post-stroke communication difficulties. Without appropriate communication strategies, misunderstandings may occur, potentially leading to poor health outcomes, as demonstrated by the missed medication incident.</w:t>
      </w:r>
    </w:p>
    <w:p w14:paraId="379DB621" w14:textId="77777777" w:rsidR="00697A8D" w:rsidRDefault="00697A8D" w:rsidP="00697A8D"/>
    <w:p w14:paraId="3860F2F8" w14:textId="77777777" w:rsidR="00697A8D" w:rsidRDefault="00697A8D" w:rsidP="00697A8D">
      <w:r>
        <w:t xml:space="preserve">The Equality Act 2010 places a legal duty on healthcare providers to make reasonable adjustments to prevent discrimination and ensure equal access to services (Equality Act, 2010). In practice, this means adapting communication methods for Mr Ahmed </w:t>
      </w:r>
      <w:proofErr w:type="gramStart"/>
      <w:r>
        <w:t>through the use of</w:t>
      </w:r>
      <w:proofErr w:type="gramEnd"/>
      <w:r>
        <w:t xml:space="preserve"> interpreters, simplified language, and visual aids. While his wife assists with communication, relying solely on family members may compromise accuracy and confidentiality. Therefore, professional interpreters should be considered to enhance effective communication (NICE, 2016).</w:t>
      </w:r>
    </w:p>
    <w:p w14:paraId="7A55EBE8" w14:textId="77777777" w:rsidR="00697A8D" w:rsidRDefault="00697A8D" w:rsidP="00697A8D"/>
    <w:p w14:paraId="4D481EFD" w14:textId="77777777" w:rsidR="00697A8D" w:rsidRDefault="00697A8D" w:rsidP="00697A8D">
      <w:r>
        <w:t>Berlo’s Sender-Message-Channel-Receiver (SMCR) model (1960) provides a useful framework for understanding communication processes. The model highlights how communication effectiveness depends on factors such as the sender’s communication skills, the clarity of the message, the channel used, and the receiver’s ability to interpret the information (Berlo, 1960). In Mr Ahmed’s case, his stroke and language barrier may affect his ability to decode messages accurately. Therefore, healthcare professionals must adapt their communication style, for example by using non-verbal cues, written materials, or pictorial aids, to ensure understanding.</w:t>
      </w:r>
    </w:p>
    <w:p w14:paraId="62D9A58D" w14:textId="77777777" w:rsidR="00697A8D" w:rsidRDefault="00697A8D" w:rsidP="00697A8D"/>
    <w:p w14:paraId="52B103AA" w14:textId="77777777" w:rsidR="00697A8D" w:rsidRDefault="00697A8D" w:rsidP="00697A8D">
      <w:r>
        <w:lastRenderedPageBreak/>
        <w:t>Cultural sensitivity is also essential when communicating with service users from diverse backgrounds. Respecting Mr Ahmed’s cultural beliefs and preferences can help build trust and improve engagement with care services (Papadopoulos, 2006). Effective communication should be inclusive, respectful, and tailored to the individual’s needs.</w:t>
      </w:r>
    </w:p>
    <w:p w14:paraId="6BE66ABF" w14:textId="77777777" w:rsidR="00697A8D" w:rsidRDefault="00697A8D" w:rsidP="00697A8D"/>
    <w:p w14:paraId="019A0100" w14:textId="77777777" w:rsidR="00697A8D" w:rsidRDefault="00697A8D" w:rsidP="00697A8D">
      <w:r>
        <w:t>Poor communication can result in serious consequences, including medication errors and compromised patient safety. The missed home visit suggests a breakdown in communication between care providers. Implementing strategies such as clear documentation, structured handovers, and communication logs can help prevent such issues (CQC, 2021).</w:t>
      </w:r>
    </w:p>
    <w:p w14:paraId="0C2507CA" w14:textId="77777777" w:rsidR="00697A8D" w:rsidRDefault="00697A8D" w:rsidP="00697A8D"/>
    <w:p w14:paraId="03A87900" w14:textId="77777777" w:rsidR="00697A8D" w:rsidRDefault="00697A8D" w:rsidP="00697A8D">
      <w:r>
        <w:t>In conclusion, effective communication in Mr Ahmed’s care requires legal compliance, appropriate communication models, and practical strategies to overcome barriers. This ensures improved patient safety, satisfaction, and overall care outcomes.</w:t>
      </w:r>
    </w:p>
    <w:p w14:paraId="58045C30" w14:textId="77777777" w:rsidR="00697A8D" w:rsidRDefault="00697A8D" w:rsidP="00697A8D"/>
    <w:p w14:paraId="2B640A55" w14:textId="61EF5540" w:rsidR="00697A8D" w:rsidRPr="00697A8D" w:rsidRDefault="00697A8D" w:rsidP="00697A8D">
      <w:pPr>
        <w:rPr>
          <w:b/>
          <w:bCs/>
        </w:rPr>
      </w:pPr>
      <w:r>
        <w:t xml:space="preserve"> </w:t>
      </w:r>
      <w:r w:rsidRPr="00697A8D">
        <w:rPr>
          <w:b/>
          <w:bCs/>
        </w:rPr>
        <w:t>Administrative Skills and Record Keeping</w:t>
      </w:r>
    </w:p>
    <w:p w14:paraId="37ED18A6" w14:textId="77777777" w:rsidR="00697A8D" w:rsidRDefault="00697A8D" w:rsidP="00697A8D"/>
    <w:p w14:paraId="1DD773DF" w14:textId="77777777" w:rsidR="00697A8D" w:rsidRDefault="00697A8D" w:rsidP="00697A8D">
      <w:r>
        <w:t>Administrative skills and accurate record keeping are essential in ensuring safe and effective healthcare delivery. In Mr Ahmed’s case, the missed home visit and delayed medication highlight the risks associated with poor administrative practices.</w:t>
      </w:r>
    </w:p>
    <w:p w14:paraId="6D84E423" w14:textId="77777777" w:rsidR="00697A8D" w:rsidRDefault="00697A8D" w:rsidP="00697A8D"/>
    <w:p w14:paraId="1E31006A" w14:textId="77777777" w:rsidR="00697A8D" w:rsidRDefault="00697A8D" w:rsidP="00697A8D">
      <w:r>
        <w:t>The Data Protection Act 2018 outlines key principles for handling personal data, ensuring that information is processed lawfully, fairly, and securely (ICO, 2018). Healthcare professionals must ensure that patient data is accurate, up to date, and only accessed by authorised individuals. Failure to comply with these principles can result in legal consequences and compromise patient safety.</w:t>
      </w:r>
    </w:p>
    <w:p w14:paraId="58E992FC" w14:textId="77777777" w:rsidR="00697A8D" w:rsidRDefault="00697A8D" w:rsidP="00697A8D"/>
    <w:p w14:paraId="13B8BB65" w14:textId="77777777" w:rsidR="00697A8D" w:rsidRDefault="00697A8D" w:rsidP="00697A8D">
      <w:r>
        <w:t>The Caldicott Principles provide further guidance on maintaining confidentiality and appropriate information sharing within healthcare settings (Department of Health, 2013). For example, Principle 4 states that access to confidential information should be on a strict need-to-know basis, while Principle 7 emphasises that sharing information for patient care is as important as protecting confidentiality. In Mr Ahmed’s case, effective information sharing between professionals is essential to prevent incidents such as missed visits or delays in medication.</w:t>
      </w:r>
    </w:p>
    <w:p w14:paraId="30F9D01C" w14:textId="77777777" w:rsidR="00697A8D" w:rsidRDefault="00697A8D" w:rsidP="00697A8D"/>
    <w:p w14:paraId="7AB18168" w14:textId="77777777" w:rsidR="00697A8D" w:rsidRDefault="00697A8D" w:rsidP="00697A8D">
      <w:r>
        <w:t>Additionally, the General Data Protection Regulation (GDPR) establishes seven key principles, including lawfulness, purpose limitation, data minimisation, accuracy, and accountability (ICO, 2018). These principles ensure that organisations handle data responsibly and maintain patient trust.</w:t>
      </w:r>
    </w:p>
    <w:p w14:paraId="06BE7EAD" w14:textId="77777777" w:rsidR="00697A8D" w:rsidRDefault="00697A8D" w:rsidP="00697A8D"/>
    <w:p w14:paraId="550E6B1E" w14:textId="77777777" w:rsidR="00697A8D" w:rsidRDefault="00697A8D" w:rsidP="00697A8D">
      <w:r>
        <w:t xml:space="preserve">Poor record keeping can lead to significant risks, including medication errors, duplication of care, and safeguarding concerns (NMC, 2018). The missed home visit in Mr Ahmed’s case may indicate a failure </w:t>
      </w:r>
      <w:r>
        <w:lastRenderedPageBreak/>
        <w:t>in scheduling systems or communication between staff. Accurate documentation and regular updates are essential to ensure continuity of care.</w:t>
      </w:r>
    </w:p>
    <w:p w14:paraId="2530478D" w14:textId="77777777" w:rsidR="00697A8D" w:rsidRDefault="00697A8D" w:rsidP="00697A8D"/>
    <w:p w14:paraId="4835A40B" w14:textId="77777777" w:rsidR="00697A8D" w:rsidRDefault="00697A8D" w:rsidP="00697A8D">
      <w:r>
        <w:t>To improve administrative practices, healthcare organisations should implement clear policies, staff training, and regular audits. The use of electronic health records can also enhance efficiency and reduce errors by providing real-time access to patient information (CQC, 2021).</w:t>
      </w:r>
    </w:p>
    <w:p w14:paraId="4CE32033" w14:textId="77777777" w:rsidR="00697A8D" w:rsidRDefault="00697A8D" w:rsidP="00697A8D"/>
    <w:p w14:paraId="40571513" w14:textId="77777777" w:rsidR="00697A8D" w:rsidRDefault="00697A8D" w:rsidP="00697A8D">
      <w:r>
        <w:t>In summary, effective administrative skills and adherence to legal frameworks such as the Data Protection Act 2018, GDPR, and Caldicott Principles are critical in ensuring patient safety and high-quality care.</w:t>
      </w:r>
    </w:p>
    <w:p w14:paraId="67D05DDB" w14:textId="77777777" w:rsidR="00697A8D" w:rsidRDefault="00697A8D" w:rsidP="00697A8D"/>
    <w:p w14:paraId="58ABB1B4" w14:textId="6FA9E113" w:rsidR="00697A8D" w:rsidRPr="00697A8D" w:rsidRDefault="00697A8D" w:rsidP="00697A8D">
      <w:pPr>
        <w:rPr>
          <w:b/>
          <w:bCs/>
        </w:rPr>
      </w:pPr>
      <w:r>
        <w:t xml:space="preserve"> </w:t>
      </w:r>
      <w:r w:rsidRPr="00697A8D">
        <w:rPr>
          <w:b/>
          <w:bCs/>
        </w:rPr>
        <w:t xml:space="preserve">Collaborative Working </w:t>
      </w:r>
    </w:p>
    <w:p w14:paraId="4DCD2C25" w14:textId="77777777" w:rsidR="00697A8D" w:rsidRDefault="00697A8D" w:rsidP="00697A8D"/>
    <w:p w14:paraId="5323548B" w14:textId="77777777" w:rsidR="00697A8D" w:rsidRDefault="00697A8D" w:rsidP="00697A8D">
      <w:r>
        <w:t>Collaborative working is vital in health and social care, particularly in complex cases such as Mr Ahmed’s, where multiple professionals are involved. A multidisciplinary approach ensures that all aspects of a patient’s needs are addressed, leading to improved outcomes (NMC, 2018).</w:t>
      </w:r>
    </w:p>
    <w:p w14:paraId="0D6F2ED1" w14:textId="77777777" w:rsidR="00697A8D" w:rsidRDefault="00697A8D" w:rsidP="00697A8D"/>
    <w:p w14:paraId="7D63C4FD" w14:textId="77777777" w:rsidR="00697A8D" w:rsidRDefault="00697A8D" w:rsidP="00697A8D">
      <w:r>
        <w:t>In Mr Ahmed’s care, collaboration between the GP, district nurse, speech and language therapist, and domiciliary care workers is essential. Each professional contributes specialised knowledge, supporting a holistic care plan. For example, the speech and language therapist addresses communication and swallowing difficulties, while the district nurse monitors physical health.</w:t>
      </w:r>
    </w:p>
    <w:p w14:paraId="77891F88" w14:textId="77777777" w:rsidR="00697A8D" w:rsidRDefault="00697A8D" w:rsidP="00697A8D"/>
    <w:p w14:paraId="628BADE6" w14:textId="77777777" w:rsidR="00697A8D" w:rsidRDefault="00697A8D" w:rsidP="00697A8D">
      <w:r>
        <w:t>Effective collaboration requires clear communication, shared goals, and mutual respect among professionals. Shared care plans and regular team meetings are key approaches to ensuring coordinated care (CQC, 2021). These tools enable professionals to stay informed and aligned in their approach.</w:t>
      </w:r>
    </w:p>
    <w:p w14:paraId="239B3662" w14:textId="77777777" w:rsidR="00697A8D" w:rsidRDefault="00697A8D" w:rsidP="00697A8D"/>
    <w:p w14:paraId="148221AD" w14:textId="77777777" w:rsidR="00697A8D" w:rsidRDefault="00697A8D" w:rsidP="00697A8D">
      <w:r>
        <w:t>However, challenges such as communication breakdowns, role confusion, and organisational differences can hinder effective collaboration. The missed home visit in Mr Ahmed’s case suggests a lack of coordination between care providers. Strategies to overcome these challenges include clear role definitions, effective leadership, and improved communication systems.</w:t>
      </w:r>
    </w:p>
    <w:p w14:paraId="5F5295AE" w14:textId="77777777" w:rsidR="00697A8D" w:rsidRDefault="00697A8D" w:rsidP="00697A8D"/>
    <w:p w14:paraId="7E451803" w14:textId="77777777" w:rsidR="00697A8D" w:rsidRDefault="00697A8D" w:rsidP="00697A8D">
      <w:r>
        <w:t>Involving Mr Ahmed and his wife in decision-making is also crucial for person-centred care. Their involvement ensures that care is tailored to their needs and preferences, improving engagement and outcomes (NICE, 2016).</w:t>
      </w:r>
    </w:p>
    <w:p w14:paraId="3BB72932" w14:textId="77777777" w:rsidR="00697A8D" w:rsidRDefault="00697A8D" w:rsidP="00697A8D"/>
    <w:p w14:paraId="7CB4319C" w14:textId="77777777" w:rsidR="00697A8D" w:rsidRDefault="00697A8D" w:rsidP="00697A8D">
      <w:r>
        <w:lastRenderedPageBreak/>
        <w:t>In conclusion, collaborative working enhances care quality and safety. By improving teamwork and coordination, healthcare professionals can reduce errors and provide more effective support for patients like Mr Ahmed.</w:t>
      </w:r>
    </w:p>
    <w:p w14:paraId="0A37D090" w14:textId="77777777" w:rsidR="00697A8D" w:rsidRDefault="00697A8D" w:rsidP="00697A8D"/>
    <w:p w14:paraId="6E9411A1" w14:textId="33FC4C5B" w:rsidR="00697A8D" w:rsidRPr="00697A8D" w:rsidRDefault="00697A8D" w:rsidP="00697A8D">
      <w:pPr>
        <w:rPr>
          <w:b/>
          <w:bCs/>
        </w:rPr>
      </w:pPr>
      <w:r w:rsidRPr="00697A8D">
        <w:rPr>
          <w:b/>
          <w:bCs/>
        </w:rPr>
        <w:t>Conclusion</w:t>
      </w:r>
    </w:p>
    <w:p w14:paraId="4175447A" w14:textId="77777777" w:rsidR="00697A8D" w:rsidRDefault="00697A8D" w:rsidP="00697A8D"/>
    <w:p w14:paraId="4AD0C0E1" w14:textId="77777777" w:rsidR="00697A8D" w:rsidRDefault="00697A8D" w:rsidP="00697A8D">
      <w:r>
        <w:t>This report has demonstrated the importance of effective communication, administrative skills, and collaborative working in the care of Mr Ahmed. Communication is essential in overcoming language barriers and ensuring patient understanding, particularly when supported by legal frameworks such as the Equality Act 2010. Administrative skills and accurate record keeping are vital in maintaining patient safety and complying with legislation such as the Data Protection Act 2018 and GDPR.</w:t>
      </w:r>
    </w:p>
    <w:p w14:paraId="4584594B" w14:textId="77777777" w:rsidR="00697A8D" w:rsidRDefault="00697A8D" w:rsidP="00697A8D"/>
    <w:p w14:paraId="01627F1F" w14:textId="77777777" w:rsidR="00697A8D" w:rsidRDefault="00697A8D" w:rsidP="00697A8D">
      <w:r>
        <w:t>Furthermore, collaborative working among healthcare professionals ensures a holistic and coordinated approach to care. The missed home visit highlights how failures in these areas can negatively impact patient outcomes. By improving communication strategies, maintaining accurate records, and strengthening teamwork, healthcare providers can enhance the quality and safety of care. Ultimately, these elements are fundamental in delivering person-centred care and achieving positive health outcomes for individuals like Mr Ahmed.</w:t>
      </w:r>
    </w:p>
    <w:p w14:paraId="3AB378D1" w14:textId="77777777" w:rsidR="00697A8D" w:rsidRDefault="00697A8D" w:rsidP="00697A8D"/>
    <w:p w14:paraId="122EB861" w14:textId="77777777" w:rsidR="00697A8D" w:rsidRDefault="00697A8D" w:rsidP="00697A8D"/>
    <w:p w14:paraId="0E38E29A" w14:textId="77777777" w:rsidR="00697A8D" w:rsidRDefault="00697A8D" w:rsidP="00697A8D"/>
    <w:p w14:paraId="2803086A" w14:textId="77777777" w:rsidR="00697A8D" w:rsidRDefault="00697A8D" w:rsidP="00697A8D"/>
    <w:p w14:paraId="55155A86" w14:textId="77777777" w:rsidR="00697A8D" w:rsidRDefault="00697A8D" w:rsidP="00697A8D"/>
    <w:p w14:paraId="1295097D" w14:textId="77777777" w:rsidR="00697A8D" w:rsidRDefault="00697A8D" w:rsidP="00697A8D"/>
    <w:p w14:paraId="774BC97A" w14:textId="77777777" w:rsidR="00697A8D" w:rsidRDefault="00697A8D" w:rsidP="00697A8D"/>
    <w:p w14:paraId="2D2575AC" w14:textId="77777777" w:rsidR="00697A8D" w:rsidRDefault="00697A8D" w:rsidP="00697A8D"/>
    <w:p w14:paraId="16A2F63C" w14:textId="77777777" w:rsidR="00697A8D" w:rsidRDefault="00697A8D" w:rsidP="00697A8D"/>
    <w:p w14:paraId="4C4B0585" w14:textId="77777777" w:rsidR="00697A8D" w:rsidRDefault="00697A8D" w:rsidP="00697A8D"/>
    <w:p w14:paraId="59B074C7" w14:textId="77777777" w:rsidR="00697A8D" w:rsidRDefault="00697A8D" w:rsidP="00697A8D"/>
    <w:p w14:paraId="0E492302" w14:textId="77777777" w:rsidR="00697A8D" w:rsidRDefault="00697A8D" w:rsidP="00697A8D"/>
    <w:p w14:paraId="2F4DA05C" w14:textId="77777777" w:rsidR="00697A8D" w:rsidRDefault="00697A8D" w:rsidP="00697A8D"/>
    <w:p w14:paraId="36F821D4" w14:textId="77777777" w:rsidR="00697A8D" w:rsidRDefault="00697A8D" w:rsidP="00697A8D"/>
    <w:p w14:paraId="114DFA83" w14:textId="77777777" w:rsidR="00697A8D" w:rsidRDefault="00697A8D" w:rsidP="00697A8D"/>
    <w:p w14:paraId="6F6E51E6" w14:textId="77777777" w:rsidR="00697A8D" w:rsidRDefault="00697A8D" w:rsidP="00697A8D"/>
    <w:p w14:paraId="62A858D0" w14:textId="77777777" w:rsidR="00697A8D" w:rsidRDefault="00697A8D" w:rsidP="00697A8D"/>
    <w:p w14:paraId="3759D8E1" w14:textId="69FB3F92" w:rsidR="00697A8D" w:rsidRPr="00697A8D" w:rsidRDefault="00697A8D" w:rsidP="00697A8D">
      <w:pPr>
        <w:rPr>
          <w:b/>
          <w:bCs/>
        </w:rPr>
      </w:pPr>
      <w:r w:rsidRPr="00697A8D">
        <w:rPr>
          <w:b/>
          <w:bCs/>
        </w:rPr>
        <w:lastRenderedPageBreak/>
        <w:t>References</w:t>
      </w:r>
    </w:p>
    <w:p w14:paraId="0CE20CA7" w14:textId="77777777" w:rsidR="00697A8D" w:rsidRDefault="00697A8D" w:rsidP="00697A8D"/>
    <w:p w14:paraId="570C1F22" w14:textId="77777777" w:rsidR="00697A8D" w:rsidRDefault="00697A8D" w:rsidP="00697A8D">
      <w:r>
        <w:t>Berlo, D.K. (1960) The Process of Communication. New York: Holt, Rinehart and Winston.</w:t>
      </w:r>
    </w:p>
    <w:p w14:paraId="07134B99" w14:textId="77777777" w:rsidR="00697A8D" w:rsidRDefault="00697A8D" w:rsidP="00697A8D"/>
    <w:p w14:paraId="0A47E3CF" w14:textId="7DDBDF80" w:rsidR="00697A8D" w:rsidRDefault="00697A8D" w:rsidP="00697A8D">
      <w:r>
        <w:t xml:space="preserve">Care Quality Commission (CQC) (2021) Fundamental standards. Available at: https://www.cqc.org.uk/what-we-do/how-we-do-our-job/fundamental-standards (Accessed: </w:t>
      </w:r>
      <w:r>
        <w:t>12</w:t>
      </w:r>
      <w:r>
        <w:t xml:space="preserve"> March 2026).</w:t>
      </w:r>
    </w:p>
    <w:p w14:paraId="02FB2AA9" w14:textId="77777777" w:rsidR="00697A8D" w:rsidRDefault="00697A8D" w:rsidP="00697A8D"/>
    <w:p w14:paraId="78A03A2E" w14:textId="3FBE5D12" w:rsidR="00697A8D" w:rsidRDefault="00697A8D" w:rsidP="00697A8D">
      <w:r>
        <w:t xml:space="preserve">Department of Health (2013) The Caldicott Principles. Available at: https://www.gov.uk/government/publications/the-caldicott-principles (Accessed: </w:t>
      </w:r>
      <w:r>
        <w:t>1</w:t>
      </w:r>
      <w:r>
        <w:t>2 March 2026).</w:t>
      </w:r>
    </w:p>
    <w:p w14:paraId="35E4FE09" w14:textId="77777777" w:rsidR="00697A8D" w:rsidRDefault="00697A8D" w:rsidP="00697A8D"/>
    <w:p w14:paraId="2CF26B79" w14:textId="5029AB40" w:rsidR="00697A8D" w:rsidRDefault="00697A8D" w:rsidP="00697A8D">
      <w:r>
        <w:t xml:space="preserve">Equality Act 2010. Available at: https://www.legislation.gov.uk/ukpga/2010/15/contents (Accessed: </w:t>
      </w:r>
      <w:r>
        <w:t>17</w:t>
      </w:r>
      <w:r>
        <w:t xml:space="preserve"> March 2026).</w:t>
      </w:r>
    </w:p>
    <w:p w14:paraId="6B11D061" w14:textId="77777777" w:rsidR="00697A8D" w:rsidRDefault="00697A8D" w:rsidP="00697A8D"/>
    <w:p w14:paraId="257407C2" w14:textId="713E4E97" w:rsidR="00697A8D" w:rsidRDefault="00697A8D" w:rsidP="00697A8D">
      <w:r>
        <w:t xml:space="preserve">Information Commissioner’s Office (ICO) (2018) Guide to the Data Protection Act 2018. Available at: https://ico.org.uk/for-organisations/guide-to-data-protection/ (Accessed: </w:t>
      </w:r>
      <w:r>
        <w:t>17</w:t>
      </w:r>
      <w:r>
        <w:t xml:space="preserve"> March 2026).</w:t>
      </w:r>
    </w:p>
    <w:p w14:paraId="6F5A7451" w14:textId="77777777" w:rsidR="00697A8D" w:rsidRDefault="00697A8D" w:rsidP="00697A8D"/>
    <w:p w14:paraId="7C2D3544" w14:textId="77777777" w:rsidR="00697A8D" w:rsidRDefault="00697A8D" w:rsidP="00697A8D">
      <w:r>
        <w:t>NICE (2016) Patient experience in adult NHS services. Available at: https://www.nice.org.uk/guidance/cg138 (Accessed: 22 March 2026).</w:t>
      </w:r>
    </w:p>
    <w:p w14:paraId="6D617CFE" w14:textId="77777777" w:rsidR="00697A8D" w:rsidRDefault="00697A8D" w:rsidP="00697A8D"/>
    <w:p w14:paraId="50050FE3" w14:textId="77777777" w:rsidR="00697A8D" w:rsidRDefault="00697A8D" w:rsidP="00697A8D">
      <w:r>
        <w:t>Nursing and Midwifery Council (NMC) (2018) The Code. Available at: https://www.nmc.org.uk/standards/code/ (Accessed: 22 March 2026).</w:t>
      </w:r>
    </w:p>
    <w:p w14:paraId="6D3F5BCB" w14:textId="77777777" w:rsidR="00697A8D" w:rsidRDefault="00697A8D" w:rsidP="00697A8D"/>
    <w:p w14:paraId="75DEBF59" w14:textId="32B15CE7" w:rsidR="00F674D1" w:rsidRPr="00F674D1" w:rsidRDefault="00697A8D" w:rsidP="00697A8D">
      <w:r>
        <w:t>Papadopoulos, I. (2006) Transcultural Health and Social Care. London: Elsevier.</w:t>
      </w:r>
    </w:p>
    <w:sectPr w:rsidR="00F674D1" w:rsidRPr="00F674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8E7"/>
    <w:rsid w:val="00577E66"/>
    <w:rsid w:val="00697A8D"/>
    <w:rsid w:val="006C211E"/>
    <w:rsid w:val="008938E7"/>
    <w:rsid w:val="008A0149"/>
    <w:rsid w:val="00990FF6"/>
    <w:rsid w:val="00F67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CFC96"/>
  <w15:chartTrackingRefBased/>
  <w15:docId w15:val="{3EB3E6E5-E5B1-4CE7-AEB8-A2BFC304B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8E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38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38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38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38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38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8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8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8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8E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38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38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38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38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38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8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8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8E7"/>
    <w:rPr>
      <w:rFonts w:eastAsiaTheme="majorEastAsia" w:cstheme="majorBidi"/>
      <w:color w:val="272727" w:themeColor="text1" w:themeTint="D8"/>
    </w:rPr>
  </w:style>
  <w:style w:type="paragraph" w:styleId="Title">
    <w:name w:val="Title"/>
    <w:basedOn w:val="Normal"/>
    <w:next w:val="Normal"/>
    <w:link w:val="TitleChar"/>
    <w:uiPriority w:val="10"/>
    <w:qFormat/>
    <w:rsid w:val="008938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8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8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8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8E7"/>
    <w:pPr>
      <w:spacing w:before="160"/>
      <w:jc w:val="center"/>
    </w:pPr>
    <w:rPr>
      <w:i/>
      <w:iCs/>
      <w:color w:val="404040" w:themeColor="text1" w:themeTint="BF"/>
    </w:rPr>
  </w:style>
  <w:style w:type="character" w:customStyle="1" w:styleId="QuoteChar">
    <w:name w:val="Quote Char"/>
    <w:basedOn w:val="DefaultParagraphFont"/>
    <w:link w:val="Quote"/>
    <w:uiPriority w:val="29"/>
    <w:rsid w:val="008938E7"/>
    <w:rPr>
      <w:i/>
      <w:iCs/>
      <w:color w:val="404040" w:themeColor="text1" w:themeTint="BF"/>
    </w:rPr>
  </w:style>
  <w:style w:type="paragraph" w:styleId="ListParagraph">
    <w:name w:val="List Paragraph"/>
    <w:basedOn w:val="Normal"/>
    <w:uiPriority w:val="34"/>
    <w:qFormat/>
    <w:rsid w:val="008938E7"/>
    <w:pPr>
      <w:ind w:left="720"/>
      <w:contextualSpacing/>
    </w:pPr>
  </w:style>
  <w:style w:type="character" w:styleId="IntenseEmphasis">
    <w:name w:val="Intense Emphasis"/>
    <w:basedOn w:val="DefaultParagraphFont"/>
    <w:uiPriority w:val="21"/>
    <w:qFormat/>
    <w:rsid w:val="008938E7"/>
    <w:rPr>
      <w:i/>
      <w:iCs/>
      <w:color w:val="2F5496" w:themeColor="accent1" w:themeShade="BF"/>
    </w:rPr>
  </w:style>
  <w:style w:type="paragraph" w:styleId="IntenseQuote">
    <w:name w:val="Intense Quote"/>
    <w:basedOn w:val="Normal"/>
    <w:next w:val="Normal"/>
    <w:link w:val="IntenseQuoteChar"/>
    <w:uiPriority w:val="30"/>
    <w:qFormat/>
    <w:rsid w:val="008938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38E7"/>
    <w:rPr>
      <w:i/>
      <w:iCs/>
      <w:color w:val="2F5496" w:themeColor="accent1" w:themeShade="BF"/>
    </w:rPr>
  </w:style>
  <w:style w:type="character" w:styleId="IntenseReference">
    <w:name w:val="Intense Reference"/>
    <w:basedOn w:val="DefaultParagraphFont"/>
    <w:uiPriority w:val="32"/>
    <w:qFormat/>
    <w:rsid w:val="008938E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1508</Words>
  <Characters>8599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Azam (2515555)</dc:creator>
  <cp:keywords/>
  <dc:description/>
  <cp:lastModifiedBy>Saira Azam (2515555)</cp:lastModifiedBy>
  <cp:revision>2</cp:revision>
  <dcterms:created xsi:type="dcterms:W3CDTF">2026-03-22T23:11:00Z</dcterms:created>
  <dcterms:modified xsi:type="dcterms:W3CDTF">2026-03-22T23:11:00Z</dcterms:modified>
</cp:coreProperties>
</file>