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4D250" w14:textId="77777777" w:rsidR="00BA5C09" w:rsidRDefault="00BA5C09">
      <w:pPr>
        <w:spacing w:after="1800"/>
      </w:pPr>
    </w:p>
    <w:p w14:paraId="35550448" w14:textId="77777777" w:rsidR="00BA5C09" w:rsidRDefault="00BA5C09">
      <w:pPr>
        <w:spacing w:after="1800"/>
      </w:pPr>
    </w:p>
    <w:p w14:paraId="199200FF" w14:textId="77777777" w:rsidR="00BA5C09" w:rsidRDefault="00000000">
      <w:pPr>
        <w:spacing w:after="200"/>
        <w:jc w:val="center"/>
      </w:pPr>
      <w:r>
        <w:rPr>
          <w:b/>
          <w:bCs/>
          <w:color w:val="000000"/>
          <w:sz w:val="26"/>
          <w:szCs w:val="26"/>
        </w:rPr>
        <w:t>University of Wales Trinity Saint David</w:t>
      </w:r>
    </w:p>
    <w:p w14:paraId="113CEB04" w14:textId="77777777" w:rsidR="00BA5C09" w:rsidRDefault="00000000">
      <w:pPr>
        <w:spacing w:after="600"/>
        <w:jc w:val="center"/>
      </w:pPr>
      <w:r>
        <w:rPr>
          <w:i/>
          <w:iCs/>
          <w:color w:val="000000"/>
          <w:sz w:val="24"/>
          <w:szCs w:val="24"/>
        </w:rPr>
        <w:t>MSc Cybersecurity and Digital Forensics</w:t>
      </w:r>
    </w:p>
    <w:p w14:paraId="6910AAA7" w14:textId="77777777" w:rsidR="00BA5C09" w:rsidRDefault="00BA5C09">
      <w:pPr>
        <w:pBdr>
          <w:bottom w:val="single" w:sz="6" w:space="1" w:color="000000"/>
        </w:pBdr>
        <w:spacing w:after="300"/>
        <w:jc w:val="center"/>
      </w:pPr>
    </w:p>
    <w:p w14:paraId="3F6FBD55" w14:textId="77777777" w:rsidR="00BA5C09" w:rsidRDefault="00000000">
      <w:pPr>
        <w:spacing w:after="160"/>
        <w:jc w:val="center"/>
      </w:pPr>
      <w:r>
        <w:rPr>
          <w:b/>
          <w:bCs/>
          <w:color w:val="000000"/>
          <w:sz w:val="36"/>
          <w:szCs w:val="36"/>
        </w:rPr>
        <w:t>Data Security, Governance and Compliance:</w:t>
      </w:r>
    </w:p>
    <w:p w14:paraId="3CBF389A" w14:textId="77777777" w:rsidR="00BA5C09" w:rsidRDefault="00000000">
      <w:pPr>
        <w:spacing w:after="600"/>
        <w:jc w:val="center"/>
      </w:pPr>
      <w:r>
        <w:rPr>
          <w:b/>
          <w:bCs/>
          <w:color w:val="000000"/>
          <w:sz w:val="30"/>
          <w:szCs w:val="30"/>
        </w:rPr>
        <w:t xml:space="preserve">A Strategic Security Framework for </w:t>
      </w:r>
      <w:proofErr w:type="spellStart"/>
      <w:r>
        <w:rPr>
          <w:b/>
          <w:bCs/>
          <w:color w:val="000000"/>
          <w:sz w:val="30"/>
          <w:szCs w:val="30"/>
        </w:rPr>
        <w:t>FinSure</w:t>
      </w:r>
      <w:proofErr w:type="spellEnd"/>
      <w:r>
        <w:rPr>
          <w:b/>
          <w:bCs/>
          <w:color w:val="000000"/>
          <w:sz w:val="30"/>
          <w:szCs w:val="30"/>
        </w:rPr>
        <w:t xml:space="preserve"> Bank (FSB)</w:t>
      </w:r>
    </w:p>
    <w:p w14:paraId="0EEB33CE" w14:textId="77777777" w:rsidR="00BA5C09" w:rsidRDefault="00BA5C09">
      <w:pPr>
        <w:pBdr>
          <w:bottom w:val="single" w:sz="6" w:space="1" w:color="000000"/>
        </w:pBdr>
        <w:spacing w:after="300"/>
        <w:jc w:val="center"/>
      </w:pPr>
    </w:p>
    <w:p w14:paraId="702F20BA" w14:textId="77777777" w:rsidR="00BA5C09" w:rsidRDefault="00000000">
      <w:pPr>
        <w:spacing w:after="160"/>
        <w:jc w:val="center"/>
      </w:pPr>
      <w:r>
        <w:rPr>
          <w:b/>
          <w:bCs/>
          <w:color w:val="000000"/>
          <w:sz w:val="24"/>
          <w:szCs w:val="24"/>
        </w:rPr>
        <w:t xml:space="preserve">Student Name:  </w:t>
      </w:r>
      <w:proofErr w:type="spellStart"/>
      <w:r>
        <w:rPr>
          <w:b/>
          <w:bCs/>
          <w:color w:val="000000"/>
          <w:sz w:val="24"/>
          <w:szCs w:val="24"/>
        </w:rPr>
        <w:t>Latchiarajan</w:t>
      </w:r>
      <w:proofErr w:type="spellEnd"/>
      <w:r>
        <w:rPr>
          <w:b/>
          <w:bCs/>
          <w:color w:val="000000"/>
          <w:sz w:val="24"/>
          <w:szCs w:val="24"/>
        </w:rPr>
        <w:t xml:space="preserve"> </w:t>
      </w:r>
      <w:proofErr w:type="spellStart"/>
      <w:r>
        <w:rPr>
          <w:b/>
          <w:bCs/>
          <w:color w:val="000000"/>
          <w:sz w:val="24"/>
          <w:szCs w:val="24"/>
        </w:rPr>
        <w:t>Parthasarthy</w:t>
      </w:r>
      <w:proofErr w:type="spellEnd"/>
    </w:p>
    <w:p w14:paraId="5B0776EE" w14:textId="77777777" w:rsidR="00BA5C09" w:rsidRDefault="00000000">
      <w:pPr>
        <w:spacing w:after="160"/>
        <w:jc w:val="center"/>
      </w:pPr>
      <w:r>
        <w:rPr>
          <w:color w:val="000000"/>
          <w:sz w:val="24"/>
          <w:szCs w:val="24"/>
        </w:rPr>
        <w:t>Student ID:  2531979</w:t>
      </w:r>
    </w:p>
    <w:p w14:paraId="486A6FF0" w14:textId="77777777" w:rsidR="00BA5C09" w:rsidRDefault="00000000">
      <w:pPr>
        <w:spacing w:after="160"/>
        <w:jc w:val="center"/>
      </w:pPr>
      <w:r>
        <w:rPr>
          <w:color w:val="000000"/>
          <w:sz w:val="24"/>
          <w:szCs w:val="24"/>
        </w:rPr>
        <w:t>Module:  Data Security, Governance and Compliance</w:t>
      </w:r>
    </w:p>
    <w:p w14:paraId="36551E1C" w14:textId="77777777" w:rsidR="00BA5C09" w:rsidRDefault="00000000">
      <w:pPr>
        <w:spacing w:after="160"/>
        <w:jc w:val="center"/>
      </w:pPr>
      <w:r>
        <w:rPr>
          <w:color w:val="000000"/>
          <w:sz w:val="24"/>
          <w:szCs w:val="24"/>
        </w:rPr>
        <w:t>Module Code:  ACCA7028</w:t>
      </w:r>
    </w:p>
    <w:p w14:paraId="7A70DC6E" w14:textId="77777777" w:rsidR="00BA5C09" w:rsidRDefault="00000000">
      <w:pPr>
        <w:spacing w:after="160"/>
        <w:jc w:val="center"/>
      </w:pPr>
      <w:r>
        <w:rPr>
          <w:color w:val="000000"/>
          <w:sz w:val="24"/>
          <w:szCs w:val="24"/>
        </w:rPr>
        <w:t>Lecturer:  Dr Ayman Al Hajjar</w:t>
      </w:r>
    </w:p>
    <w:p w14:paraId="56C55402" w14:textId="77777777" w:rsidR="00BA5C09" w:rsidRDefault="00000000">
      <w:pPr>
        <w:spacing w:after="160"/>
        <w:jc w:val="center"/>
      </w:pPr>
      <w:r>
        <w:rPr>
          <w:color w:val="000000"/>
          <w:sz w:val="24"/>
          <w:szCs w:val="24"/>
        </w:rPr>
        <w:t>Submission Date:  29 April 2026</w:t>
      </w:r>
    </w:p>
    <w:p w14:paraId="6B34A7DE" w14:textId="77777777" w:rsidR="00BA5C09" w:rsidRDefault="00000000">
      <w:r>
        <w:br w:type="page"/>
      </w:r>
    </w:p>
    <w:p w14:paraId="5E18D300" w14:textId="77777777" w:rsidR="00BA5C09" w:rsidRDefault="00BA5C09">
      <w:pPr>
        <w:sectPr w:rsidR="00BA5C09">
          <w:footerReference w:type="default" r:id="rId7"/>
          <w:pgSz w:w="11906" w:h="16838"/>
          <w:pgMar w:top="1440" w:right="1440" w:bottom="1440" w:left="1440" w:header="708" w:footer="708" w:gutter="0"/>
          <w:cols w:space="720"/>
          <w:docGrid w:linePitch="360"/>
        </w:sectPr>
      </w:pPr>
    </w:p>
    <w:p w14:paraId="7963A1CE" w14:textId="77777777" w:rsidR="00BA5C09" w:rsidRDefault="00000000">
      <w:pPr>
        <w:spacing w:after="40"/>
        <w:jc w:val="center"/>
      </w:pPr>
      <w:r>
        <w:rPr>
          <w:i/>
          <w:iCs/>
          <w:color w:val="333333"/>
          <w:sz w:val="18"/>
          <w:szCs w:val="18"/>
        </w:rPr>
        <w:lastRenderedPageBreak/>
        <w:t>ACCA</w:t>
      </w:r>
      <w:proofErr w:type="gramStart"/>
      <w:r>
        <w:rPr>
          <w:i/>
          <w:iCs/>
          <w:color w:val="333333"/>
          <w:sz w:val="18"/>
          <w:szCs w:val="18"/>
        </w:rPr>
        <w:t>7028  |</w:t>
      </w:r>
      <w:proofErr w:type="gramEnd"/>
      <w:r>
        <w:rPr>
          <w:i/>
          <w:iCs/>
          <w:color w:val="333333"/>
          <w:sz w:val="18"/>
          <w:szCs w:val="18"/>
        </w:rPr>
        <w:t xml:space="preserve">  </w:t>
      </w:r>
      <w:proofErr w:type="spellStart"/>
      <w:r>
        <w:rPr>
          <w:i/>
          <w:iCs/>
          <w:color w:val="333333"/>
          <w:sz w:val="18"/>
          <w:szCs w:val="18"/>
        </w:rPr>
        <w:t>Latchiarajan</w:t>
      </w:r>
      <w:proofErr w:type="spellEnd"/>
      <w:r>
        <w:rPr>
          <w:i/>
          <w:iCs/>
          <w:color w:val="333333"/>
          <w:sz w:val="18"/>
          <w:szCs w:val="18"/>
        </w:rPr>
        <w:t xml:space="preserve"> </w:t>
      </w:r>
      <w:proofErr w:type="spellStart"/>
      <w:proofErr w:type="gramStart"/>
      <w:r>
        <w:rPr>
          <w:i/>
          <w:iCs/>
          <w:color w:val="333333"/>
          <w:sz w:val="18"/>
          <w:szCs w:val="18"/>
        </w:rPr>
        <w:t>Parthasarthy</w:t>
      </w:r>
      <w:proofErr w:type="spellEnd"/>
      <w:r>
        <w:rPr>
          <w:i/>
          <w:iCs/>
          <w:color w:val="333333"/>
          <w:sz w:val="18"/>
          <w:szCs w:val="18"/>
        </w:rPr>
        <w:t xml:space="preserve">  |</w:t>
      </w:r>
      <w:proofErr w:type="gramEnd"/>
      <w:r>
        <w:rPr>
          <w:i/>
          <w:iCs/>
          <w:color w:val="333333"/>
          <w:sz w:val="18"/>
          <w:szCs w:val="18"/>
        </w:rPr>
        <w:t xml:space="preserve">  2531979</w:t>
      </w:r>
    </w:p>
    <w:p w14:paraId="7E4350DF" w14:textId="77777777" w:rsidR="00BA5C09" w:rsidRDefault="00BA5C09">
      <w:pPr>
        <w:pBdr>
          <w:bottom w:val="single" w:sz="4" w:space="1" w:color="000000"/>
        </w:pBdr>
        <w:spacing w:after="200"/>
      </w:pPr>
    </w:p>
    <w:p w14:paraId="778270B9" w14:textId="77777777" w:rsidR="00BA5C09" w:rsidRDefault="00000000">
      <w:pPr>
        <w:spacing w:before="100" w:after="120" w:line="360" w:lineRule="auto"/>
        <w:jc w:val="center"/>
      </w:pPr>
      <w:r>
        <w:rPr>
          <w:b/>
          <w:bCs/>
          <w:color w:val="000000"/>
          <w:sz w:val="24"/>
          <w:szCs w:val="24"/>
        </w:rPr>
        <w:t>Abstract</w:t>
      </w:r>
    </w:p>
    <w:p w14:paraId="622B50D5" w14:textId="77777777" w:rsidR="00BA5C09" w:rsidRDefault="00000000">
      <w:pPr>
        <w:spacing w:after="160" w:line="360" w:lineRule="auto"/>
        <w:jc w:val="both"/>
      </w:pPr>
      <w:proofErr w:type="spellStart"/>
      <w:r>
        <w:rPr>
          <w:color w:val="000000"/>
          <w:sz w:val="24"/>
          <w:szCs w:val="24"/>
        </w:rPr>
        <w:t>FinSure</w:t>
      </w:r>
      <w:proofErr w:type="spellEnd"/>
      <w:r>
        <w:rPr>
          <w:color w:val="000000"/>
          <w:sz w:val="24"/>
          <w:szCs w:val="24"/>
        </w:rPr>
        <w:t xml:space="preserve"> Bank (FSB) is a digitally-led, fast-growing financial </w:t>
      </w:r>
      <w:proofErr w:type="spellStart"/>
      <w:r>
        <w:rPr>
          <w:color w:val="000000"/>
          <w:sz w:val="24"/>
          <w:szCs w:val="24"/>
        </w:rPr>
        <w:t>organisation</w:t>
      </w:r>
      <w:proofErr w:type="spellEnd"/>
      <w:r>
        <w:rPr>
          <w:color w:val="000000"/>
          <w:sz w:val="24"/>
          <w:szCs w:val="24"/>
        </w:rPr>
        <w:t xml:space="preserve">. Its infrastructure is hosted over 90% on the cloud, but at the time of writing, it lacks security governance, structured risk management, and regulatory compliance tracking mechanisms. This paper assesses seven dominant cybersecurity frameworks — ISO/IEC 27001:2022 (ISO, 2022), NIST CSF 2.0 (NIST, 2024), COBIT 2019 (ISACA, 2019), ITIL 4 (AXELOS, 2019), Zero Trust Architecture (Rose et al., 2020), CIS Controls v8 (CIS, 2021) and SABSA (Sherwood et al., 2005) — using primary standards documentation, peer-reviewed journal articles, and contemporary academic research. A tailored three-layer hybrid governance system is devised and applied to FSB's operational environment, addressing governance, identity management, cloud security, data privacy, insider threat, incident response, service level agreements, and contingency planning. ISO/IEC 27001:2022 is recommended as FSB's governance baseline (ISO, 2022), NIST CSF 2.0 will underpin FSB's continuous risk management </w:t>
      </w:r>
      <w:proofErr w:type="spellStart"/>
      <w:r>
        <w:rPr>
          <w:color w:val="000000"/>
          <w:sz w:val="24"/>
          <w:szCs w:val="24"/>
        </w:rPr>
        <w:t>programme</w:t>
      </w:r>
      <w:proofErr w:type="spellEnd"/>
      <w:r>
        <w:rPr>
          <w:color w:val="000000"/>
          <w:sz w:val="24"/>
          <w:szCs w:val="24"/>
        </w:rPr>
        <w:t xml:space="preserve"> (NIST, 2024), and ZTA is selected as the technical security foundation (Rose et al., 2020).</w:t>
      </w:r>
    </w:p>
    <w:p w14:paraId="32C8DD50" w14:textId="77777777" w:rsidR="00BA5C09" w:rsidRDefault="00000000">
      <w:pPr>
        <w:spacing w:after="200" w:line="360" w:lineRule="auto"/>
        <w:jc w:val="both"/>
      </w:pPr>
      <w:r>
        <w:rPr>
          <w:i/>
          <w:iCs/>
          <w:color w:val="000000"/>
          <w:sz w:val="22"/>
          <w:szCs w:val="22"/>
        </w:rPr>
        <w:t>Keywords — ISO/IEC 27001:2022; NIST CSF 2.0; Zero Trust Architecture; GDPR; DORA; BYOD; Financial Security Governance; COBIT 2019</w:t>
      </w:r>
    </w:p>
    <w:p w14:paraId="5EDF090C" w14:textId="77777777" w:rsidR="00BA5C09" w:rsidRDefault="00BA5C09">
      <w:pPr>
        <w:pBdr>
          <w:bottom w:val="single" w:sz="3" w:space="1" w:color="888888"/>
        </w:pBdr>
        <w:spacing w:after="200"/>
      </w:pPr>
    </w:p>
    <w:p w14:paraId="2D6AFA09" w14:textId="77777777" w:rsidR="00BA5C09" w:rsidRDefault="00000000">
      <w:pPr>
        <w:spacing w:before="280" w:after="120" w:line="360" w:lineRule="auto"/>
      </w:pPr>
      <w:r>
        <w:rPr>
          <w:b/>
          <w:bCs/>
          <w:color w:val="000000"/>
          <w:sz w:val="28"/>
          <w:szCs w:val="28"/>
        </w:rPr>
        <w:t>1. Introduction</w:t>
      </w:r>
    </w:p>
    <w:p w14:paraId="7C06FB97" w14:textId="77777777" w:rsidR="00BA5C09" w:rsidRDefault="00000000">
      <w:pPr>
        <w:spacing w:after="160" w:line="360" w:lineRule="auto"/>
        <w:jc w:val="both"/>
      </w:pPr>
      <w:r>
        <w:rPr>
          <w:color w:val="000000"/>
          <w:sz w:val="24"/>
          <w:szCs w:val="24"/>
        </w:rPr>
        <w:t>The financial services industry's digital transformation has hastened the move from perimeter security toward a more distributed, cloud-native approach. The resulting increase in the attack surface, coupled with increasing complexity in security vulnerabilities, means that existing models are ill-equipped to tackle modern threats (WEF, 2025), with security governance now understood as a 'key element of enterprise risk management and corporate strategy' rather than a tangential IT function (</w:t>
      </w:r>
      <w:proofErr w:type="spellStart"/>
      <w:r>
        <w:rPr>
          <w:color w:val="000000"/>
          <w:sz w:val="24"/>
          <w:szCs w:val="24"/>
        </w:rPr>
        <w:t>Ramavarapu</w:t>
      </w:r>
      <w:proofErr w:type="spellEnd"/>
      <w:r>
        <w:rPr>
          <w:color w:val="000000"/>
          <w:sz w:val="24"/>
          <w:szCs w:val="24"/>
        </w:rPr>
        <w:t>, 2023).</w:t>
      </w:r>
    </w:p>
    <w:p w14:paraId="32EEC545" w14:textId="77777777" w:rsidR="00BA5C09" w:rsidRDefault="00000000">
      <w:pPr>
        <w:spacing w:after="160" w:line="360" w:lineRule="auto"/>
        <w:jc w:val="both"/>
      </w:pPr>
      <w:r>
        <w:rPr>
          <w:color w:val="000000"/>
          <w:sz w:val="24"/>
          <w:szCs w:val="24"/>
        </w:rPr>
        <w:t xml:space="preserve">The dichotomy of aggressive digital advancement alongside lagging security maturity is most clearly seen at FSB. Although processing highly sensitive financial and personally identifiable information (PII) across numerous countries, FSB currently lacks formal security policies, governance structures, risk management processes or ongoing compliance controls — deficiencies which severely undermine the confidentiality, integrity and availability (CIA) of its data (ISO, 2022) and, by extension, its operational, financial and reputational risk profile. </w:t>
      </w:r>
      <w:r>
        <w:rPr>
          <w:color w:val="000000"/>
          <w:sz w:val="24"/>
          <w:szCs w:val="24"/>
        </w:rPr>
        <w:lastRenderedPageBreak/>
        <w:t>The absence of strict security controls around an unregulated BYOD environment creates direct vectors for data exfiltration, identity theft and financial fraud, while insiders represent one of the costliest and hardest-to-detect threats in financial services (Huy et al., 2025). Non-governed cloud infrastructure presents a further complex range of security threats and compliance risks under both GDPR and DORA (</w:t>
      </w:r>
      <w:proofErr w:type="spellStart"/>
      <w:r>
        <w:rPr>
          <w:color w:val="000000"/>
          <w:sz w:val="24"/>
          <w:szCs w:val="24"/>
        </w:rPr>
        <w:t>Ramavarapu</w:t>
      </w:r>
      <w:proofErr w:type="spellEnd"/>
      <w:r>
        <w:rPr>
          <w:color w:val="000000"/>
          <w:sz w:val="24"/>
          <w:szCs w:val="24"/>
        </w:rPr>
        <w:t xml:space="preserve">, 2023). In response, FSB requires a business-focused, integrated, and </w:t>
      </w:r>
      <w:proofErr w:type="spellStart"/>
      <w:r>
        <w:rPr>
          <w:color w:val="000000"/>
          <w:sz w:val="24"/>
          <w:szCs w:val="24"/>
        </w:rPr>
        <w:t>co-ordinated</w:t>
      </w:r>
      <w:proofErr w:type="spellEnd"/>
      <w:r>
        <w:rPr>
          <w:color w:val="000000"/>
          <w:sz w:val="24"/>
          <w:szCs w:val="24"/>
        </w:rPr>
        <w:t xml:space="preserve"> security governance model with proactive regulatory compliance, risk management and security operations embedded from the outset.</w:t>
      </w:r>
    </w:p>
    <w:p w14:paraId="0D12B3D3" w14:textId="77777777" w:rsidR="00BA5C09" w:rsidRDefault="00000000">
      <w:pPr>
        <w:spacing w:before="280" w:after="120" w:line="360" w:lineRule="auto"/>
      </w:pPr>
      <w:r>
        <w:rPr>
          <w:b/>
          <w:bCs/>
          <w:color w:val="000000"/>
          <w:sz w:val="28"/>
          <w:szCs w:val="28"/>
        </w:rPr>
        <w:t>2. Security Frameworks: Critical Literature Review</w:t>
      </w:r>
    </w:p>
    <w:p w14:paraId="21894B45" w14:textId="77777777" w:rsidR="00BA5C09" w:rsidRDefault="00000000">
      <w:pPr>
        <w:spacing w:before="200" w:after="100" w:line="360" w:lineRule="auto"/>
      </w:pPr>
      <w:proofErr w:type="gramStart"/>
      <w:r>
        <w:rPr>
          <w:b/>
          <w:bCs/>
          <w:color w:val="000000"/>
          <w:sz w:val="24"/>
          <w:szCs w:val="24"/>
        </w:rPr>
        <w:t>2.1  ISO</w:t>
      </w:r>
      <w:proofErr w:type="gramEnd"/>
      <w:r>
        <w:rPr>
          <w:b/>
          <w:bCs/>
          <w:color w:val="000000"/>
          <w:sz w:val="24"/>
          <w:szCs w:val="24"/>
        </w:rPr>
        <w:t>/IEC 27001:2022</w:t>
      </w:r>
    </w:p>
    <w:p w14:paraId="2B195096" w14:textId="77777777" w:rsidR="00BA5C09" w:rsidRDefault="00000000">
      <w:pPr>
        <w:spacing w:after="160" w:line="360" w:lineRule="auto"/>
        <w:jc w:val="both"/>
      </w:pPr>
      <w:r>
        <w:rPr>
          <w:color w:val="000000"/>
          <w:sz w:val="24"/>
          <w:szCs w:val="24"/>
        </w:rPr>
        <w:t xml:space="preserve">The standard internationally </w:t>
      </w:r>
      <w:proofErr w:type="spellStart"/>
      <w:r>
        <w:rPr>
          <w:color w:val="000000"/>
          <w:sz w:val="24"/>
          <w:szCs w:val="24"/>
        </w:rPr>
        <w:t>recognised</w:t>
      </w:r>
      <w:proofErr w:type="spellEnd"/>
      <w:r>
        <w:rPr>
          <w:color w:val="000000"/>
          <w:sz w:val="24"/>
          <w:szCs w:val="24"/>
        </w:rPr>
        <w:t xml:space="preserve"> for the implementation, operation, maintenance, and continual improvement of an Information Security Management System (ISMS) is ISO/IEC 27001:2022 (ISO, 2022). The standard requires executive involvement throughout the business in a top-down approach, ensuring security goals are aligned with business objectives. The risk management process is comprehensive, requiring </w:t>
      </w:r>
      <w:proofErr w:type="spellStart"/>
      <w:r>
        <w:rPr>
          <w:color w:val="000000"/>
          <w:sz w:val="24"/>
          <w:szCs w:val="24"/>
        </w:rPr>
        <w:t>organisations</w:t>
      </w:r>
      <w:proofErr w:type="spellEnd"/>
      <w:r>
        <w:rPr>
          <w:color w:val="000000"/>
          <w:sz w:val="24"/>
          <w:szCs w:val="24"/>
        </w:rPr>
        <w:t xml:space="preserve"> to identify assets and risks, and implement proportional controls via the Annex A control set. While highly effective for regulatory alignment and certifiable compliance, a significant limitation is that the standard prescribes what must be implemented, not how to configure specific cloud or BYOD architectures (Nsuka, 2025). Nevertheless, ISO 27001 certification remains the most credible signal of governance maturity for financial institutions.</w:t>
      </w:r>
    </w:p>
    <w:p w14:paraId="05355F04" w14:textId="77777777" w:rsidR="00BA5C09" w:rsidRDefault="00000000">
      <w:pPr>
        <w:spacing w:before="200" w:after="100" w:line="360" w:lineRule="auto"/>
      </w:pPr>
      <w:proofErr w:type="gramStart"/>
      <w:r>
        <w:rPr>
          <w:b/>
          <w:bCs/>
          <w:color w:val="000000"/>
          <w:sz w:val="24"/>
          <w:szCs w:val="24"/>
        </w:rPr>
        <w:t>2.2  NIST</w:t>
      </w:r>
      <w:proofErr w:type="gramEnd"/>
      <w:r>
        <w:rPr>
          <w:b/>
          <w:bCs/>
          <w:color w:val="000000"/>
          <w:sz w:val="24"/>
          <w:szCs w:val="24"/>
        </w:rPr>
        <w:t xml:space="preserve"> Cybersecurity Framework (CSF) 2.0</w:t>
      </w:r>
    </w:p>
    <w:p w14:paraId="6B8ACBBB" w14:textId="77777777" w:rsidR="00BA5C09" w:rsidRDefault="00000000">
      <w:pPr>
        <w:spacing w:after="160" w:line="360" w:lineRule="auto"/>
        <w:jc w:val="both"/>
      </w:pPr>
      <w:r>
        <w:rPr>
          <w:color w:val="000000"/>
          <w:sz w:val="24"/>
          <w:szCs w:val="24"/>
        </w:rPr>
        <w:t xml:space="preserve">Released in February 2024, the NIST CSF 2.0 offers a flexible, outcomes-oriented taxonomy </w:t>
      </w:r>
      <w:proofErr w:type="spellStart"/>
      <w:r>
        <w:rPr>
          <w:color w:val="000000"/>
          <w:sz w:val="24"/>
          <w:szCs w:val="24"/>
        </w:rPr>
        <w:t>organised</w:t>
      </w:r>
      <w:proofErr w:type="spellEnd"/>
      <w:r>
        <w:rPr>
          <w:color w:val="000000"/>
          <w:sz w:val="24"/>
          <w:szCs w:val="24"/>
        </w:rPr>
        <w:t xml:space="preserve"> under six key functions: Govern, Identify, Protect, Detect, Respond and Recover (NIST, 2024). The addition of the Govern function directly links cybersecurity risk management to enterprise governance, addressing the governance shortfall at FSB by making technically complex risks comprehensible to board-level leadership (NIST, 2024). The CSF is particularly relevant to cloud-based </w:t>
      </w:r>
      <w:proofErr w:type="spellStart"/>
      <w:r>
        <w:rPr>
          <w:color w:val="000000"/>
          <w:sz w:val="24"/>
          <w:szCs w:val="24"/>
        </w:rPr>
        <w:t>organisations</w:t>
      </w:r>
      <w:proofErr w:type="spellEnd"/>
      <w:r>
        <w:rPr>
          <w:color w:val="000000"/>
          <w:sz w:val="24"/>
          <w:szCs w:val="24"/>
        </w:rPr>
        <w:t xml:space="preserve"> such as FSB, given its flexible and continuous lifecycle model (</w:t>
      </w:r>
      <w:proofErr w:type="spellStart"/>
      <w:r>
        <w:rPr>
          <w:color w:val="000000"/>
          <w:sz w:val="24"/>
          <w:szCs w:val="24"/>
        </w:rPr>
        <w:t>Ramavarapu</w:t>
      </w:r>
      <w:proofErr w:type="spellEnd"/>
      <w:r>
        <w:rPr>
          <w:color w:val="000000"/>
          <w:sz w:val="24"/>
          <w:szCs w:val="24"/>
        </w:rPr>
        <w:t>, 2023).</w:t>
      </w:r>
    </w:p>
    <w:p w14:paraId="46B6B660" w14:textId="77777777" w:rsidR="00BA5C09" w:rsidRDefault="00000000">
      <w:pPr>
        <w:spacing w:before="200" w:after="100" w:line="360" w:lineRule="auto"/>
      </w:pPr>
      <w:proofErr w:type="gramStart"/>
      <w:r>
        <w:rPr>
          <w:b/>
          <w:bCs/>
          <w:color w:val="000000"/>
          <w:sz w:val="24"/>
          <w:szCs w:val="24"/>
        </w:rPr>
        <w:t>2.3  COBIT</w:t>
      </w:r>
      <w:proofErr w:type="gramEnd"/>
      <w:r>
        <w:rPr>
          <w:b/>
          <w:bCs/>
          <w:color w:val="000000"/>
          <w:sz w:val="24"/>
          <w:szCs w:val="24"/>
        </w:rPr>
        <w:t xml:space="preserve"> 2019, ITIL 4, Zero Trust, CIS Controls v8, and SABSA</w:t>
      </w:r>
    </w:p>
    <w:p w14:paraId="6A7F5B03" w14:textId="77777777" w:rsidR="00BA5C09" w:rsidRDefault="00000000">
      <w:pPr>
        <w:spacing w:after="160" w:line="360" w:lineRule="auto"/>
        <w:jc w:val="both"/>
      </w:pPr>
      <w:r>
        <w:rPr>
          <w:color w:val="000000"/>
          <w:sz w:val="24"/>
          <w:szCs w:val="24"/>
        </w:rPr>
        <w:t xml:space="preserve">COBIT 2019 brings structured governance to IT, mapping from business risks through control objectives to technical implementation across forty individual process objectives (ISACA, 2018). ITIL 4 integrates security management into IT service delivery and provides two clearly </w:t>
      </w:r>
      <w:r>
        <w:rPr>
          <w:color w:val="000000"/>
          <w:sz w:val="24"/>
          <w:szCs w:val="24"/>
        </w:rPr>
        <w:lastRenderedPageBreak/>
        <w:t xml:space="preserve">documented processes for incident management and change enablement (White and McLaughlin, 2023). Zero Trust Architecture, described in NIST SP 800-207, is founded upon 'never trust, always verify' — with continuous authentication, micro-segmentation and least-privilege enforced at each stage — fundamental to a BYOD-dependent, cloud-native financial institution (Rose et al., 2020). CIS Critical Security Controls v8 provide prescriptive implementation guidance in the form of eighteen </w:t>
      </w:r>
      <w:proofErr w:type="spellStart"/>
      <w:r>
        <w:rPr>
          <w:color w:val="000000"/>
          <w:sz w:val="24"/>
          <w:szCs w:val="24"/>
        </w:rPr>
        <w:t>prioritised</w:t>
      </w:r>
      <w:proofErr w:type="spellEnd"/>
      <w:r>
        <w:rPr>
          <w:color w:val="000000"/>
          <w:sz w:val="24"/>
          <w:szCs w:val="24"/>
        </w:rPr>
        <w:t xml:space="preserve"> controls structured into three Implementation Groups (IG1–IG3), presenting an immediate actionable baseline for FSB (CIS, 2021). SABSA provides a risk-driven architecture methodology which ensures each security control is traceable to a business objective (Sherwood et al., 2005).</w:t>
      </w:r>
    </w:p>
    <w:p w14:paraId="32D36FA3" w14:textId="77777777" w:rsidR="00BA5C09" w:rsidRDefault="00000000">
      <w:pPr>
        <w:spacing w:before="120" w:after="80" w:line="360" w:lineRule="auto"/>
        <w:jc w:val="center"/>
      </w:pPr>
      <w:r>
        <w:rPr>
          <w:b/>
          <w:bCs/>
          <w:color w:val="000000"/>
          <w:sz w:val="22"/>
          <w:szCs w:val="22"/>
        </w:rPr>
        <w:t>Table 1 — Comparative Framework Analysis</w:t>
      </w:r>
    </w:p>
    <w:tbl>
      <w:tblPr>
        <w:tblW w:w="92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1700"/>
        <w:gridCol w:w="1900"/>
        <w:gridCol w:w="1900"/>
        <w:gridCol w:w="1960"/>
      </w:tblGrid>
      <w:tr w:rsidR="00BA5C09" w14:paraId="3A1FCB1C"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1F3864"/>
            <w:tcMar>
              <w:top w:w="80" w:type="dxa"/>
              <w:left w:w="120" w:type="dxa"/>
              <w:bottom w:w="80" w:type="dxa"/>
              <w:right w:w="120" w:type="dxa"/>
            </w:tcMar>
            <w:vAlign w:val="center"/>
          </w:tcPr>
          <w:p w14:paraId="746E891E" w14:textId="77777777" w:rsidR="00BA5C09" w:rsidRDefault="00000000">
            <w:pPr>
              <w:spacing w:line="260" w:lineRule="auto"/>
            </w:pPr>
            <w:r>
              <w:rPr>
                <w:b/>
                <w:bCs/>
                <w:color w:val="FFFFFF"/>
                <w:sz w:val="18"/>
                <w:szCs w:val="18"/>
              </w:rPr>
              <w:t>Framework</w:t>
            </w:r>
          </w:p>
        </w:tc>
        <w:tc>
          <w:tcPr>
            <w:tcW w:w="1700" w:type="dxa"/>
            <w:tcBorders>
              <w:top w:val="single" w:sz="1" w:space="0" w:color="888888"/>
              <w:left w:val="single" w:sz="1" w:space="0" w:color="888888"/>
              <w:bottom w:val="single" w:sz="1" w:space="0" w:color="888888"/>
              <w:right w:val="single" w:sz="1" w:space="0" w:color="888888"/>
            </w:tcBorders>
            <w:shd w:val="clear" w:color="auto" w:fill="1F3864"/>
            <w:tcMar>
              <w:top w:w="80" w:type="dxa"/>
              <w:left w:w="120" w:type="dxa"/>
              <w:bottom w:w="80" w:type="dxa"/>
              <w:right w:w="120" w:type="dxa"/>
            </w:tcMar>
            <w:vAlign w:val="center"/>
          </w:tcPr>
          <w:p w14:paraId="4F8F39FC" w14:textId="77777777" w:rsidR="00BA5C09" w:rsidRDefault="00000000">
            <w:pPr>
              <w:spacing w:line="260" w:lineRule="auto"/>
            </w:pPr>
            <w:r>
              <w:rPr>
                <w:b/>
                <w:bCs/>
                <w:color w:val="FFFFFF"/>
                <w:sz w:val="18"/>
                <w:szCs w:val="18"/>
              </w:rPr>
              <w:t>Governance</w:t>
            </w:r>
          </w:p>
        </w:tc>
        <w:tc>
          <w:tcPr>
            <w:tcW w:w="1900" w:type="dxa"/>
            <w:tcBorders>
              <w:top w:val="single" w:sz="1" w:space="0" w:color="888888"/>
              <w:left w:val="single" w:sz="1" w:space="0" w:color="888888"/>
              <w:bottom w:val="single" w:sz="1" w:space="0" w:color="888888"/>
              <w:right w:val="single" w:sz="1" w:space="0" w:color="888888"/>
            </w:tcBorders>
            <w:shd w:val="clear" w:color="auto" w:fill="1F3864"/>
            <w:tcMar>
              <w:top w:w="80" w:type="dxa"/>
              <w:left w:w="120" w:type="dxa"/>
              <w:bottom w:w="80" w:type="dxa"/>
              <w:right w:w="120" w:type="dxa"/>
            </w:tcMar>
            <w:vAlign w:val="center"/>
          </w:tcPr>
          <w:p w14:paraId="44B05C94" w14:textId="77777777" w:rsidR="00BA5C09" w:rsidRDefault="00000000">
            <w:pPr>
              <w:spacing w:line="260" w:lineRule="auto"/>
            </w:pPr>
            <w:r>
              <w:rPr>
                <w:b/>
                <w:bCs/>
                <w:color w:val="FFFFFF"/>
                <w:sz w:val="18"/>
                <w:szCs w:val="18"/>
              </w:rPr>
              <w:t>Risk Management</w:t>
            </w:r>
          </w:p>
        </w:tc>
        <w:tc>
          <w:tcPr>
            <w:tcW w:w="1900" w:type="dxa"/>
            <w:tcBorders>
              <w:top w:val="single" w:sz="1" w:space="0" w:color="888888"/>
              <w:left w:val="single" w:sz="1" w:space="0" w:color="888888"/>
              <w:bottom w:val="single" w:sz="1" w:space="0" w:color="888888"/>
              <w:right w:val="single" w:sz="1" w:space="0" w:color="888888"/>
            </w:tcBorders>
            <w:shd w:val="clear" w:color="auto" w:fill="1F3864"/>
            <w:tcMar>
              <w:top w:w="80" w:type="dxa"/>
              <w:left w:w="120" w:type="dxa"/>
              <w:bottom w:w="80" w:type="dxa"/>
              <w:right w:w="120" w:type="dxa"/>
            </w:tcMar>
            <w:vAlign w:val="center"/>
          </w:tcPr>
          <w:p w14:paraId="3CDC600D" w14:textId="77777777" w:rsidR="00BA5C09" w:rsidRDefault="00000000">
            <w:pPr>
              <w:spacing w:line="260" w:lineRule="auto"/>
            </w:pPr>
            <w:r>
              <w:rPr>
                <w:b/>
                <w:bCs/>
                <w:color w:val="FFFFFF"/>
                <w:sz w:val="18"/>
                <w:szCs w:val="18"/>
              </w:rPr>
              <w:t>Compliance Utility</w:t>
            </w:r>
          </w:p>
        </w:tc>
        <w:tc>
          <w:tcPr>
            <w:tcW w:w="1960" w:type="dxa"/>
            <w:tcBorders>
              <w:top w:val="single" w:sz="1" w:space="0" w:color="888888"/>
              <w:left w:val="single" w:sz="1" w:space="0" w:color="888888"/>
              <w:bottom w:val="single" w:sz="1" w:space="0" w:color="888888"/>
              <w:right w:val="single" w:sz="1" w:space="0" w:color="888888"/>
            </w:tcBorders>
            <w:shd w:val="clear" w:color="auto" w:fill="1F3864"/>
            <w:tcMar>
              <w:top w:w="80" w:type="dxa"/>
              <w:left w:w="120" w:type="dxa"/>
              <w:bottom w:w="80" w:type="dxa"/>
              <w:right w:w="120" w:type="dxa"/>
            </w:tcMar>
            <w:vAlign w:val="center"/>
          </w:tcPr>
          <w:p w14:paraId="6D5D94BB" w14:textId="77777777" w:rsidR="00BA5C09" w:rsidRDefault="00000000">
            <w:pPr>
              <w:spacing w:line="260" w:lineRule="auto"/>
            </w:pPr>
            <w:r>
              <w:rPr>
                <w:b/>
                <w:bCs/>
                <w:color w:val="FFFFFF"/>
                <w:sz w:val="18"/>
                <w:szCs w:val="18"/>
              </w:rPr>
              <w:t>FSB Applicability</w:t>
            </w:r>
          </w:p>
        </w:tc>
      </w:tr>
      <w:tr w:rsidR="00BA5C09" w14:paraId="5BFF9813"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70BFD0B4" w14:textId="77777777" w:rsidR="00BA5C09" w:rsidRDefault="00000000">
            <w:pPr>
              <w:spacing w:line="260" w:lineRule="auto"/>
            </w:pPr>
            <w:r>
              <w:rPr>
                <w:color w:val="000000"/>
                <w:sz w:val="17"/>
                <w:szCs w:val="17"/>
              </w:rPr>
              <w:t>ISO/IEC 27001:2022</w:t>
            </w:r>
          </w:p>
        </w:tc>
        <w:tc>
          <w:tcPr>
            <w:tcW w:w="17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09B679F0" w14:textId="77777777" w:rsidR="00BA5C09" w:rsidRDefault="00000000">
            <w:pPr>
              <w:spacing w:line="260" w:lineRule="auto"/>
            </w:pPr>
            <w:r>
              <w:rPr>
                <w:color w:val="000000"/>
                <w:sz w:val="17"/>
                <w:szCs w:val="17"/>
              </w:rPr>
              <w:t>Very High — Board ISMS mandate</w:t>
            </w:r>
          </w:p>
        </w:tc>
        <w:tc>
          <w:tcPr>
            <w:tcW w:w="19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38709912" w14:textId="77777777" w:rsidR="00BA5C09" w:rsidRDefault="00000000">
            <w:pPr>
              <w:spacing w:line="260" w:lineRule="auto"/>
            </w:pPr>
            <w:r>
              <w:rPr>
                <w:color w:val="000000"/>
                <w:sz w:val="17"/>
                <w:szCs w:val="17"/>
              </w:rPr>
              <w:t>Top-down; CIA triad alignment</w:t>
            </w:r>
          </w:p>
        </w:tc>
        <w:tc>
          <w:tcPr>
            <w:tcW w:w="19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52AD19CF" w14:textId="77777777" w:rsidR="00BA5C09" w:rsidRDefault="00000000">
            <w:pPr>
              <w:spacing w:line="260" w:lineRule="auto"/>
            </w:pPr>
            <w:r>
              <w:rPr>
                <w:color w:val="000000"/>
                <w:sz w:val="17"/>
                <w:szCs w:val="17"/>
              </w:rPr>
              <w:t>GDPR &amp; audit readiness</w:t>
            </w:r>
          </w:p>
        </w:tc>
        <w:tc>
          <w:tcPr>
            <w:tcW w:w="19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55C404F9" w14:textId="77777777" w:rsidR="00BA5C09" w:rsidRDefault="00000000">
            <w:pPr>
              <w:spacing w:line="260" w:lineRule="auto"/>
            </w:pPr>
            <w:r>
              <w:rPr>
                <w:color w:val="000000"/>
                <w:sz w:val="17"/>
                <w:szCs w:val="17"/>
              </w:rPr>
              <w:t>Core governance foundation</w:t>
            </w:r>
          </w:p>
        </w:tc>
      </w:tr>
      <w:tr w:rsidR="00BA5C09" w14:paraId="44C19154"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777A0603" w14:textId="77777777" w:rsidR="00BA5C09" w:rsidRDefault="00000000">
            <w:pPr>
              <w:spacing w:line="260" w:lineRule="auto"/>
            </w:pPr>
            <w:r>
              <w:rPr>
                <w:color w:val="000000"/>
                <w:sz w:val="17"/>
                <w:szCs w:val="17"/>
              </w:rPr>
              <w:t>NIST CSF 2.0</w:t>
            </w:r>
          </w:p>
        </w:tc>
        <w:tc>
          <w:tcPr>
            <w:tcW w:w="17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1F459D9F" w14:textId="77777777" w:rsidR="00BA5C09" w:rsidRDefault="00000000">
            <w:pPr>
              <w:spacing w:line="260" w:lineRule="auto"/>
            </w:pPr>
            <w:r>
              <w:rPr>
                <w:color w:val="000000"/>
                <w:sz w:val="17"/>
                <w:szCs w:val="17"/>
              </w:rPr>
              <w:t>High — Govern function</w:t>
            </w:r>
          </w:p>
        </w:tc>
        <w:tc>
          <w:tcPr>
            <w:tcW w:w="19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4CBCB268" w14:textId="77777777" w:rsidR="00BA5C09" w:rsidRDefault="00000000">
            <w:pPr>
              <w:spacing w:line="260" w:lineRule="auto"/>
            </w:pPr>
            <w:r>
              <w:rPr>
                <w:color w:val="000000"/>
                <w:sz w:val="17"/>
                <w:szCs w:val="17"/>
              </w:rPr>
              <w:t>Continuous: Govern to Recover</w:t>
            </w:r>
          </w:p>
        </w:tc>
        <w:tc>
          <w:tcPr>
            <w:tcW w:w="19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7E150ADB" w14:textId="77777777" w:rsidR="00BA5C09" w:rsidRDefault="00000000">
            <w:pPr>
              <w:spacing w:line="260" w:lineRule="auto"/>
            </w:pPr>
            <w:r>
              <w:rPr>
                <w:color w:val="000000"/>
                <w:sz w:val="17"/>
                <w:szCs w:val="17"/>
              </w:rPr>
              <w:t>Flexible, multi-jurisdiction</w:t>
            </w:r>
          </w:p>
        </w:tc>
        <w:tc>
          <w:tcPr>
            <w:tcW w:w="19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084E73EA" w14:textId="77777777" w:rsidR="00BA5C09" w:rsidRDefault="00000000">
            <w:pPr>
              <w:spacing w:line="260" w:lineRule="auto"/>
            </w:pPr>
            <w:r>
              <w:rPr>
                <w:color w:val="000000"/>
                <w:sz w:val="17"/>
                <w:szCs w:val="17"/>
              </w:rPr>
              <w:t>Primary risk lifecycle layer</w:t>
            </w:r>
          </w:p>
        </w:tc>
      </w:tr>
      <w:tr w:rsidR="00BA5C09" w14:paraId="6BCCF366"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50F11BA1" w14:textId="77777777" w:rsidR="00BA5C09" w:rsidRDefault="00000000">
            <w:pPr>
              <w:spacing w:line="260" w:lineRule="auto"/>
            </w:pPr>
            <w:r>
              <w:rPr>
                <w:color w:val="000000"/>
                <w:sz w:val="17"/>
                <w:szCs w:val="17"/>
              </w:rPr>
              <w:t>COBIT 2019</w:t>
            </w:r>
          </w:p>
        </w:tc>
        <w:tc>
          <w:tcPr>
            <w:tcW w:w="17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4CBDE0B4" w14:textId="77777777" w:rsidR="00BA5C09" w:rsidRDefault="00000000">
            <w:pPr>
              <w:spacing w:line="260" w:lineRule="auto"/>
            </w:pPr>
            <w:r>
              <w:rPr>
                <w:color w:val="000000"/>
                <w:sz w:val="17"/>
                <w:szCs w:val="17"/>
              </w:rPr>
              <w:t>Very High — 40 objectives</w:t>
            </w:r>
          </w:p>
        </w:tc>
        <w:tc>
          <w:tcPr>
            <w:tcW w:w="19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2B6244D7" w14:textId="77777777" w:rsidR="00BA5C09" w:rsidRDefault="00000000">
            <w:pPr>
              <w:spacing w:line="260" w:lineRule="auto"/>
            </w:pPr>
            <w:r>
              <w:rPr>
                <w:color w:val="000000"/>
                <w:sz w:val="17"/>
                <w:szCs w:val="17"/>
              </w:rPr>
              <w:t>Risk-value balancing</w:t>
            </w:r>
          </w:p>
        </w:tc>
        <w:tc>
          <w:tcPr>
            <w:tcW w:w="19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73F7B1B6" w14:textId="77777777" w:rsidR="00BA5C09" w:rsidRDefault="00000000">
            <w:pPr>
              <w:spacing w:line="260" w:lineRule="auto"/>
            </w:pPr>
            <w:r>
              <w:rPr>
                <w:color w:val="000000"/>
                <w:sz w:val="17"/>
                <w:szCs w:val="17"/>
              </w:rPr>
              <w:t>Central bank audits</w:t>
            </w:r>
          </w:p>
        </w:tc>
        <w:tc>
          <w:tcPr>
            <w:tcW w:w="19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00698982" w14:textId="77777777" w:rsidR="00BA5C09" w:rsidRDefault="00000000">
            <w:pPr>
              <w:spacing w:line="260" w:lineRule="auto"/>
            </w:pPr>
            <w:r>
              <w:rPr>
                <w:color w:val="000000"/>
                <w:sz w:val="17"/>
                <w:szCs w:val="17"/>
              </w:rPr>
              <w:t>Supplementary; complex for FSB maturity</w:t>
            </w:r>
          </w:p>
        </w:tc>
      </w:tr>
      <w:tr w:rsidR="00BA5C09" w14:paraId="51AB9B0D"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30A29295" w14:textId="77777777" w:rsidR="00BA5C09" w:rsidRDefault="00000000">
            <w:pPr>
              <w:spacing w:line="260" w:lineRule="auto"/>
            </w:pPr>
            <w:r>
              <w:rPr>
                <w:color w:val="000000"/>
                <w:sz w:val="17"/>
                <w:szCs w:val="17"/>
              </w:rPr>
              <w:t>ITIL 4</w:t>
            </w:r>
          </w:p>
        </w:tc>
        <w:tc>
          <w:tcPr>
            <w:tcW w:w="17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67DE3006" w14:textId="77777777" w:rsidR="00BA5C09" w:rsidRDefault="00000000">
            <w:pPr>
              <w:spacing w:line="260" w:lineRule="auto"/>
            </w:pPr>
            <w:r>
              <w:rPr>
                <w:color w:val="000000"/>
                <w:sz w:val="17"/>
                <w:szCs w:val="17"/>
              </w:rPr>
              <w:t>Medium — operational</w:t>
            </w:r>
          </w:p>
        </w:tc>
        <w:tc>
          <w:tcPr>
            <w:tcW w:w="19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51E54479" w14:textId="77777777" w:rsidR="00BA5C09" w:rsidRDefault="00000000">
            <w:pPr>
              <w:spacing w:line="260" w:lineRule="auto"/>
            </w:pPr>
            <w:r>
              <w:rPr>
                <w:color w:val="000000"/>
                <w:sz w:val="17"/>
                <w:szCs w:val="17"/>
              </w:rPr>
              <w:t>Service transition risk</w:t>
            </w:r>
          </w:p>
        </w:tc>
        <w:tc>
          <w:tcPr>
            <w:tcW w:w="19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6380BE2E" w14:textId="77777777" w:rsidR="00BA5C09" w:rsidRDefault="00000000">
            <w:pPr>
              <w:spacing w:line="260" w:lineRule="auto"/>
            </w:pPr>
            <w:r>
              <w:rPr>
                <w:color w:val="000000"/>
                <w:sz w:val="17"/>
                <w:szCs w:val="17"/>
              </w:rPr>
              <w:t>SLA &amp; continuity governance</w:t>
            </w:r>
          </w:p>
        </w:tc>
        <w:tc>
          <w:tcPr>
            <w:tcW w:w="19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5D0CDDF3" w14:textId="77777777" w:rsidR="00BA5C09" w:rsidRDefault="00000000">
            <w:pPr>
              <w:spacing w:line="260" w:lineRule="auto"/>
            </w:pPr>
            <w:r>
              <w:rPr>
                <w:color w:val="000000"/>
                <w:sz w:val="17"/>
                <w:szCs w:val="17"/>
              </w:rPr>
              <w:t>Incident management layer</w:t>
            </w:r>
          </w:p>
        </w:tc>
      </w:tr>
      <w:tr w:rsidR="00BA5C09" w14:paraId="2DE5CCE8"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3F683184" w14:textId="77777777" w:rsidR="00BA5C09" w:rsidRDefault="00000000">
            <w:pPr>
              <w:spacing w:line="260" w:lineRule="auto"/>
            </w:pPr>
            <w:r>
              <w:rPr>
                <w:color w:val="000000"/>
                <w:sz w:val="17"/>
                <w:szCs w:val="17"/>
              </w:rPr>
              <w:t>Zero Trust (ZTA)</w:t>
            </w:r>
          </w:p>
        </w:tc>
        <w:tc>
          <w:tcPr>
            <w:tcW w:w="17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1B406F18" w14:textId="77777777" w:rsidR="00BA5C09" w:rsidRDefault="00000000">
            <w:pPr>
              <w:spacing w:line="260" w:lineRule="auto"/>
            </w:pPr>
            <w:r>
              <w:rPr>
                <w:color w:val="000000"/>
                <w:sz w:val="17"/>
                <w:szCs w:val="17"/>
              </w:rPr>
              <w:t>Medium — policy enforcement</w:t>
            </w:r>
          </w:p>
        </w:tc>
        <w:tc>
          <w:tcPr>
            <w:tcW w:w="19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11F2B2E7" w14:textId="77777777" w:rsidR="00BA5C09" w:rsidRDefault="00000000">
            <w:pPr>
              <w:spacing w:line="260" w:lineRule="auto"/>
            </w:pPr>
            <w:r>
              <w:rPr>
                <w:color w:val="000000"/>
                <w:sz w:val="17"/>
                <w:szCs w:val="17"/>
              </w:rPr>
              <w:t>Micro-segmentation; blast radius</w:t>
            </w:r>
          </w:p>
        </w:tc>
        <w:tc>
          <w:tcPr>
            <w:tcW w:w="19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26C610D3" w14:textId="77777777" w:rsidR="00BA5C09" w:rsidRDefault="00000000">
            <w:pPr>
              <w:spacing w:line="260" w:lineRule="auto"/>
            </w:pPr>
            <w:r>
              <w:rPr>
                <w:color w:val="000000"/>
                <w:sz w:val="17"/>
                <w:szCs w:val="17"/>
              </w:rPr>
              <w:t>DORA &amp; PCI DSS 4.0</w:t>
            </w:r>
          </w:p>
        </w:tc>
        <w:tc>
          <w:tcPr>
            <w:tcW w:w="19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17803E61" w14:textId="77777777" w:rsidR="00BA5C09" w:rsidRDefault="00000000">
            <w:pPr>
              <w:spacing w:line="260" w:lineRule="auto"/>
            </w:pPr>
            <w:r>
              <w:rPr>
                <w:color w:val="000000"/>
                <w:sz w:val="17"/>
                <w:szCs w:val="17"/>
              </w:rPr>
              <w:t>Critical for BYOD &amp; cloud</w:t>
            </w:r>
          </w:p>
        </w:tc>
      </w:tr>
      <w:tr w:rsidR="00BA5C09" w14:paraId="3590D120"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63F2A690" w14:textId="77777777" w:rsidR="00BA5C09" w:rsidRDefault="00000000">
            <w:pPr>
              <w:spacing w:line="260" w:lineRule="auto"/>
            </w:pPr>
            <w:r>
              <w:rPr>
                <w:color w:val="000000"/>
                <w:sz w:val="17"/>
                <w:szCs w:val="17"/>
              </w:rPr>
              <w:t>CIS Controls v8</w:t>
            </w:r>
          </w:p>
        </w:tc>
        <w:tc>
          <w:tcPr>
            <w:tcW w:w="17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6EECCAAF" w14:textId="77777777" w:rsidR="00BA5C09" w:rsidRDefault="00000000">
            <w:pPr>
              <w:spacing w:line="260" w:lineRule="auto"/>
            </w:pPr>
            <w:r>
              <w:rPr>
                <w:color w:val="000000"/>
                <w:sz w:val="17"/>
                <w:szCs w:val="17"/>
              </w:rPr>
              <w:t>Low — technical execution</w:t>
            </w:r>
          </w:p>
        </w:tc>
        <w:tc>
          <w:tcPr>
            <w:tcW w:w="19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0D289CC1" w14:textId="77777777" w:rsidR="00BA5C09" w:rsidRDefault="00000000">
            <w:pPr>
              <w:spacing w:line="260" w:lineRule="auto"/>
            </w:pPr>
            <w:r>
              <w:rPr>
                <w:color w:val="000000"/>
                <w:sz w:val="17"/>
                <w:szCs w:val="17"/>
              </w:rPr>
              <w:t>Threat-based IG1-IG3</w:t>
            </w:r>
          </w:p>
        </w:tc>
        <w:tc>
          <w:tcPr>
            <w:tcW w:w="19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6A125148" w14:textId="77777777" w:rsidR="00BA5C09" w:rsidRDefault="00000000">
            <w:pPr>
              <w:spacing w:line="260" w:lineRule="auto"/>
            </w:pPr>
            <w:r>
              <w:rPr>
                <w:color w:val="000000"/>
                <w:sz w:val="17"/>
                <w:szCs w:val="17"/>
              </w:rPr>
              <w:t>Immediate measurable baseline</w:t>
            </w:r>
          </w:p>
        </w:tc>
        <w:tc>
          <w:tcPr>
            <w:tcW w:w="19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5BC527B2" w14:textId="77777777" w:rsidR="00BA5C09" w:rsidRDefault="00000000">
            <w:pPr>
              <w:spacing w:line="260" w:lineRule="auto"/>
            </w:pPr>
            <w:r>
              <w:rPr>
                <w:color w:val="000000"/>
                <w:sz w:val="17"/>
                <w:szCs w:val="17"/>
              </w:rPr>
              <w:t>First technical action plan</w:t>
            </w:r>
          </w:p>
        </w:tc>
      </w:tr>
      <w:tr w:rsidR="00BA5C09" w14:paraId="3BF3C2CE"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0FB37CF6" w14:textId="77777777" w:rsidR="00BA5C09" w:rsidRDefault="00000000">
            <w:pPr>
              <w:spacing w:line="260" w:lineRule="auto"/>
            </w:pPr>
            <w:r>
              <w:rPr>
                <w:color w:val="000000"/>
                <w:sz w:val="17"/>
                <w:szCs w:val="17"/>
              </w:rPr>
              <w:t>SABSA</w:t>
            </w:r>
          </w:p>
        </w:tc>
        <w:tc>
          <w:tcPr>
            <w:tcW w:w="17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73CDB604" w14:textId="77777777" w:rsidR="00BA5C09" w:rsidRDefault="00000000">
            <w:pPr>
              <w:spacing w:line="260" w:lineRule="auto"/>
            </w:pPr>
            <w:r>
              <w:rPr>
                <w:color w:val="000000"/>
                <w:sz w:val="17"/>
                <w:szCs w:val="17"/>
              </w:rPr>
              <w:t>High — traceability</w:t>
            </w:r>
          </w:p>
        </w:tc>
        <w:tc>
          <w:tcPr>
            <w:tcW w:w="19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35CCB0B0" w14:textId="77777777" w:rsidR="00BA5C09" w:rsidRDefault="00000000">
            <w:pPr>
              <w:spacing w:line="260" w:lineRule="auto"/>
            </w:pPr>
            <w:r>
              <w:rPr>
                <w:color w:val="000000"/>
                <w:sz w:val="17"/>
                <w:szCs w:val="17"/>
              </w:rPr>
              <w:t>Attribute profiling</w:t>
            </w:r>
          </w:p>
        </w:tc>
        <w:tc>
          <w:tcPr>
            <w:tcW w:w="19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08A325E2" w14:textId="77777777" w:rsidR="00BA5C09" w:rsidRDefault="00000000">
            <w:pPr>
              <w:spacing w:line="260" w:lineRule="auto"/>
            </w:pPr>
            <w:r>
              <w:rPr>
                <w:color w:val="000000"/>
                <w:sz w:val="17"/>
                <w:szCs w:val="17"/>
              </w:rPr>
              <w:t>Auditable multi-jurisdiction</w:t>
            </w:r>
          </w:p>
        </w:tc>
        <w:tc>
          <w:tcPr>
            <w:tcW w:w="19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75F10FB0" w14:textId="77777777" w:rsidR="00BA5C09" w:rsidRDefault="00000000">
            <w:pPr>
              <w:spacing w:line="260" w:lineRule="auto"/>
            </w:pPr>
            <w:r>
              <w:rPr>
                <w:color w:val="000000"/>
                <w:sz w:val="17"/>
                <w:szCs w:val="17"/>
              </w:rPr>
              <w:t>GDPR compliance demonstration</w:t>
            </w:r>
          </w:p>
        </w:tc>
      </w:tr>
    </w:tbl>
    <w:p w14:paraId="11853A05" w14:textId="77777777" w:rsidR="00BA5C09" w:rsidRDefault="00000000">
      <w:pPr>
        <w:spacing w:before="60" w:after="80" w:line="360" w:lineRule="auto"/>
        <w:jc w:val="center"/>
      </w:pPr>
      <w:r>
        <w:rPr>
          <w:i/>
          <w:iCs/>
          <w:color w:val="000000"/>
        </w:rPr>
        <w:t xml:space="preserve">Table 1: Comparative analysis of seven security frameworks evaluated across four dimensions. Source: </w:t>
      </w:r>
      <w:proofErr w:type="spellStart"/>
      <w:r>
        <w:rPr>
          <w:i/>
          <w:iCs/>
          <w:color w:val="000000"/>
        </w:rPr>
        <w:t>synthesised</w:t>
      </w:r>
      <w:proofErr w:type="spellEnd"/>
      <w:r>
        <w:rPr>
          <w:i/>
          <w:iCs/>
          <w:color w:val="000000"/>
        </w:rPr>
        <w:t xml:space="preserve"> from ISO (2022), NIST (2024), ISACA (2018), Rose et al. (2020), CIS (2021), Sherwood et al. (2005).</w:t>
      </w:r>
    </w:p>
    <w:p w14:paraId="3F0F9BD9" w14:textId="77777777" w:rsidR="00BA5C09" w:rsidRDefault="00BA5C09">
      <w:pPr>
        <w:spacing w:after="80"/>
      </w:pPr>
    </w:p>
    <w:p w14:paraId="54DA98FD" w14:textId="77777777" w:rsidR="00BA5C09" w:rsidRDefault="00000000">
      <w:pPr>
        <w:spacing w:before="280" w:after="120" w:line="360" w:lineRule="auto"/>
      </w:pPr>
      <w:r>
        <w:rPr>
          <w:b/>
          <w:bCs/>
          <w:color w:val="000000"/>
          <w:sz w:val="28"/>
          <w:szCs w:val="28"/>
        </w:rPr>
        <w:t>3. Security Governance Architecture for FSB</w:t>
      </w:r>
    </w:p>
    <w:p w14:paraId="612C14D9" w14:textId="4E1A11EF" w:rsidR="00BA5C09" w:rsidRDefault="00000000">
      <w:pPr>
        <w:spacing w:after="160" w:line="360" w:lineRule="auto"/>
        <w:jc w:val="both"/>
        <w:rPr>
          <w:noProof/>
        </w:rPr>
      </w:pPr>
      <w:r>
        <w:rPr>
          <w:color w:val="000000"/>
          <w:sz w:val="24"/>
          <w:szCs w:val="24"/>
        </w:rPr>
        <w:t>FSB requires a hybrid, combined governance architecture. A standalone framework would be entirely inadequate given FSB's cloud dependency, distributed BYOD workforce, multi-jurisdictional legal obligations, and complete absence of prior governance (WEF, 2025). The proposed architecture employs three interlinking layers, illustrated in Figure 1 and Table 2 below.</w:t>
      </w:r>
    </w:p>
    <w:p w14:paraId="77D7869D" w14:textId="55CE607A" w:rsidR="00FF2196" w:rsidRDefault="00FF2196" w:rsidP="00FF2196">
      <w:pPr>
        <w:spacing w:after="160" w:line="360" w:lineRule="auto"/>
      </w:pPr>
      <w:r>
        <w:rPr>
          <w:noProof/>
        </w:rPr>
        <w:lastRenderedPageBreak/>
        <w:drawing>
          <wp:anchor distT="0" distB="0" distL="114300" distR="114300" simplePos="0" relativeHeight="251658240" behindDoc="0" locked="0" layoutInCell="1" allowOverlap="1" wp14:anchorId="5823CFCA" wp14:editId="1882BFFB">
            <wp:simplePos x="0" y="0"/>
            <wp:positionH relativeFrom="column">
              <wp:posOffset>812800</wp:posOffset>
            </wp:positionH>
            <wp:positionV relativeFrom="paragraph">
              <wp:posOffset>12700</wp:posOffset>
            </wp:positionV>
            <wp:extent cx="4038600" cy="2910154"/>
            <wp:effectExtent l="0" t="0" r="0" b="0"/>
            <wp:wrapSquare wrapText="bothSides"/>
            <wp:docPr id="1427968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968897" name="Picture 1427968897"/>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38600" cy="2910154"/>
                    </a:xfrm>
                    <a:prstGeom prst="rect">
                      <a:avLst/>
                    </a:prstGeom>
                  </pic:spPr>
                </pic:pic>
              </a:graphicData>
            </a:graphic>
          </wp:anchor>
        </w:drawing>
      </w:r>
      <w:r>
        <w:br w:type="textWrapping" w:clear="all"/>
      </w:r>
    </w:p>
    <w:p w14:paraId="7328BB18" w14:textId="77777777" w:rsidR="00BA5C09" w:rsidRDefault="00000000">
      <w:pPr>
        <w:spacing w:before="60" w:after="80" w:line="360" w:lineRule="auto"/>
        <w:jc w:val="center"/>
      </w:pPr>
      <w:r>
        <w:rPr>
          <w:i/>
          <w:iCs/>
          <w:color w:val="000000"/>
        </w:rPr>
        <w:t>Figure 1: FSB hybrid security governance architecture — three interdependent layers supported by CIS Controls v8 and ITIL 4.</w:t>
      </w:r>
    </w:p>
    <w:p w14:paraId="7C9E87FE" w14:textId="77777777" w:rsidR="00BA5C09" w:rsidRDefault="00BA5C09">
      <w:pPr>
        <w:spacing w:after="80"/>
      </w:pPr>
    </w:p>
    <w:p w14:paraId="68D41A46" w14:textId="77777777" w:rsidR="00BA5C09" w:rsidRDefault="00000000">
      <w:pPr>
        <w:spacing w:before="120" w:after="80" w:line="360" w:lineRule="auto"/>
        <w:jc w:val="center"/>
      </w:pPr>
      <w:r>
        <w:rPr>
          <w:b/>
          <w:bCs/>
          <w:color w:val="000000"/>
          <w:sz w:val="22"/>
          <w:szCs w:val="22"/>
        </w:rPr>
        <w:t>Table 2 — Governance Layer Mapping</w:t>
      </w:r>
    </w:p>
    <w:tbl>
      <w:tblPr>
        <w:tblW w:w="92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200"/>
        <w:gridCol w:w="4860"/>
      </w:tblGrid>
      <w:tr w:rsidR="00BA5C09" w14:paraId="420BAD99" w14:textId="77777777">
        <w:tblPrEx>
          <w:tblCellMar>
            <w:top w:w="0" w:type="dxa"/>
            <w:bottom w:w="0" w:type="dxa"/>
          </w:tblCellMar>
        </w:tblPrEx>
        <w:tc>
          <w:tcPr>
            <w:tcW w:w="2200" w:type="dxa"/>
            <w:tcBorders>
              <w:top w:val="single" w:sz="1" w:space="0" w:color="888888"/>
              <w:left w:val="single" w:sz="1" w:space="0" w:color="888888"/>
              <w:bottom w:val="single" w:sz="1" w:space="0" w:color="888888"/>
              <w:right w:val="single" w:sz="1" w:space="0" w:color="888888"/>
            </w:tcBorders>
            <w:shd w:val="clear" w:color="auto" w:fill="1F3864"/>
            <w:tcMar>
              <w:top w:w="80" w:type="dxa"/>
              <w:left w:w="120" w:type="dxa"/>
              <w:bottom w:w="80" w:type="dxa"/>
              <w:right w:w="120" w:type="dxa"/>
            </w:tcMar>
            <w:vAlign w:val="center"/>
          </w:tcPr>
          <w:p w14:paraId="2C00EB23" w14:textId="77777777" w:rsidR="00BA5C09" w:rsidRDefault="00000000">
            <w:pPr>
              <w:spacing w:line="260" w:lineRule="auto"/>
            </w:pPr>
            <w:r>
              <w:rPr>
                <w:b/>
                <w:bCs/>
                <w:color w:val="FFFFFF"/>
                <w:sz w:val="18"/>
                <w:szCs w:val="18"/>
              </w:rPr>
              <w:t>Layer</w:t>
            </w:r>
          </w:p>
        </w:tc>
        <w:tc>
          <w:tcPr>
            <w:tcW w:w="2200" w:type="dxa"/>
            <w:tcBorders>
              <w:top w:val="single" w:sz="1" w:space="0" w:color="888888"/>
              <w:left w:val="single" w:sz="1" w:space="0" w:color="888888"/>
              <w:bottom w:val="single" w:sz="1" w:space="0" w:color="888888"/>
              <w:right w:val="single" w:sz="1" w:space="0" w:color="888888"/>
            </w:tcBorders>
            <w:shd w:val="clear" w:color="auto" w:fill="1F3864"/>
            <w:tcMar>
              <w:top w:w="80" w:type="dxa"/>
              <w:left w:w="120" w:type="dxa"/>
              <w:bottom w:w="80" w:type="dxa"/>
              <w:right w:w="120" w:type="dxa"/>
            </w:tcMar>
            <w:vAlign w:val="center"/>
          </w:tcPr>
          <w:p w14:paraId="3A497349" w14:textId="77777777" w:rsidR="00BA5C09" w:rsidRDefault="00000000">
            <w:pPr>
              <w:spacing w:line="260" w:lineRule="auto"/>
            </w:pPr>
            <w:r>
              <w:rPr>
                <w:b/>
                <w:bCs/>
                <w:color w:val="FFFFFF"/>
                <w:sz w:val="18"/>
                <w:szCs w:val="18"/>
              </w:rPr>
              <w:t>Framework</w:t>
            </w:r>
          </w:p>
        </w:tc>
        <w:tc>
          <w:tcPr>
            <w:tcW w:w="4860" w:type="dxa"/>
            <w:tcBorders>
              <w:top w:val="single" w:sz="1" w:space="0" w:color="888888"/>
              <w:left w:val="single" w:sz="1" w:space="0" w:color="888888"/>
              <w:bottom w:val="single" w:sz="1" w:space="0" w:color="888888"/>
              <w:right w:val="single" w:sz="1" w:space="0" w:color="888888"/>
            </w:tcBorders>
            <w:shd w:val="clear" w:color="auto" w:fill="1F3864"/>
            <w:tcMar>
              <w:top w:w="80" w:type="dxa"/>
              <w:left w:w="120" w:type="dxa"/>
              <w:bottom w:w="80" w:type="dxa"/>
              <w:right w:w="120" w:type="dxa"/>
            </w:tcMar>
            <w:vAlign w:val="center"/>
          </w:tcPr>
          <w:p w14:paraId="2ED87BA1" w14:textId="77777777" w:rsidR="00BA5C09" w:rsidRDefault="00000000">
            <w:pPr>
              <w:spacing w:line="260" w:lineRule="auto"/>
            </w:pPr>
            <w:r>
              <w:rPr>
                <w:b/>
                <w:bCs/>
                <w:color w:val="FFFFFF"/>
                <w:sz w:val="18"/>
                <w:szCs w:val="18"/>
              </w:rPr>
              <w:t>FSB Function</w:t>
            </w:r>
          </w:p>
        </w:tc>
      </w:tr>
      <w:tr w:rsidR="00BA5C09" w14:paraId="6B4A4C4E" w14:textId="77777777">
        <w:tblPrEx>
          <w:tblCellMar>
            <w:top w:w="0" w:type="dxa"/>
            <w:bottom w:w="0" w:type="dxa"/>
          </w:tblCellMar>
        </w:tblPrEx>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550FA5D1" w14:textId="77777777" w:rsidR="00BA5C09" w:rsidRDefault="00000000">
            <w:pPr>
              <w:spacing w:line="260" w:lineRule="auto"/>
            </w:pPr>
            <w:r>
              <w:rPr>
                <w:color w:val="000000"/>
                <w:sz w:val="17"/>
                <w:szCs w:val="17"/>
              </w:rPr>
              <w:t>Layer 1 — Governance</w:t>
            </w:r>
          </w:p>
        </w:tc>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54591798" w14:textId="77777777" w:rsidR="00BA5C09" w:rsidRDefault="00000000">
            <w:pPr>
              <w:spacing w:line="260" w:lineRule="auto"/>
            </w:pPr>
            <w:r>
              <w:rPr>
                <w:color w:val="000000"/>
                <w:sz w:val="17"/>
                <w:szCs w:val="17"/>
              </w:rPr>
              <w:t>ISO/IEC 27001:2022</w:t>
            </w:r>
          </w:p>
        </w:tc>
        <w:tc>
          <w:tcPr>
            <w:tcW w:w="48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78EB05CC" w14:textId="77777777" w:rsidR="00BA5C09" w:rsidRDefault="00000000">
            <w:pPr>
              <w:spacing w:line="260" w:lineRule="auto"/>
            </w:pPr>
            <w:r>
              <w:rPr>
                <w:color w:val="000000"/>
                <w:sz w:val="17"/>
                <w:szCs w:val="17"/>
              </w:rPr>
              <w:t>Board ISMS, risk appetite, security policy, GDPR compliance</w:t>
            </w:r>
          </w:p>
        </w:tc>
      </w:tr>
      <w:tr w:rsidR="00BA5C09" w14:paraId="3368B69F" w14:textId="77777777">
        <w:tblPrEx>
          <w:tblCellMar>
            <w:top w:w="0" w:type="dxa"/>
            <w:bottom w:w="0" w:type="dxa"/>
          </w:tblCellMar>
        </w:tblPrEx>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1C5E4D71" w14:textId="77777777" w:rsidR="00BA5C09" w:rsidRDefault="00000000">
            <w:pPr>
              <w:spacing w:line="260" w:lineRule="auto"/>
            </w:pPr>
            <w:r>
              <w:rPr>
                <w:color w:val="000000"/>
                <w:sz w:val="17"/>
                <w:szCs w:val="17"/>
              </w:rPr>
              <w:t>Layer 2 — Operations</w:t>
            </w:r>
          </w:p>
        </w:tc>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68CD9A53" w14:textId="77777777" w:rsidR="00BA5C09" w:rsidRDefault="00000000">
            <w:pPr>
              <w:spacing w:line="260" w:lineRule="auto"/>
            </w:pPr>
            <w:r>
              <w:rPr>
                <w:color w:val="000000"/>
                <w:sz w:val="17"/>
                <w:szCs w:val="17"/>
              </w:rPr>
              <w:t>NIST CSF 2.0</w:t>
            </w:r>
          </w:p>
        </w:tc>
        <w:tc>
          <w:tcPr>
            <w:tcW w:w="48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32A65DC9" w14:textId="77777777" w:rsidR="00BA5C09" w:rsidRDefault="00000000">
            <w:pPr>
              <w:spacing w:line="260" w:lineRule="auto"/>
            </w:pPr>
            <w:r>
              <w:rPr>
                <w:color w:val="000000"/>
                <w:sz w:val="17"/>
                <w:szCs w:val="17"/>
              </w:rPr>
              <w:t>Continuous risk lifecycle: Govern, Identify, Protect, Detect, Respond, Recover</w:t>
            </w:r>
          </w:p>
        </w:tc>
      </w:tr>
      <w:tr w:rsidR="00BA5C09" w14:paraId="261BE5F6" w14:textId="77777777">
        <w:tblPrEx>
          <w:tblCellMar>
            <w:top w:w="0" w:type="dxa"/>
            <w:bottom w:w="0" w:type="dxa"/>
          </w:tblCellMar>
        </w:tblPrEx>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5332B9FE" w14:textId="77777777" w:rsidR="00BA5C09" w:rsidRDefault="00000000">
            <w:pPr>
              <w:spacing w:line="260" w:lineRule="auto"/>
            </w:pPr>
            <w:r>
              <w:rPr>
                <w:color w:val="000000"/>
                <w:sz w:val="17"/>
                <w:szCs w:val="17"/>
              </w:rPr>
              <w:t>Layer 3 — Technical</w:t>
            </w:r>
          </w:p>
        </w:tc>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5C162302" w14:textId="77777777" w:rsidR="00BA5C09" w:rsidRDefault="00000000">
            <w:pPr>
              <w:spacing w:line="260" w:lineRule="auto"/>
            </w:pPr>
            <w:r>
              <w:rPr>
                <w:color w:val="000000"/>
                <w:sz w:val="17"/>
                <w:szCs w:val="17"/>
              </w:rPr>
              <w:t>Zero Trust Architecture</w:t>
            </w:r>
          </w:p>
        </w:tc>
        <w:tc>
          <w:tcPr>
            <w:tcW w:w="48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5849E67B" w14:textId="77777777" w:rsidR="00BA5C09" w:rsidRDefault="00000000">
            <w:pPr>
              <w:spacing w:line="260" w:lineRule="auto"/>
            </w:pPr>
            <w:r>
              <w:rPr>
                <w:color w:val="000000"/>
                <w:sz w:val="17"/>
                <w:szCs w:val="17"/>
              </w:rPr>
              <w:t>IAM, MFA, MDM, micro-segmentation, AES-256, TLS 1.3</w:t>
            </w:r>
          </w:p>
        </w:tc>
      </w:tr>
      <w:tr w:rsidR="00BA5C09" w14:paraId="698BAA1B" w14:textId="77777777">
        <w:tblPrEx>
          <w:tblCellMar>
            <w:top w:w="0" w:type="dxa"/>
            <w:bottom w:w="0" w:type="dxa"/>
          </w:tblCellMar>
        </w:tblPrEx>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1751C9B7" w14:textId="77777777" w:rsidR="00BA5C09" w:rsidRDefault="00000000">
            <w:pPr>
              <w:spacing w:line="260" w:lineRule="auto"/>
            </w:pPr>
            <w:r>
              <w:rPr>
                <w:color w:val="000000"/>
                <w:sz w:val="17"/>
                <w:szCs w:val="17"/>
              </w:rPr>
              <w:t>Baseline Controls</w:t>
            </w:r>
          </w:p>
        </w:tc>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37B41F90" w14:textId="77777777" w:rsidR="00BA5C09" w:rsidRDefault="00000000">
            <w:pPr>
              <w:spacing w:line="260" w:lineRule="auto"/>
            </w:pPr>
            <w:r>
              <w:rPr>
                <w:color w:val="000000"/>
                <w:sz w:val="17"/>
                <w:szCs w:val="17"/>
              </w:rPr>
              <w:t>CIS Controls v8 (IG1)</w:t>
            </w:r>
          </w:p>
        </w:tc>
        <w:tc>
          <w:tcPr>
            <w:tcW w:w="48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142BA5FD" w14:textId="77777777" w:rsidR="00BA5C09" w:rsidRDefault="00000000">
            <w:pPr>
              <w:spacing w:line="260" w:lineRule="auto"/>
            </w:pPr>
            <w:r>
              <w:rPr>
                <w:color w:val="000000"/>
                <w:sz w:val="17"/>
                <w:szCs w:val="17"/>
              </w:rPr>
              <w:t>Immediate technical baseline: asset inventory, access control, patching</w:t>
            </w:r>
          </w:p>
        </w:tc>
      </w:tr>
      <w:tr w:rsidR="00BA5C09" w14:paraId="4BE4A90D" w14:textId="77777777">
        <w:tblPrEx>
          <w:tblCellMar>
            <w:top w:w="0" w:type="dxa"/>
            <w:bottom w:w="0" w:type="dxa"/>
          </w:tblCellMar>
        </w:tblPrEx>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2E09CDCA" w14:textId="77777777" w:rsidR="00BA5C09" w:rsidRDefault="00000000">
            <w:pPr>
              <w:spacing w:line="260" w:lineRule="auto"/>
            </w:pPr>
            <w:r>
              <w:rPr>
                <w:color w:val="000000"/>
                <w:sz w:val="17"/>
                <w:szCs w:val="17"/>
              </w:rPr>
              <w:t>Service Continuity</w:t>
            </w:r>
          </w:p>
        </w:tc>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49287B26" w14:textId="77777777" w:rsidR="00BA5C09" w:rsidRDefault="00000000">
            <w:pPr>
              <w:spacing w:line="260" w:lineRule="auto"/>
            </w:pPr>
            <w:r>
              <w:rPr>
                <w:color w:val="000000"/>
                <w:sz w:val="17"/>
                <w:szCs w:val="17"/>
              </w:rPr>
              <w:t>ITIL 4</w:t>
            </w:r>
          </w:p>
        </w:tc>
        <w:tc>
          <w:tcPr>
            <w:tcW w:w="48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3109468F" w14:textId="77777777" w:rsidR="00BA5C09" w:rsidRDefault="00000000">
            <w:pPr>
              <w:spacing w:line="260" w:lineRule="auto"/>
            </w:pPr>
            <w:r>
              <w:rPr>
                <w:color w:val="000000"/>
                <w:sz w:val="17"/>
                <w:szCs w:val="17"/>
              </w:rPr>
              <w:t>Incident management, SLAs, BCP/DRP, 72-hr GDPR notification</w:t>
            </w:r>
          </w:p>
        </w:tc>
      </w:tr>
    </w:tbl>
    <w:p w14:paraId="1E362E0B" w14:textId="77777777" w:rsidR="00BA5C09" w:rsidRDefault="00000000">
      <w:pPr>
        <w:spacing w:before="60" w:after="80" w:line="360" w:lineRule="auto"/>
        <w:jc w:val="center"/>
      </w:pPr>
      <w:r>
        <w:rPr>
          <w:i/>
          <w:iCs/>
          <w:color w:val="000000"/>
        </w:rPr>
        <w:t>Table 2: FSB governance framework layer mapping. Source: ISO (2022), NIST (2024), Rose et al. (2020), CIS (2021), White and McLaughlin (2023).</w:t>
      </w:r>
    </w:p>
    <w:p w14:paraId="1F911911" w14:textId="77777777" w:rsidR="00BA5C09" w:rsidRDefault="00BA5C09">
      <w:pPr>
        <w:spacing w:after="80"/>
      </w:pPr>
    </w:p>
    <w:p w14:paraId="1C7B5614" w14:textId="77777777" w:rsidR="00BA5C09" w:rsidRDefault="00000000">
      <w:pPr>
        <w:spacing w:before="200" w:after="100" w:line="360" w:lineRule="auto"/>
      </w:pPr>
      <w:proofErr w:type="gramStart"/>
      <w:r>
        <w:rPr>
          <w:b/>
          <w:bCs/>
          <w:color w:val="000000"/>
          <w:sz w:val="24"/>
          <w:szCs w:val="24"/>
        </w:rPr>
        <w:t>3.1  Governance</w:t>
      </w:r>
      <w:proofErr w:type="gramEnd"/>
      <w:r>
        <w:rPr>
          <w:b/>
          <w:bCs/>
          <w:color w:val="000000"/>
          <w:sz w:val="24"/>
          <w:szCs w:val="24"/>
        </w:rPr>
        <w:t xml:space="preserve"> Structure and Security Policies</w:t>
      </w:r>
    </w:p>
    <w:p w14:paraId="42A1F9E2" w14:textId="545E0B72" w:rsidR="00BA5C09" w:rsidRDefault="00000000">
      <w:pPr>
        <w:spacing w:after="160" w:line="360" w:lineRule="auto"/>
        <w:jc w:val="both"/>
      </w:pPr>
      <w:r>
        <w:rPr>
          <w:color w:val="000000"/>
          <w:sz w:val="24"/>
          <w:szCs w:val="24"/>
        </w:rPr>
        <w:t xml:space="preserve">The initial focus will be </w:t>
      </w:r>
      <w:r w:rsidR="00FF2196">
        <w:rPr>
          <w:color w:val="000000"/>
          <w:sz w:val="24"/>
          <w:szCs w:val="24"/>
        </w:rPr>
        <w:t xml:space="preserve">on </w:t>
      </w:r>
      <w:r>
        <w:rPr>
          <w:color w:val="000000"/>
          <w:sz w:val="24"/>
          <w:szCs w:val="24"/>
        </w:rPr>
        <w:t xml:space="preserve">establishing a formal ISMS grounded in ISO/IEC 27001:2022 (ISO, 2022). This involves the creation of a board-level Security Steering Committee, which will </w:t>
      </w:r>
      <w:proofErr w:type="spellStart"/>
      <w:r>
        <w:rPr>
          <w:color w:val="000000"/>
          <w:sz w:val="24"/>
          <w:szCs w:val="24"/>
        </w:rPr>
        <w:t>formalise</w:t>
      </w:r>
      <w:proofErr w:type="spellEnd"/>
      <w:r>
        <w:rPr>
          <w:color w:val="000000"/>
          <w:sz w:val="24"/>
          <w:szCs w:val="24"/>
        </w:rPr>
        <w:t xml:space="preserve"> FSB's risk appetite, enterprise security policies governing data usage and classification, cryptography standards, and third-party vendor governance. Governance and management will be formally separated based on COBIT 2019 (ISACA, 2018), ensuring that cybersecurity receives appropriate funding and institutional priority commensurate with FSB's strategic digital ambitions.</w:t>
      </w:r>
    </w:p>
    <w:p w14:paraId="5AFC2AEB" w14:textId="77777777" w:rsidR="00BA5C09" w:rsidRDefault="00000000">
      <w:pPr>
        <w:spacing w:before="200" w:after="100" w:line="360" w:lineRule="auto"/>
      </w:pPr>
      <w:proofErr w:type="gramStart"/>
      <w:r>
        <w:rPr>
          <w:b/>
          <w:bCs/>
          <w:color w:val="000000"/>
          <w:sz w:val="24"/>
          <w:szCs w:val="24"/>
        </w:rPr>
        <w:lastRenderedPageBreak/>
        <w:t>3.2  Risk</w:t>
      </w:r>
      <w:proofErr w:type="gramEnd"/>
      <w:r>
        <w:rPr>
          <w:b/>
          <w:bCs/>
          <w:color w:val="000000"/>
          <w:sz w:val="24"/>
          <w:szCs w:val="24"/>
        </w:rPr>
        <w:t xml:space="preserve"> Management Strategy</w:t>
      </w:r>
    </w:p>
    <w:p w14:paraId="17074EB8" w14:textId="77777777" w:rsidR="00BA5C09" w:rsidRDefault="00000000">
      <w:pPr>
        <w:spacing w:after="160" w:line="360" w:lineRule="auto"/>
        <w:jc w:val="both"/>
      </w:pPr>
      <w:r>
        <w:rPr>
          <w:color w:val="000000"/>
          <w:sz w:val="24"/>
          <w:szCs w:val="24"/>
        </w:rPr>
        <w:t xml:space="preserve">FSB will adopt NIST CSF 2.0 (NIST, 2024) to </w:t>
      </w:r>
      <w:proofErr w:type="spellStart"/>
      <w:r>
        <w:rPr>
          <w:color w:val="000000"/>
          <w:sz w:val="24"/>
          <w:szCs w:val="24"/>
        </w:rPr>
        <w:t>categorise</w:t>
      </w:r>
      <w:proofErr w:type="spellEnd"/>
      <w:r>
        <w:rPr>
          <w:color w:val="000000"/>
          <w:sz w:val="24"/>
          <w:szCs w:val="24"/>
        </w:rPr>
        <w:t xml:space="preserve"> and manage cyber risks across the full Govern-Identify-Protect-Detect-Respond-Recover lifecycle (Table 3). Threats will be assessed using a 5×5 likelihood-versus-impact matrix (Figure 2). Risks assessed as highest priority include cloud misconfiguration (High likelihood, Critical impact), BYOD malware ingress (High, Critical), insider data exfiltration (Medium, Critical), and GDPR non-compliance (Certain, Critical) (Huy et al., 2025).</w:t>
      </w:r>
    </w:p>
    <w:p w14:paraId="0E63980D" w14:textId="77777777" w:rsidR="00BA5C09" w:rsidRDefault="00000000">
      <w:pPr>
        <w:spacing w:before="120" w:after="80" w:line="360" w:lineRule="auto"/>
        <w:jc w:val="center"/>
      </w:pPr>
      <w:r>
        <w:rPr>
          <w:b/>
          <w:bCs/>
          <w:color w:val="000000"/>
          <w:sz w:val="22"/>
          <w:szCs w:val="22"/>
        </w:rPr>
        <w:t>Table 3 — NIST CSF 2.0 Lifecycle Applied to FSB</w:t>
      </w:r>
    </w:p>
    <w:tbl>
      <w:tblPr>
        <w:tblW w:w="92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200"/>
        <w:gridCol w:w="5260"/>
      </w:tblGrid>
      <w:tr w:rsidR="00BA5C09" w14:paraId="5CFBF79C"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1F3864"/>
            <w:tcMar>
              <w:top w:w="80" w:type="dxa"/>
              <w:left w:w="120" w:type="dxa"/>
              <w:bottom w:w="80" w:type="dxa"/>
              <w:right w:w="120" w:type="dxa"/>
            </w:tcMar>
            <w:vAlign w:val="center"/>
          </w:tcPr>
          <w:p w14:paraId="1DCCEED6" w14:textId="77777777" w:rsidR="00BA5C09" w:rsidRDefault="00000000">
            <w:pPr>
              <w:spacing w:line="260" w:lineRule="auto"/>
            </w:pPr>
            <w:r>
              <w:rPr>
                <w:b/>
                <w:bCs/>
                <w:color w:val="FFFFFF"/>
                <w:sz w:val="18"/>
                <w:szCs w:val="18"/>
              </w:rPr>
              <w:t>CSF Function</w:t>
            </w:r>
          </w:p>
        </w:tc>
        <w:tc>
          <w:tcPr>
            <w:tcW w:w="2200" w:type="dxa"/>
            <w:tcBorders>
              <w:top w:val="single" w:sz="1" w:space="0" w:color="888888"/>
              <w:left w:val="single" w:sz="1" w:space="0" w:color="888888"/>
              <w:bottom w:val="single" w:sz="1" w:space="0" w:color="888888"/>
              <w:right w:val="single" w:sz="1" w:space="0" w:color="888888"/>
            </w:tcBorders>
            <w:shd w:val="clear" w:color="auto" w:fill="1F3864"/>
            <w:tcMar>
              <w:top w:w="80" w:type="dxa"/>
              <w:left w:w="120" w:type="dxa"/>
              <w:bottom w:w="80" w:type="dxa"/>
              <w:right w:w="120" w:type="dxa"/>
            </w:tcMar>
            <w:vAlign w:val="center"/>
          </w:tcPr>
          <w:p w14:paraId="59F33F7D" w14:textId="77777777" w:rsidR="00BA5C09" w:rsidRDefault="00000000">
            <w:pPr>
              <w:spacing w:line="260" w:lineRule="auto"/>
            </w:pPr>
            <w:r>
              <w:rPr>
                <w:b/>
                <w:bCs/>
                <w:color w:val="FFFFFF"/>
                <w:sz w:val="18"/>
                <w:szCs w:val="18"/>
              </w:rPr>
              <w:t>Core Activity</w:t>
            </w:r>
          </w:p>
        </w:tc>
        <w:tc>
          <w:tcPr>
            <w:tcW w:w="5260" w:type="dxa"/>
            <w:tcBorders>
              <w:top w:val="single" w:sz="1" w:space="0" w:color="888888"/>
              <w:left w:val="single" w:sz="1" w:space="0" w:color="888888"/>
              <w:bottom w:val="single" w:sz="1" w:space="0" w:color="888888"/>
              <w:right w:val="single" w:sz="1" w:space="0" w:color="888888"/>
            </w:tcBorders>
            <w:shd w:val="clear" w:color="auto" w:fill="1F3864"/>
            <w:tcMar>
              <w:top w:w="80" w:type="dxa"/>
              <w:left w:w="120" w:type="dxa"/>
              <w:bottom w:w="80" w:type="dxa"/>
              <w:right w:w="120" w:type="dxa"/>
            </w:tcMar>
            <w:vAlign w:val="center"/>
          </w:tcPr>
          <w:p w14:paraId="63D77DA4" w14:textId="77777777" w:rsidR="00BA5C09" w:rsidRDefault="00000000">
            <w:pPr>
              <w:spacing w:line="260" w:lineRule="auto"/>
            </w:pPr>
            <w:r>
              <w:rPr>
                <w:b/>
                <w:bCs/>
                <w:color w:val="FFFFFF"/>
                <w:sz w:val="18"/>
                <w:szCs w:val="18"/>
              </w:rPr>
              <w:t>FSB Implementation</w:t>
            </w:r>
          </w:p>
        </w:tc>
      </w:tr>
      <w:tr w:rsidR="00BA5C09" w14:paraId="60681984"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4956FF40" w14:textId="77777777" w:rsidR="00BA5C09" w:rsidRDefault="00000000">
            <w:pPr>
              <w:spacing w:line="260" w:lineRule="auto"/>
            </w:pPr>
            <w:r>
              <w:rPr>
                <w:color w:val="000000"/>
                <w:sz w:val="17"/>
                <w:szCs w:val="17"/>
              </w:rPr>
              <w:t>Govern</w:t>
            </w:r>
          </w:p>
        </w:tc>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298B2373" w14:textId="77777777" w:rsidR="00BA5C09" w:rsidRDefault="00000000">
            <w:pPr>
              <w:spacing w:line="260" w:lineRule="auto"/>
            </w:pPr>
            <w:r>
              <w:rPr>
                <w:color w:val="000000"/>
                <w:sz w:val="17"/>
                <w:szCs w:val="17"/>
              </w:rPr>
              <w:t>Set risk appetite &amp; policy</w:t>
            </w:r>
          </w:p>
        </w:tc>
        <w:tc>
          <w:tcPr>
            <w:tcW w:w="52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59DBCD84" w14:textId="77777777" w:rsidR="00BA5C09" w:rsidRDefault="00000000">
            <w:pPr>
              <w:spacing w:line="260" w:lineRule="auto"/>
            </w:pPr>
            <w:r>
              <w:rPr>
                <w:color w:val="000000"/>
                <w:sz w:val="17"/>
                <w:szCs w:val="17"/>
              </w:rPr>
              <w:t>Board Security Steering Committee; ISO 27001 ISMS; COBIT governance-management separation</w:t>
            </w:r>
          </w:p>
        </w:tc>
      </w:tr>
      <w:tr w:rsidR="00BA5C09" w14:paraId="0E4B8E29"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14A7D19F" w14:textId="77777777" w:rsidR="00BA5C09" w:rsidRDefault="00000000">
            <w:pPr>
              <w:spacing w:line="260" w:lineRule="auto"/>
            </w:pPr>
            <w:r>
              <w:rPr>
                <w:color w:val="000000"/>
                <w:sz w:val="17"/>
                <w:szCs w:val="17"/>
              </w:rPr>
              <w:t>Identify</w:t>
            </w:r>
          </w:p>
        </w:tc>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05216D20" w14:textId="77777777" w:rsidR="00BA5C09" w:rsidRDefault="00000000">
            <w:pPr>
              <w:spacing w:line="260" w:lineRule="auto"/>
            </w:pPr>
            <w:r>
              <w:rPr>
                <w:color w:val="000000"/>
                <w:sz w:val="17"/>
                <w:szCs w:val="17"/>
              </w:rPr>
              <w:t>Asset &amp; vulnerability inventory</w:t>
            </w:r>
          </w:p>
        </w:tc>
        <w:tc>
          <w:tcPr>
            <w:tcW w:w="52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6E64061E" w14:textId="77777777" w:rsidR="00BA5C09" w:rsidRDefault="00000000">
            <w:pPr>
              <w:spacing w:line="260" w:lineRule="auto"/>
            </w:pPr>
            <w:r>
              <w:rPr>
                <w:color w:val="000000"/>
                <w:sz w:val="17"/>
                <w:szCs w:val="17"/>
              </w:rPr>
              <w:t>CIS Controls 1–2; full BYOD, cloud, API, microservice asset mapping; GDPR data inventory</w:t>
            </w:r>
          </w:p>
        </w:tc>
      </w:tr>
      <w:tr w:rsidR="00BA5C09" w14:paraId="341F43F0"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039965AF" w14:textId="77777777" w:rsidR="00BA5C09" w:rsidRDefault="00000000">
            <w:pPr>
              <w:spacing w:line="260" w:lineRule="auto"/>
            </w:pPr>
            <w:r>
              <w:rPr>
                <w:color w:val="000000"/>
                <w:sz w:val="17"/>
                <w:szCs w:val="17"/>
              </w:rPr>
              <w:t>Protect</w:t>
            </w:r>
          </w:p>
        </w:tc>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2EDE9330" w14:textId="77777777" w:rsidR="00BA5C09" w:rsidRDefault="00000000">
            <w:pPr>
              <w:spacing w:line="260" w:lineRule="auto"/>
            </w:pPr>
            <w:r>
              <w:rPr>
                <w:color w:val="000000"/>
                <w:sz w:val="17"/>
                <w:szCs w:val="17"/>
              </w:rPr>
              <w:t>Implement safeguards</w:t>
            </w:r>
          </w:p>
        </w:tc>
        <w:tc>
          <w:tcPr>
            <w:tcW w:w="52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2BC15D26" w14:textId="77777777" w:rsidR="00BA5C09" w:rsidRDefault="00000000">
            <w:pPr>
              <w:spacing w:line="260" w:lineRule="auto"/>
            </w:pPr>
            <w:r>
              <w:rPr>
                <w:color w:val="000000"/>
                <w:sz w:val="17"/>
                <w:szCs w:val="17"/>
              </w:rPr>
              <w:t>ZTA + MFA + SSO; MDM/MAM; AES-256 at rest; TLS 1.3 in transit; data classification</w:t>
            </w:r>
          </w:p>
        </w:tc>
      </w:tr>
      <w:tr w:rsidR="00BA5C09" w14:paraId="61FB311E"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2E7E0C74" w14:textId="77777777" w:rsidR="00BA5C09" w:rsidRDefault="00000000">
            <w:pPr>
              <w:spacing w:line="260" w:lineRule="auto"/>
            </w:pPr>
            <w:r>
              <w:rPr>
                <w:color w:val="000000"/>
                <w:sz w:val="17"/>
                <w:szCs w:val="17"/>
              </w:rPr>
              <w:t>Detect</w:t>
            </w:r>
          </w:p>
        </w:tc>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34B095CF" w14:textId="77777777" w:rsidR="00BA5C09" w:rsidRDefault="00000000">
            <w:pPr>
              <w:spacing w:line="260" w:lineRule="auto"/>
            </w:pPr>
            <w:r>
              <w:rPr>
                <w:color w:val="000000"/>
                <w:sz w:val="17"/>
                <w:szCs w:val="17"/>
              </w:rPr>
              <w:t>Monitor threats</w:t>
            </w:r>
          </w:p>
        </w:tc>
        <w:tc>
          <w:tcPr>
            <w:tcW w:w="52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756FED9A" w14:textId="77777777" w:rsidR="00BA5C09" w:rsidRDefault="00000000">
            <w:pPr>
              <w:spacing w:line="260" w:lineRule="auto"/>
            </w:pPr>
            <w:r>
              <w:rPr>
                <w:color w:val="000000"/>
                <w:sz w:val="17"/>
                <w:szCs w:val="17"/>
              </w:rPr>
              <w:t xml:space="preserve">SIEM + SOAR; UEBA </w:t>
            </w:r>
            <w:proofErr w:type="spellStart"/>
            <w:r>
              <w:rPr>
                <w:color w:val="000000"/>
                <w:sz w:val="17"/>
                <w:szCs w:val="17"/>
              </w:rPr>
              <w:t>behavioural</w:t>
            </w:r>
            <w:proofErr w:type="spellEnd"/>
            <w:r>
              <w:rPr>
                <w:color w:val="000000"/>
                <w:sz w:val="17"/>
                <w:szCs w:val="17"/>
              </w:rPr>
              <w:t xml:space="preserve"> baselines; SOC continuous monitoring; anomaly alerting</w:t>
            </w:r>
          </w:p>
        </w:tc>
      </w:tr>
      <w:tr w:rsidR="00BA5C09" w14:paraId="54A0CB18"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7C98359E" w14:textId="77777777" w:rsidR="00BA5C09" w:rsidRDefault="00000000">
            <w:pPr>
              <w:spacing w:line="260" w:lineRule="auto"/>
            </w:pPr>
            <w:r>
              <w:rPr>
                <w:color w:val="000000"/>
                <w:sz w:val="17"/>
                <w:szCs w:val="17"/>
              </w:rPr>
              <w:t>Respond</w:t>
            </w:r>
          </w:p>
        </w:tc>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764DF9E9" w14:textId="77777777" w:rsidR="00BA5C09" w:rsidRDefault="00000000">
            <w:pPr>
              <w:spacing w:line="260" w:lineRule="auto"/>
            </w:pPr>
            <w:r>
              <w:rPr>
                <w:color w:val="000000"/>
                <w:sz w:val="17"/>
                <w:szCs w:val="17"/>
              </w:rPr>
              <w:t>Contain &amp; communicate</w:t>
            </w:r>
          </w:p>
        </w:tc>
        <w:tc>
          <w:tcPr>
            <w:tcW w:w="52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2879683E" w14:textId="77777777" w:rsidR="00BA5C09" w:rsidRDefault="00000000">
            <w:pPr>
              <w:spacing w:line="260" w:lineRule="auto"/>
            </w:pPr>
            <w:r>
              <w:rPr>
                <w:color w:val="000000"/>
                <w:sz w:val="17"/>
                <w:szCs w:val="17"/>
              </w:rPr>
              <w:t>ITIL 4 Incident Response Plan; GDPR 72-hour supervisory notification; DORA reporting</w:t>
            </w:r>
          </w:p>
        </w:tc>
      </w:tr>
      <w:tr w:rsidR="00BA5C09" w14:paraId="69F929CA"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379C36E1" w14:textId="77777777" w:rsidR="00BA5C09" w:rsidRDefault="00000000">
            <w:pPr>
              <w:spacing w:line="260" w:lineRule="auto"/>
            </w:pPr>
            <w:r>
              <w:rPr>
                <w:color w:val="000000"/>
                <w:sz w:val="17"/>
                <w:szCs w:val="17"/>
              </w:rPr>
              <w:t>Recover</w:t>
            </w:r>
          </w:p>
        </w:tc>
        <w:tc>
          <w:tcPr>
            <w:tcW w:w="22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7EF2236F" w14:textId="77777777" w:rsidR="00BA5C09" w:rsidRDefault="00000000">
            <w:pPr>
              <w:spacing w:line="260" w:lineRule="auto"/>
            </w:pPr>
            <w:r>
              <w:rPr>
                <w:color w:val="000000"/>
                <w:sz w:val="17"/>
                <w:szCs w:val="17"/>
              </w:rPr>
              <w:t>Restore &amp; improve</w:t>
            </w:r>
          </w:p>
        </w:tc>
        <w:tc>
          <w:tcPr>
            <w:tcW w:w="52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2A466764" w14:textId="77777777" w:rsidR="00BA5C09" w:rsidRDefault="00000000">
            <w:pPr>
              <w:spacing w:line="260" w:lineRule="auto"/>
            </w:pPr>
            <w:r>
              <w:rPr>
                <w:color w:val="000000"/>
                <w:sz w:val="17"/>
                <w:szCs w:val="17"/>
              </w:rPr>
              <w:t>BCP/DRP; RTO ≤ 4 hours; RPO ≤ 1 hour; geographically isolated backups; post-incident review</w:t>
            </w:r>
          </w:p>
        </w:tc>
      </w:tr>
    </w:tbl>
    <w:p w14:paraId="16C508A5" w14:textId="77777777" w:rsidR="00BA5C09" w:rsidRDefault="00000000">
      <w:pPr>
        <w:spacing w:before="60" w:after="80" w:line="360" w:lineRule="auto"/>
        <w:jc w:val="center"/>
      </w:pPr>
      <w:r>
        <w:rPr>
          <w:i/>
          <w:iCs/>
          <w:color w:val="000000"/>
        </w:rPr>
        <w:t>Table 3: NIST CSF 2.0 six-function lifecycle mapped to FSB-specific controls. Source: NIST (2024), Rose et al. (2020), CIS (2021), ISO (2022).</w:t>
      </w:r>
    </w:p>
    <w:p w14:paraId="1FE968C0" w14:textId="77777777" w:rsidR="00BA5C09" w:rsidRDefault="00BA5C09">
      <w:pPr>
        <w:spacing w:after="80"/>
      </w:pPr>
    </w:p>
    <w:p w14:paraId="58645A2D" w14:textId="77777777" w:rsidR="00BA5C09" w:rsidRDefault="00000000">
      <w:pPr>
        <w:spacing w:before="120" w:after="80" w:line="360" w:lineRule="auto"/>
        <w:jc w:val="center"/>
      </w:pPr>
      <w:r>
        <w:rPr>
          <w:b/>
          <w:bCs/>
          <w:color w:val="000000"/>
          <w:sz w:val="22"/>
          <w:szCs w:val="22"/>
        </w:rPr>
        <w:t>Figure 2 — FSB 5×5 Risk Matrix: Likelihood versus Impact</w:t>
      </w:r>
    </w:p>
    <w:tbl>
      <w:tblPr>
        <w:tblW w:w="92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1400"/>
        <w:gridCol w:w="1400"/>
        <w:gridCol w:w="1400"/>
        <w:gridCol w:w="1400"/>
        <w:gridCol w:w="1860"/>
      </w:tblGrid>
      <w:tr w:rsidR="00BA5C09" w14:paraId="17FAACC3"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1F3864"/>
            <w:tcMar>
              <w:top w:w="60" w:type="dxa"/>
              <w:left w:w="100" w:type="dxa"/>
              <w:bottom w:w="60" w:type="dxa"/>
              <w:right w:w="100" w:type="dxa"/>
            </w:tcMar>
            <w:vAlign w:val="center"/>
          </w:tcPr>
          <w:p w14:paraId="1CE454AE" w14:textId="77777777" w:rsidR="00BA5C09" w:rsidRDefault="00000000">
            <w:pPr>
              <w:jc w:val="center"/>
            </w:pPr>
            <w:r>
              <w:rPr>
                <w:b/>
                <w:bCs/>
                <w:color w:val="FFFFFF"/>
                <w:sz w:val="17"/>
                <w:szCs w:val="17"/>
              </w:rPr>
              <w:t>Likelihood / Impact</w:t>
            </w:r>
          </w:p>
        </w:tc>
        <w:tc>
          <w:tcPr>
            <w:tcW w:w="1400" w:type="dxa"/>
            <w:tcBorders>
              <w:top w:val="single" w:sz="1" w:space="0" w:color="888888"/>
              <w:left w:val="single" w:sz="1" w:space="0" w:color="888888"/>
              <w:bottom w:val="single" w:sz="1" w:space="0" w:color="888888"/>
              <w:right w:val="single" w:sz="1" w:space="0" w:color="888888"/>
            </w:tcBorders>
            <w:shd w:val="clear" w:color="auto" w:fill="1F3864"/>
            <w:tcMar>
              <w:top w:w="60" w:type="dxa"/>
              <w:left w:w="100" w:type="dxa"/>
              <w:bottom w:w="60" w:type="dxa"/>
              <w:right w:w="100" w:type="dxa"/>
            </w:tcMar>
            <w:vAlign w:val="center"/>
          </w:tcPr>
          <w:p w14:paraId="7E915300" w14:textId="77777777" w:rsidR="00BA5C09" w:rsidRDefault="00000000">
            <w:pPr>
              <w:jc w:val="center"/>
            </w:pPr>
            <w:r>
              <w:rPr>
                <w:b/>
                <w:bCs/>
                <w:color w:val="FFFFFF"/>
                <w:sz w:val="17"/>
                <w:szCs w:val="17"/>
              </w:rPr>
              <w:t>Negligible</w:t>
            </w:r>
          </w:p>
        </w:tc>
        <w:tc>
          <w:tcPr>
            <w:tcW w:w="1400" w:type="dxa"/>
            <w:tcBorders>
              <w:top w:val="single" w:sz="1" w:space="0" w:color="888888"/>
              <w:left w:val="single" w:sz="1" w:space="0" w:color="888888"/>
              <w:bottom w:val="single" w:sz="1" w:space="0" w:color="888888"/>
              <w:right w:val="single" w:sz="1" w:space="0" w:color="888888"/>
            </w:tcBorders>
            <w:shd w:val="clear" w:color="auto" w:fill="1F3864"/>
            <w:tcMar>
              <w:top w:w="60" w:type="dxa"/>
              <w:left w:w="100" w:type="dxa"/>
              <w:bottom w:w="60" w:type="dxa"/>
              <w:right w:w="100" w:type="dxa"/>
            </w:tcMar>
            <w:vAlign w:val="center"/>
          </w:tcPr>
          <w:p w14:paraId="282A2542" w14:textId="77777777" w:rsidR="00BA5C09" w:rsidRDefault="00000000">
            <w:pPr>
              <w:jc w:val="center"/>
            </w:pPr>
            <w:r>
              <w:rPr>
                <w:b/>
                <w:bCs/>
                <w:color w:val="FFFFFF"/>
                <w:sz w:val="17"/>
                <w:szCs w:val="17"/>
              </w:rPr>
              <w:t>Minor</w:t>
            </w:r>
          </w:p>
        </w:tc>
        <w:tc>
          <w:tcPr>
            <w:tcW w:w="1400" w:type="dxa"/>
            <w:tcBorders>
              <w:top w:val="single" w:sz="1" w:space="0" w:color="888888"/>
              <w:left w:val="single" w:sz="1" w:space="0" w:color="888888"/>
              <w:bottom w:val="single" w:sz="1" w:space="0" w:color="888888"/>
              <w:right w:val="single" w:sz="1" w:space="0" w:color="888888"/>
            </w:tcBorders>
            <w:shd w:val="clear" w:color="auto" w:fill="1F3864"/>
            <w:tcMar>
              <w:top w:w="60" w:type="dxa"/>
              <w:left w:w="100" w:type="dxa"/>
              <w:bottom w:w="60" w:type="dxa"/>
              <w:right w:w="100" w:type="dxa"/>
            </w:tcMar>
            <w:vAlign w:val="center"/>
          </w:tcPr>
          <w:p w14:paraId="73E40AFF" w14:textId="77777777" w:rsidR="00BA5C09" w:rsidRDefault="00000000">
            <w:pPr>
              <w:jc w:val="center"/>
            </w:pPr>
            <w:r>
              <w:rPr>
                <w:b/>
                <w:bCs/>
                <w:color w:val="FFFFFF"/>
                <w:sz w:val="17"/>
                <w:szCs w:val="17"/>
              </w:rPr>
              <w:t>Moderate</w:t>
            </w:r>
          </w:p>
        </w:tc>
        <w:tc>
          <w:tcPr>
            <w:tcW w:w="1400" w:type="dxa"/>
            <w:tcBorders>
              <w:top w:val="single" w:sz="1" w:space="0" w:color="888888"/>
              <w:left w:val="single" w:sz="1" w:space="0" w:color="888888"/>
              <w:bottom w:val="single" w:sz="1" w:space="0" w:color="888888"/>
              <w:right w:val="single" w:sz="1" w:space="0" w:color="888888"/>
            </w:tcBorders>
            <w:shd w:val="clear" w:color="auto" w:fill="1F3864"/>
            <w:tcMar>
              <w:top w:w="60" w:type="dxa"/>
              <w:left w:w="100" w:type="dxa"/>
              <w:bottom w:w="60" w:type="dxa"/>
              <w:right w:w="100" w:type="dxa"/>
            </w:tcMar>
            <w:vAlign w:val="center"/>
          </w:tcPr>
          <w:p w14:paraId="0E86D76B" w14:textId="77777777" w:rsidR="00BA5C09" w:rsidRDefault="00000000">
            <w:pPr>
              <w:jc w:val="center"/>
            </w:pPr>
            <w:r>
              <w:rPr>
                <w:b/>
                <w:bCs/>
                <w:color w:val="FFFFFF"/>
                <w:sz w:val="17"/>
                <w:szCs w:val="17"/>
              </w:rPr>
              <w:t>Major</w:t>
            </w:r>
          </w:p>
        </w:tc>
        <w:tc>
          <w:tcPr>
            <w:tcW w:w="1860" w:type="dxa"/>
            <w:tcBorders>
              <w:top w:val="single" w:sz="1" w:space="0" w:color="888888"/>
              <w:left w:val="single" w:sz="1" w:space="0" w:color="888888"/>
              <w:bottom w:val="single" w:sz="1" w:space="0" w:color="888888"/>
              <w:right w:val="single" w:sz="1" w:space="0" w:color="888888"/>
            </w:tcBorders>
            <w:shd w:val="clear" w:color="auto" w:fill="1F3864"/>
            <w:tcMar>
              <w:top w:w="60" w:type="dxa"/>
              <w:left w:w="100" w:type="dxa"/>
              <w:bottom w:w="60" w:type="dxa"/>
              <w:right w:w="100" w:type="dxa"/>
            </w:tcMar>
            <w:vAlign w:val="center"/>
          </w:tcPr>
          <w:p w14:paraId="6602E43C" w14:textId="77777777" w:rsidR="00BA5C09" w:rsidRDefault="00000000">
            <w:pPr>
              <w:jc w:val="center"/>
            </w:pPr>
            <w:r>
              <w:rPr>
                <w:b/>
                <w:bCs/>
                <w:color w:val="FFFFFF"/>
                <w:sz w:val="17"/>
                <w:szCs w:val="17"/>
              </w:rPr>
              <w:t>Critical</w:t>
            </w:r>
          </w:p>
        </w:tc>
      </w:tr>
      <w:tr w:rsidR="00BA5C09" w14:paraId="7075791A"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06C27BF3" w14:textId="77777777" w:rsidR="00BA5C09" w:rsidRDefault="00000000">
            <w:pPr>
              <w:jc w:val="center"/>
            </w:pPr>
            <w:r>
              <w:rPr>
                <w:color w:val="000000"/>
                <w:sz w:val="16"/>
                <w:szCs w:val="16"/>
              </w:rPr>
              <w:t>Certain</w:t>
            </w: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6E19DB36"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70FBA0D3"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0055A263"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C00000"/>
            <w:tcMar>
              <w:top w:w="60" w:type="dxa"/>
              <w:left w:w="100" w:type="dxa"/>
              <w:bottom w:w="60" w:type="dxa"/>
              <w:right w:w="100" w:type="dxa"/>
            </w:tcMar>
            <w:vAlign w:val="center"/>
          </w:tcPr>
          <w:p w14:paraId="70435A72" w14:textId="77777777" w:rsidR="00BA5C09" w:rsidRDefault="00000000">
            <w:pPr>
              <w:jc w:val="center"/>
            </w:pPr>
            <w:r>
              <w:rPr>
                <w:b/>
                <w:bCs/>
                <w:color w:val="FFFFFF"/>
                <w:sz w:val="16"/>
                <w:szCs w:val="16"/>
              </w:rPr>
              <w:t>Cloud misconfiguration</w:t>
            </w:r>
          </w:p>
        </w:tc>
        <w:tc>
          <w:tcPr>
            <w:tcW w:w="1860" w:type="dxa"/>
            <w:tcBorders>
              <w:top w:val="single" w:sz="1" w:space="0" w:color="888888"/>
              <w:left w:val="single" w:sz="1" w:space="0" w:color="888888"/>
              <w:bottom w:val="single" w:sz="1" w:space="0" w:color="888888"/>
              <w:right w:val="single" w:sz="1" w:space="0" w:color="888888"/>
            </w:tcBorders>
            <w:shd w:val="clear" w:color="auto" w:fill="C00000"/>
            <w:tcMar>
              <w:top w:w="60" w:type="dxa"/>
              <w:left w:w="100" w:type="dxa"/>
              <w:bottom w:w="60" w:type="dxa"/>
              <w:right w:w="100" w:type="dxa"/>
            </w:tcMar>
            <w:vAlign w:val="center"/>
          </w:tcPr>
          <w:p w14:paraId="62F1C73E" w14:textId="77777777" w:rsidR="00BA5C09" w:rsidRDefault="00000000">
            <w:pPr>
              <w:jc w:val="center"/>
            </w:pPr>
            <w:r>
              <w:rPr>
                <w:b/>
                <w:bCs/>
                <w:color w:val="FFFFFF"/>
                <w:sz w:val="16"/>
                <w:szCs w:val="16"/>
              </w:rPr>
              <w:t>GDPR non-compliance</w:t>
            </w:r>
          </w:p>
        </w:tc>
      </w:tr>
      <w:tr w:rsidR="00BA5C09" w14:paraId="0265D30B"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65B3C3A5" w14:textId="77777777" w:rsidR="00BA5C09" w:rsidRDefault="00000000">
            <w:pPr>
              <w:jc w:val="center"/>
            </w:pPr>
            <w:r>
              <w:rPr>
                <w:color w:val="000000"/>
                <w:sz w:val="16"/>
                <w:szCs w:val="16"/>
              </w:rPr>
              <w:t>High</w:t>
            </w: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3C656BAE"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19E0CAC7"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5FD00297"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ED7D31"/>
            <w:tcMar>
              <w:top w:w="60" w:type="dxa"/>
              <w:left w:w="100" w:type="dxa"/>
              <w:bottom w:w="60" w:type="dxa"/>
              <w:right w:w="100" w:type="dxa"/>
            </w:tcMar>
            <w:vAlign w:val="center"/>
          </w:tcPr>
          <w:p w14:paraId="4A0053F0" w14:textId="77777777" w:rsidR="00BA5C09" w:rsidRDefault="00000000">
            <w:pPr>
              <w:jc w:val="center"/>
            </w:pPr>
            <w:r>
              <w:rPr>
                <w:b/>
                <w:bCs/>
                <w:color w:val="FFFFFF"/>
                <w:sz w:val="16"/>
                <w:szCs w:val="16"/>
              </w:rPr>
              <w:t>Phishing attacks</w:t>
            </w:r>
          </w:p>
        </w:tc>
        <w:tc>
          <w:tcPr>
            <w:tcW w:w="1860" w:type="dxa"/>
            <w:tcBorders>
              <w:top w:val="single" w:sz="1" w:space="0" w:color="888888"/>
              <w:left w:val="single" w:sz="1" w:space="0" w:color="888888"/>
              <w:bottom w:val="single" w:sz="1" w:space="0" w:color="888888"/>
              <w:right w:val="single" w:sz="1" w:space="0" w:color="888888"/>
            </w:tcBorders>
            <w:shd w:val="clear" w:color="auto" w:fill="C00000"/>
            <w:tcMar>
              <w:top w:w="60" w:type="dxa"/>
              <w:left w:w="100" w:type="dxa"/>
              <w:bottom w:w="60" w:type="dxa"/>
              <w:right w:w="100" w:type="dxa"/>
            </w:tcMar>
            <w:vAlign w:val="center"/>
          </w:tcPr>
          <w:p w14:paraId="09A10C69" w14:textId="77777777" w:rsidR="00BA5C09" w:rsidRDefault="00000000">
            <w:pPr>
              <w:jc w:val="center"/>
            </w:pPr>
            <w:r>
              <w:rPr>
                <w:b/>
                <w:bCs/>
                <w:color w:val="FFFFFF"/>
                <w:sz w:val="16"/>
                <w:szCs w:val="16"/>
              </w:rPr>
              <w:t>BYOD malware</w:t>
            </w:r>
          </w:p>
        </w:tc>
      </w:tr>
      <w:tr w:rsidR="00BA5C09" w14:paraId="24D88203"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175DF7A2" w14:textId="77777777" w:rsidR="00BA5C09" w:rsidRDefault="00000000">
            <w:pPr>
              <w:jc w:val="center"/>
            </w:pPr>
            <w:r>
              <w:rPr>
                <w:color w:val="000000"/>
                <w:sz w:val="16"/>
                <w:szCs w:val="16"/>
              </w:rPr>
              <w:t>Medium</w:t>
            </w: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0AF1C2E5"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77CE88C8"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49624655"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ED7D31"/>
            <w:tcMar>
              <w:top w:w="60" w:type="dxa"/>
              <w:left w:w="100" w:type="dxa"/>
              <w:bottom w:w="60" w:type="dxa"/>
              <w:right w:w="100" w:type="dxa"/>
            </w:tcMar>
            <w:vAlign w:val="center"/>
          </w:tcPr>
          <w:p w14:paraId="5A311773" w14:textId="77777777" w:rsidR="00BA5C09" w:rsidRDefault="00000000">
            <w:pPr>
              <w:jc w:val="center"/>
            </w:pPr>
            <w:r>
              <w:rPr>
                <w:b/>
                <w:bCs/>
                <w:color w:val="FFFFFF"/>
                <w:sz w:val="16"/>
                <w:szCs w:val="16"/>
              </w:rPr>
              <w:t>Data exfiltration</w:t>
            </w:r>
          </w:p>
        </w:tc>
        <w:tc>
          <w:tcPr>
            <w:tcW w:w="1860" w:type="dxa"/>
            <w:tcBorders>
              <w:top w:val="single" w:sz="1" w:space="0" w:color="888888"/>
              <w:left w:val="single" w:sz="1" w:space="0" w:color="888888"/>
              <w:bottom w:val="single" w:sz="1" w:space="0" w:color="888888"/>
              <w:right w:val="single" w:sz="1" w:space="0" w:color="888888"/>
            </w:tcBorders>
            <w:shd w:val="clear" w:color="auto" w:fill="C00000"/>
            <w:tcMar>
              <w:top w:w="60" w:type="dxa"/>
              <w:left w:w="100" w:type="dxa"/>
              <w:bottom w:w="60" w:type="dxa"/>
              <w:right w:w="100" w:type="dxa"/>
            </w:tcMar>
            <w:vAlign w:val="center"/>
          </w:tcPr>
          <w:p w14:paraId="285D7830" w14:textId="77777777" w:rsidR="00BA5C09" w:rsidRDefault="00000000">
            <w:pPr>
              <w:jc w:val="center"/>
            </w:pPr>
            <w:r>
              <w:rPr>
                <w:b/>
                <w:bCs/>
                <w:color w:val="FFFFFF"/>
                <w:sz w:val="16"/>
                <w:szCs w:val="16"/>
              </w:rPr>
              <w:t>Insider threat</w:t>
            </w:r>
          </w:p>
        </w:tc>
      </w:tr>
      <w:tr w:rsidR="00BA5C09" w14:paraId="7BAEFB43"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210065E3" w14:textId="77777777" w:rsidR="00BA5C09" w:rsidRDefault="00000000">
            <w:pPr>
              <w:jc w:val="center"/>
            </w:pPr>
            <w:r>
              <w:rPr>
                <w:color w:val="000000"/>
                <w:sz w:val="16"/>
                <w:szCs w:val="16"/>
              </w:rPr>
              <w:t>Low</w:t>
            </w: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2751832B"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7D21C9F5"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144DA4D5"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01B9375B" w14:textId="77777777" w:rsidR="00BA5C09" w:rsidRDefault="00BA5C09">
            <w:pPr>
              <w:jc w:val="center"/>
            </w:pPr>
          </w:p>
        </w:tc>
        <w:tc>
          <w:tcPr>
            <w:tcW w:w="1860" w:type="dxa"/>
            <w:tcBorders>
              <w:top w:val="single" w:sz="1" w:space="0" w:color="888888"/>
              <w:left w:val="single" w:sz="1" w:space="0" w:color="888888"/>
              <w:bottom w:val="single" w:sz="1" w:space="0" w:color="888888"/>
              <w:right w:val="single" w:sz="1" w:space="0" w:color="888888"/>
            </w:tcBorders>
            <w:shd w:val="clear" w:color="auto" w:fill="C00000"/>
            <w:tcMar>
              <w:top w:w="60" w:type="dxa"/>
              <w:left w:w="100" w:type="dxa"/>
              <w:bottom w:w="60" w:type="dxa"/>
              <w:right w:w="100" w:type="dxa"/>
            </w:tcMar>
            <w:vAlign w:val="center"/>
          </w:tcPr>
          <w:p w14:paraId="398D4579" w14:textId="77777777" w:rsidR="00BA5C09" w:rsidRDefault="00000000">
            <w:pPr>
              <w:jc w:val="center"/>
            </w:pPr>
            <w:r>
              <w:rPr>
                <w:b/>
                <w:bCs/>
                <w:color w:val="FFFFFF"/>
                <w:sz w:val="16"/>
                <w:szCs w:val="16"/>
              </w:rPr>
              <w:t>Ransomware</w:t>
            </w:r>
          </w:p>
        </w:tc>
      </w:tr>
      <w:tr w:rsidR="00BA5C09" w14:paraId="54044EE9" w14:textId="77777777">
        <w:tblPrEx>
          <w:tblCellMar>
            <w:top w:w="0" w:type="dxa"/>
            <w:bottom w:w="0" w:type="dxa"/>
          </w:tblCellMar>
        </w:tblPrEx>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02EA350D" w14:textId="77777777" w:rsidR="00BA5C09" w:rsidRDefault="00000000">
            <w:pPr>
              <w:jc w:val="center"/>
            </w:pPr>
            <w:r>
              <w:rPr>
                <w:color w:val="000000"/>
                <w:sz w:val="16"/>
                <w:szCs w:val="16"/>
              </w:rPr>
              <w:t>Rare</w:t>
            </w: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6E01E300"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596E6871"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7BA9A81D" w14:textId="77777777" w:rsidR="00BA5C09" w:rsidRDefault="00BA5C09">
            <w:pPr>
              <w:jc w:val="center"/>
            </w:pPr>
          </w:p>
        </w:tc>
        <w:tc>
          <w:tcPr>
            <w:tcW w:w="1400" w:type="dxa"/>
            <w:tcBorders>
              <w:top w:val="single" w:sz="1" w:space="0" w:color="888888"/>
              <w:left w:val="single" w:sz="1" w:space="0" w:color="888888"/>
              <w:bottom w:val="single" w:sz="1" w:space="0" w:color="888888"/>
              <w:right w:val="single" w:sz="1" w:space="0" w:color="888888"/>
            </w:tcBorders>
            <w:shd w:val="clear" w:color="auto" w:fill="FFFFFF"/>
            <w:tcMar>
              <w:top w:w="60" w:type="dxa"/>
              <w:left w:w="100" w:type="dxa"/>
              <w:bottom w:w="60" w:type="dxa"/>
              <w:right w:w="100" w:type="dxa"/>
            </w:tcMar>
            <w:vAlign w:val="center"/>
          </w:tcPr>
          <w:p w14:paraId="36A36469" w14:textId="77777777" w:rsidR="00BA5C09" w:rsidRDefault="00BA5C09">
            <w:pPr>
              <w:jc w:val="center"/>
            </w:pPr>
          </w:p>
        </w:tc>
        <w:tc>
          <w:tcPr>
            <w:tcW w:w="1860" w:type="dxa"/>
            <w:tcBorders>
              <w:top w:val="single" w:sz="1" w:space="0" w:color="888888"/>
              <w:left w:val="single" w:sz="1" w:space="0" w:color="888888"/>
              <w:bottom w:val="single" w:sz="1" w:space="0" w:color="888888"/>
              <w:right w:val="single" w:sz="1" w:space="0" w:color="888888"/>
            </w:tcBorders>
            <w:shd w:val="clear" w:color="auto" w:fill="C00000"/>
            <w:tcMar>
              <w:top w:w="60" w:type="dxa"/>
              <w:left w:w="100" w:type="dxa"/>
              <w:bottom w:w="60" w:type="dxa"/>
              <w:right w:w="100" w:type="dxa"/>
            </w:tcMar>
            <w:vAlign w:val="center"/>
          </w:tcPr>
          <w:p w14:paraId="354FDDFF" w14:textId="77777777" w:rsidR="00BA5C09" w:rsidRDefault="00000000">
            <w:pPr>
              <w:jc w:val="center"/>
            </w:pPr>
            <w:r>
              <w:rPr>
                <w:b/>
                <w:bCs/>
                <w:color w:val="FFFFFF"/>
                <w:sz w:val="16"/>
                <w:szCs w:val="16"/>
              </w:rPr>
              <w:t>Nation-state attack</w:t>
            </w:r>
          </w:p>
        </w:tc>
      </w:tr>
    </w:tbl>
    <w:p w14:paraId="4454213A" w14:textId="77777777" w:rsidR="00BA5C09" w:rsidRDefault="00000000">
      <w:pPr>
        <w:spacing w:before="60" w:after="80" w:line="360" w:lineRule="auto"/>
        <w:jc w:val="center"/>
      </w:pPr>
      <w:r>
        <w:rPr>
          <w:i/>
          <w:iCs/>
          <w:color w:val="000000"/>
        </w:rPr>
        <w:t>Figure 2: FSB 5×5 risk matrix. Red cells = critical risk; amber cells = high risk. Source: adapted from NIST (2024) and ISO (2022).</w:t>
      </w:r>
    </w:p>
    <w:p w14:paraId="6A8B8D14" w14:textId="77777777" w:rsidR="00BA5C09" w:rsidRDefault="00BA5C09">
      <w:pPr>
        <w:spacing w:after="80"/>
      </w:pPr>
    </w:p>
    <w:p w14:paraId="06B01E66" w14:textId="77777777" w:rsidR="00BA5C09" w:rsidRDefault="00000000">
      <w:pPr>
        <w:spacing w:before="200" w:after="100" w:line="360" w:lineRule="auto"/>
      </w:pPr>
      <w:proofErr w:type="gramStart"/>
      <w:r>
        <w:rPr>
          <w:b/>
          <w:bCs/>
          <w:color w:val="000000"/>
          <w:sz w:val="24"/>
          <w:szCs w:val="24"/>
        </w:rPr>
        <w:t>3.3  Identity</w:t>
      </w:r>
      <w:proofErr w:type="gramEnd"/>
      <w:r>
        <w:rPr>
          <w:b/>
          <w:bCs/>
          <w:color w:val="000000"/>
          <w:sz w:val="24"/>
          <w:szCs w:val="24"/>
        </w:rPr>
        <w:t xml:space="preserve"> and Access Management (IAM) and BYOD</w:t>
      </w:r>
    </w:p>
    <w:p w14:paraId="2D8AD246" w14:textId="77777777" w:rsidR="00BA5C09" w:rsidRDefault="00000000">
      <w:pPr>
        <w:spacing w:after="160" w:line="360" w:lineRule="auto"/>
        <w:jc w:val="both"/>
      </w:pPr>
      <w:r>
        <w:rPr>
          <w:color w:val="000000"/>
          <w:sz w:val="24"/>
          <w:szCs w:val="24"/>
        </w:rPr>
        <w:t xml:space="preserve">Since FSB permits network access from unmanaged personal devices, the conventional network perimeter is no longer operationally viable (Rose et al., 2020). Zero Trust Architecture </w:t>
      </w:r>
      <w:r>
        <w:rPr>
          <w:color w:val="000000"/>
          <w:sz w:val="24"/>
          <w:szCs w:val="24"/>
        </w:rPr>
        <w:lastRenderedPageBreak/>
        <w:t xml:space="preserve">serves as the primary technical enforcer: FSB requires robust IAM incorporating MFA, biometrics and SSO (Nsuka, 2025). Access will be dynamically assigned according to verified identity, device security posture and </w:t>
      </w:r>
      <w:proofErr w:type="spellStart"/>
      <w:r>
        <w:rPr>
          <w:color w:val="000000"/>
          <w:sz w:val="24"/>
          <w:szCs w:val="24"/>
        </w:rPr>
        <w:t>behavioural</w:t>
      </w:r>
      <w:proofErr w:type="spellEnd"/>
      <w:r>
        <w:rPr>
          <w:color w:val="000000"/>
          <w:sz w:val="24"/>
          <w:szCs w:val="24"/>
        </w:rPr>
        <w:t xml:space="preserve"> contextual indicators. MDM and MAM will be implemented to cryptographically separate corporate data from personal applications on BYOD devices — permitting remote wipe of sensitive information without compromising user privacy, in compliance with GDPR Article 5 (White and McLaughlin, 2023).</w:t>
      </w:r>
    </w:p>
    <w:p w14:paraId="41B18924" w14:textId="77777777" w:rsidR="00BA5C09" w:rsidRDefault="00000000">
      <w:pPr>
        <w:spacing w:before="200" w:after="100" w:line="360" w:lineRule="auto"/>
      </w:pPr>
      <w:proofErr w:type="gramStart"/>
      <w:r>
        <w:rPr>
          <w:b/>
          <w:bCs/>
          <w:color w:val="000000"/>
          <w:sz w:val="24"/>
          <w:szCs w:val="24"/>
        </w:rPr>
        <w:t>3.4  Cloud</w:t>
      </w:r>
      <w:proofErr w:type="gramEnd"/>
      <w:r>
        <w:rPr>
          <w:b/>
          <w:bCs/>
          <w:color w:val="000000"/>
          <w:sz w:val="24"/>
          <w:szCs w:val="24"/>
        </w:rPr>
        <w:t xml:space="preserve"> Security and Shared Responsibility</w:t>
      </w:r>
    </w:p>
    <w:p w14:paraId="52E70F61" w14:textId="77777777" w:rsidR="00BA5C09" w:rsidRDefault="00000000">
      <w:pPr>
        <w:spacing w:after="160" w:line="360" w:lineRule="auto"/>
        <w:jc w:val="both"/>
      </w:pPr>
      <w:r>
        <w:rPr>
          <w:color w:val="000000"/>
          <w:sz w:val="24"/>
          <w:szCs w:val="24"/>
        </w:rPr>
        <w:t>With over 90% of FSB's infrastructure externally hosted, cloud security governance is a critical priority. FSB must formally document its understanding of the shared responsibility model with each cloud provider, clearly delineating which security obligations rest with the provider and which remain with FSB. Misconfigurations arising from ambiguous shared responsibility boundaries represent a leading cause of cloud breaches (</w:t>
      </w:r>
      <w:proofErr w:type="spellStart"/>
      <w:r>
        <w:rPr>
          <w:color w:val="000000"/>
          <w:sz w:val="24"/>
          <w:szCs w:val="24"/>
        </w:rPr>
        <w:t>Ramavarapu</w:t>
      </w:r>
      <w:proofErr w:type="spellEnd"/>
      <w:r>
        <w:rPr>
          <w:color w:val="000000"/>
          <w:sz w:val="24"/>
          <w:szCs w:val="24"/>
        </w:rPr>
        <w:t>, 2023). FSB must mandate continuous cloud security posture management (CSPM), enforce encryption of all data at rest using AES-256 and in transit using TLS 1.3, implement API gateways with capability-based authentication, and require SOC 2 Type II certification from all Tier-1 cloud providers as a contractual prerequisite. Multi-cloud strategy must be adopted to eliminate dangerous single-provider concentration risk as mandated by DORA (European Parliament and Council, 2022).</w:t>
      </w:r>
    </w:p>
    <w:p w14:paraId="0545EC43" w14:textId="77777777" w:rsidR="00BA5C09" w:rsidRDefault="00000000">
      <w:pPr>
        <w:spacing w:before="200" w:after="100" w:line="360" w:lineRule="auto"/>
      </w:pPr>
      <w:proofErr w:type="gramStart"/>
      <w:r>
        <w:rPr>
          <w:b/>
          <w:bCs/>
          <w:color w:val="000000"/>
          <w:sz w:val="24"/>
          <w:szCs w:val="24"/>
        </w:rPr>
        <w:t>3.5  Data</w:t>
      </w:r>
      <w:proofErr w:type="gramEnd"/>
      <w:r>
        <w:rPr>
          <w:b/>
          <w:bCs/>
          <w:color w:val="000000"/>
          <w:sz w:val="24"/>
          <w:szCs w:val="24"/>
        </w:rPr>
        <w:t xml:space="preserve"> Protection, Encryption, and Insider Threat</w:t>
      </w:r>
    </w:p>
    <w:p w14:paraId="668568A8" w14:textId="77777777" w:rsidR="00BA5C09" w:rsidRDefault="00000000">
      <w:pPr>
        <w:spacing w:after="160" w:line="360" w:lineRule="auto"/>
        <w:jc w:val="both"/>
      </w:pPr>
      <w:r>
        <w:rPr>
          <w:color w:val="000000"/>
          <w:sz w:val="24"/>
          <w:szCs w:val="24"/>
        </w:rPr>
        <w:t xml:space="preserve">FSB will implement stringent data classification levels — Public, Internal, Confidential, and Strictly Confidential — and enforce encryption standards conforming to ISO/IEC 27001:2022 Annex A (ISO, 2022). All customer PII and financial transaction data will be encrypted at rest with AES-256 and in transit with TLS 1.3. Insider threats represent one of the most significant and underestimated risks to financial institutions (Huy et al., 2025). User and Entity </w:t>
      </w:r>
      <w:proofErr w:type="spellStart"/>
      <w:r>
        <w:rPr>
          <w:color w:val="000000"/>
          <w:sz w:val="24"/>
          <w:szCs w:val="24"/>
        </w:rPr>
        <w:t>Behaviour</w:t>
      </w:r>
      <w:proofErr w:type="spellEnd"/>
      <w:r>
        <w:rPr>
          <w:color w:val="000000"/>
          <w:sz w:val="24"/>
          <w:szCs w:val="24"/>
        </w:rPr>
        <w:t xml:space="preserve"> Analytics (UEBA) will therefore be implemented across all employee, contractor, and privileged accounts, generating baseline </w:t>
      </w:r>
      <w:proofErr w:type="spellStart"/>
      <w:r>
        <w:rPr>
          <w:color w:val="000000"/>
          <w:sz w:val="24"/>
          <w:szCs w:val="24"/>
        </w:rPr>
        <w:t>behaviour</w:t>
      </w:r>
      <w:proofErr w:type="spellEnd"/>
      <w:r>
        <w:rPr>
          <w:color w:val="000000"/>
          <w:sz w:val="24"/>
          <w:szCs w:val="24"/>
        </w:rPr>
        <w:t xml:space="preserve"> profiles for each entity. Anomalous activities — including large data exports, atypical geolocation access, or unusual privileged actions — will trigger automated access revocation and immediate SOC notification.</w:t>
      </w:r>
    </w:p>
    <w:p w14:paraId="270CD637" w14:textId="77777777" w:rsidR="00BA5C09" w:rsidRDefault="00000000">
      <w:pPr>
        <w:spacing w:before="200" w:after="100" w:line="360" w:lineRule="auto"/>
      </w:pPr>
      <w:proofErr w:type="gramStart"/>
      <w:r>
        <w:rPr>
          <w:b/>
          <w:bCs/>
          <w:color w:val="000000"/>
          <w:sz w:val="24"/>
          <w:szCs w:val="24"/>
        </w:rPr>
        <w:t>3.6  Incident</w:t>
      </w:r>
      <w:proofErr w:type="gramEnd"/>
      <w:r>
        <w:rPr>
          <w:b/>
          <w:bCs/>
          <w:color w:val="000000"/>
          <w:sz w:val="24"/>
          <w:szCs w:val="24"/>
        </w:rPr>
        <w:t xml:space="preserve"> Response, SLAs, and Business Continuity</w:t>
      </w:r>
    </w:p>
    <w:p w14:paraId="3282C603" w14:textId="77777777" w:rsidR="00BA5C09" w:rsidRDefault="00000000">
      <w:pPr>
        <w:spacing w:after="160" w:line="360" w:lineRule="auto"/>
        <w:jc w:val="both"/>
      </w:pPr>
      <w:r>
        <w:rPr>
          <w:color w:val="000000"/>
          <w:sz w:val="24"/>
          <w:szCs w:val="24"/>
        </w:rPr>
        <w:t>FSB must establish a Security Operations Centre (SOC) equipped with SIEM and SOAR platforms (</w:t>
      </w:r>
      <w:proofErr w:type="spellStart"/>
      <w:r>
        <w:rPr>
          <w:color w:val="000000"/>
          <w:sz w:val="24"/>
          <w:szCs w:val="24"/>
        </w:rPr>
        <w:t>Ramavarapu</w:t>
      </w:r>
      <w:proofErr w:type="spellEnd"/>
      <w:r>
        <w:rPr>
          <w:color w:val="000000"/>
          <w:sz w:val="24"/>
          <w:szCs w:val="24"/>
        </w:rPr>
        <w:t xml:space="preserve">, 2023). An incident response plan grounded in ITIL 4 must be </w:t>
      </w:r>
      <w:r>
        <w:rPr>
          <w:color w:val="000000"/>
          <w:sz w:val="24"/>
          <w:szCs w:val="24"/>
        </w:rPr>
        <w:lastRenderedPageBreak/>
        <w:t xml:space="preserve">periodically tested through simulated </w:t>
      </w:r>
      <w:proofErr w:type="spellStart"/>
      <w:r>
        <w:rPr>
          <w:color w:val="000000"/>
          <w:sz w:val="24"/>
          <w:szCs w:val="24"/>
        </w:rPr>
        <w:t>cyber attack</w:t>
      </w:r>
      <w:proofErr w:type="spellEnd"/>
      <w:r>
        <w:rPr>
          <w:color w:val="000000"/>
          <w:sz w:val="24"/>
          <w:szCs w:val="24"/>
        </w:rPr>
        <w:t xml:space="preserve"> exercises (White and McLaughlin, 2023). Upon confirmed breach, FSB must isolate affected systems and notify the relevant supervisory authority within the 72-hour window mandated by GDPR Article 33 (European Parliament, 2022) and within DORA-specified reporting timeframes (European Parliament and Council, 2022). Table 4 below codifies the minimum SLA obligations for all cloud service providers.</w:t>
      </w:r>
    </w:p>
    <w:p w14:paraId="5DF3263F" w14:textId="77777777" w:rsidR="00BA5C09" w:rsidRDefault="00000000">
      <w:pPr>
        <w:spacing w:before="120" w:after="80" w:line="360" w:lineRule="auto"/>
        <w:jc w:val="center"/>
      </w:pPr>
      <w:r>
        <w:rPr>
          <w:b/>
          <w:bCs/>
          <w:color w:val="000000"/>
          <w:sz w:val="22"/>
          <w:szCs w:val="22"/>
        </w:rPr>
        <w:t>Table 4 — Service Level Agreement (SLA) Requirements</w:t>
      </w:r>
    </w:p>
    <w:tbl>
      <w:tblPr>
        <w:tblW w:w="92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1800"/>
        <w:gridCol w:w="4460"/>
      </w:tblGrid>
      <w:tr w:rsidR="00BA5C09" w14:paraId="2FF4FB29" w14:textId="77777777">
        <w:tblPrEx>
          <w:tblCellMar>
            <w:top w:w="0" w:type="dxa"/>
            <w:bottom w:w="0" w:type="dxa"/>
          </w:tblCellMar>
        </w:tblPrEx>
        <w:tc>
          <w:tcPr>
            <w:tcW w:w="3000" w:type="dxa"/>
            <w:tcBorders>
              <w:top w:val="single" w:sz="1" w:space="0" w:color="888888"/>
              <w:left w:val="single" w:sz="1" w:space="0" w:color="888888"/>
              <w:bottom w:val="single" w:sz="1" w:space="0" w:color="888888"/>
              <w:right w:val="single" w:sz="1" w:space="0" w:color="888888"/>
            </w:tcBorders>
            <w:shd w:val="clear" w:color="auto" w:fill="1F3864"/>
            <w:tcMar>
              <w:top w:w="80" w:type="dxa"/>
              <w:left w:w="120" w:type="dxa"/>
              <w:bottom w:w="80" w:type="dxa"/>
              <w:right w:w="120" w:type="dxa"/>
            </w:tcMar>
            <w:vAlign w:val="center"/>
          </w:tcPr>
          <w:p w14:paraId="540F31D3" w14:textId="77777777" w:rsidR="00BA5C09" w:rsidRDefault="00000000">
            <w:pPr>
              <w:spacing w:line="260" w:lineRule="auto"/>
            </w:pPr>
            <w:r>
              <w:rPr>
                <w:b/>
                <w:bCs/>
                <w:color w:val="FFFFFF"/>
                <w:sz w:val="18"/>
                <w:szCs w:val="18"/>
              </w:rPr>
              <w:t>SLA Parameter</w:t>
            </w:r>
          </w:p>
        </w:tc>
        <w:tc>
          <w:tcPr>
            <w:tcW w:w="1800" w:type="dxa"/>
            <w:tcBorders>
              <w:top w:val="single" w:sz="1" w:space="0" w:color="888888"/>
              <w:left w:val="single" w:sz="1" w:space="0" w:color="888888"/>
              <w:bottom w:val="single" w:sz="1" w:space="0" w:color="888888"/>
              <w:right w:val="single" w:sz="1" w:space="0" w:color="888888"/>
            </w:tcBorders>
            <w:shd w:val="clear" w:color="auto" w:fill="1F3864"/>
            <w:tcMar>
              <w:top w:w="80" w:type="dxa"/>
              <w:left w:w="120" w:type="dxa"/>
              <w:bottom w:w="80" w:type="dxa"/>
              <w:right w:w="120" w:type="dxa"/>
            </w:tcMar>
            <w:vAlign w:val="center"/>
          </w:tcPr>
          <w:p w14:paraId="65F75DEA" w14:textId="77777777" w:rsidR="00BA5C09" w:rsidRDefault="00000000">
            <w:pPr>
              <w:spacing w:line="260" w:lineRule="auto"/>
            </w:pPr>
            <w:r>
              <w:rPr>
                <w:b/>
                <w:bCs/>
                <w:color w:val="FFFFFF"/>
                <w:sz w:val="18"/>
                <w:szCs w:val="18"/>
              </w:rPr>
              <w:t>Target</w:t>
            </w:r>
          </w:p>
        </w:tc>
        <w:tc>
          <w:tcPr>
            <w:tcW w:w="4460" w:type="dxa"/>
            <w:tcBorders>
              <w:top w:val="single" w:sz="1" w:space="0" w:color="888888"/>
              <w:left w:val="single" w:sz="1" w:space="0" w:color="888888"/>
              <w:bottom w:val="single" w:sz="1" w:space="0" w:color="888888"/>
              <w:right w:val="single" w:sz="1" w:space="0" w:color="888888"/>
            </w:tcBorders>
            <w:shd w:val="clear" w:color="auto" w:fill="1F3864"/>
            <w:tcMar>
              <w:top w:w="80" w:type="dxa"/>
              <w:left w:w="120" w:type="dxa"/>
              <w:bottom w:w="80" w:type="dxa"/>
              <w:right w:w="120" w:type="dxa"/>
            </w:tcMar>
            <w:vAlign w:val="center"/>
          </w:tcPr>
          <w:p w14:paraId="5DDADA49" w14:textId="77777777" w:rsidR="00BA5C09" w:rsidRDefault="00000000">
            <w:pPr>
              <w:spacing w:line="260" w:lineRule="auto"/>
            </w:pPr>
            <w:r>
              <w:rPr>
                <w:b/>
                <w:bCs/>
                <w:color w:val="FFFFFF"/>
                <w:sz w:val="18"/>
                <w:szCs w:val="18"/>
              </w:rPr>
              <w:t>Justification</w:t>
            </w:r>
          </w:p>
        </w:tc>
      </w:tr>
      <w:tr w:rsidR="00BA5C09" w14:paraId="4851E3E7" w14:textId="77777777">
        <w:tblPrEx>
          <w:tblCellMar>
            <w:top w:w="0" w:type="dxa"/>
            <w:bottom w:w="0" w:type="dxa"/>
          </w:tblCellMar>
        </w:tblPrEx>
        <w:tc>
          <w:tcPr>
            <w:tcW w:w="30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64542929" w14:textId="77777777" w:rsidR="00BA5C09" w:rsidRDefault="00000000">
            <w:pPr>
              <w:spacing w:line="260" w:lineRule="auto"/>
            </w:pPr>
            <w:r>
              <w:rPr>
                <w:color w:val="000000"/>
                <w:sz w:val="17"/>
                <w:szCs w:val="17"/>
              </w:rPr>
              <w:t>System uptime (core banking)</w:t>
            </w:r>
          </w:p>
        </w:tc>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0BBBFEDC" w14:textId="77777777" w:rsidR="00BA5C09" w:rsidRDefault="00000000">
            <w:pPr>
              <w:spacing w:line="260" w:lineRule="auto"/>
            </w:pPr>
            <w:r>
              <w:rPr>
                <w:color w:val="000000"/>
                <w:sz w:val="17"/>
                <w:szCs w:val="17"/>
              </w:rPr>
              <w:t>99.95%</w:t>
            </w:r>
          </w:p>
        </w:tc>
        <w:tc>
          <w:tcPr>
            <w:tcW w:w="44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462D0627" w14:textId="77777777" w:rsidR="00BA5C09" w:rsidRDefault="00000000">
            <w:pPr>
              <w:spacing w:line="260" w:lineRule="auto"/>
            </w:pPr>
            <w:r>
              <w:rPr>
                <w:color w:val="000000"/>
                <w:sz w:val="17"/>
                <w:szCs w:val="17"/>
              </w:rPr>
              <w:t>Aligns with DORA operational resilience requirements</w:t>
            </w:r>
          </w:p>
        </w:tc>
      </w:tr>
      <w:tr w:rsidR="00BA5C09" w14:paraId="2638BD85" w14:textId="77777777">
        <w:tblPrEx>
          <w:tblCellMar>
            <w:top w:w="0" w:type="dxa"/>
            <w:bottom w:w="0" w:type="dxa"/>
          </w:tblCellMar>
        </w:tblPrEx>
        <w:tc>
          <w:tcPr>
            <w:tcW w:w="30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08A0F7AD" w14:textId="77777777" w:rsidR="00BA5C09" w:rsidRDefault="00000000">
            <w:pPr>
              <w:spacing w:line="260" w:lineRule="auto"/>
            </w:pPr>
            <w:r>
              <w:rPr>
                <w:color w:val="000000"/>
                <w:sz w:val="17"/>
                <w:szCs w:val="17"/>
              </w:rPr>
              <w:t>Recovery Time Objective (RTO)</w:t>
            </w:r>
          </w:p>
        </w:tc>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224A6AC3" w14:textId="77777777" w:rsidR="00BA5C09" w:rsidRDefault="00000000">
            <w:pPr>
              <w:spacing w:line="260" w:lineRule="auto"/>
            </w:pPr>
            <w:r>
              <w:rPr>
                <w:color w:val="000000"/>
                <w:sz w:val="17"/>
                <w:szCs w:val="17"/>
              </w:rPr>
              <w:t>≤ 4 hours</w:t>
            </w:r>
          </w:p>
        </w:tc>
        <w:tc>
          <w:tcPr>
            <w:tcW w:w="44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1BEE7630" w14:textId="77777777" w:rsidR="00BA5C09" w:rsidRDefault="00000000">
            <w:pPr>
              <w:spacing w:line="260" w:lineRule="auto"/>
            </w:pPr>
            <w:r>
              <w:rPr>
                <w:color w:val="000000"/>
                <w:sz w:val="17"/>
                <w:szCs w:val="17"/>
              </w:rPr>
              <w:t>Limits revenue loss and reputational damage from outages</w:t>
            </w:r>
          </w:p>
        </w:tc>
      </w:tr>
      <w:tr w:rsidR="00BA5C09" w14:paraId="101B032C" w14:textId="77777777">
        <w:tblPrEx>
          <w:tblCellMar>
            <w:top w:w="0" w:type="dxa"/>
            <w:bottom w:w="0" w:type="dxa"/>
          </w:tblCellMar>
        </w:tblPrEx>
        <w:tc>
          <w:tcPr>
            <w:tcW w:w="30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69CB65FD" w14:textId="77777777" w:rsidR="00BA5C09" w:rsidRDefault="00000000">
            <w:pPr>
              <w:spacing w:line="260" w:lineRule="auto"/>
            </w:pPr>
            <w:r>
              <w:rPr>
                <w:color w:val="000000"/>
                <w:sz w:val="17"/>
                <w:szCs w:val="17"/>
              </w:rPr>
              <w:t>Recovery Point Objective (RPO)</w:t>
            </w:r>
          </w:p>
        </w:tc>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3B149079" w14:textId="77777777" w:rsidR="00BA5C09" w:rsidRDefault="00000000">
            <w:pPr>
              <w:spacing w:line="260" w:lineRule="auto"/>
            </w:pPr>
            <w:r>
              <w:rPr>
                <w:color w:val="000000"/>
                <w:sz w:val="17"/>
                <w:szCs w:val="17"/>
              </w:rPr>
              <w:t>≤ 1 hour</w:t>
            </w:r>
          </w:p>
        </w:tc>
        <w:tc>
          <w:tcPr>
            <w:tcW w:w="44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1EF74B93" w14:textId="77777777" w:rsidR="00BA5C09" w:rsidRDefault="00000000">
            <w:pPr>
              <w:spacing w:line="260" w:lineRule="auto"/>
            </w:pPr>
            <w:r>
              <w:rPr>
                <w:color w:val="000000"/>
                <w:sz w:val="17"/>
                <w:szCs w:val="17"/>
              </w:rPr>
              <w:t>Ensures minimal financial data loss; GDPR data integrity</w:t>
            </w:r>
          </w:p>
        </w:tc>
      </w:tr>
      <w:tr w:rsidR="00BA5C09" w14:paraId="1B6F0805" w14:textId="77777777">
        <w:tblPrEx>
          <w:tblCellMar>
            <w:top w:w="0" w:type="dxa"/>
            <w:bottom w:w="0" w:type="dxa"/>
          </w:tblCellMar>
        </w:tblPrEx>
        <w:tc>
          <w:tcPr>
            <w:tcW w:w="30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77556E5F" w14:textId="77777777" w:rsidR="00BA5C09" w:rsidRDefault="00000000">
            <w:pPr>
              <w:spacing w:line="260" w:lineRule="auto"/>
            </w:pPr>
            <w:r>
              <w:rPr>
                <w:color w:val="000000"/>
                <w:sz w:val="17"/>
                <w:szCs w:val="17"/>
              </w:rPr>
              <w:t>Incident response — initial triage</w:t>
            </w:r>
          </w:p>
        </w:tc>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237825FA" w14:textId="77777777" w:rsidR="00BA5C09" w:rsidRDefault="00000000">
            <w:pPr>
              <w:spacing w:line="260" w:lineRule="auto"/>
            </w:pPr>
            <w:r>
              <w:rPr>
                <w:color w:val="000000"/>
                <w:sz w:val="17"/>
                <w:szCs w:val="17"/>
              </w:rPr>
              <w:t>≤ 15 minutes</w:t>
            </w:r>
          </w:p>
        </w:tc>
        <w:tc>
          <w:tcPr>
            <w:tcW w:w="44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5355BE36" w14:textId="77777777" w:rsidR="00BA5C09" w:rsidRDefault="00000000">
            <w:pPr>
              <w:spacing w:line="260" w:lineRule="auto"/>
            </w:pPr>
            <w:r>
              <w:rPr>
                <w:color w:val="000000"/>
                <w:sz w:val="17"/>
                <w:szCs w:val="17"/>
              </w:rPr>
              <w:t>Critical for containing breach blast radius</w:t>
            </w:r>
          </w:p>
        </w:tc>
      </w:tr>
      <w:tr w:rsidR="00BA5C09" w14:paraId="057654C5" w14:textId="77777777">
        <w:tblPrEx>
          <w:tblCellMar>
            <w:top w:w="0" w:type="dxa"/>
            <w:bottom w:w="0" w:type="dxa"/>
          </w:tblCellMar>
        </w:tblPrEx>
        <w:tc>
          <w:tcPr>
            <w:tcW w:w="30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0D935899" w14:textId="77777777" w:rsidR="00BA5C09" w:rsidRDefault="00000000">
            <w:pPr>
              <w:spacing w:line="260" w:lineRule="auto"/>
            </w:pPr>
            <w:r>
              <w:rPr>
                <w:color w:val="000000"/>
                <w:sz w:val="17"/>
                <w:szCs w:val="17"/>
              </w:rPr>
              <w:t>GDPR breach notification</w:t>
            </w:r>
          </w:p>
        </w:tc>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68BAA292" w14:textId="77777777" w:rsidR="00BA5C09" w:rsidRDefault="00000000">
            <w:pPr>
              <w:spacing w:line="260" w:lineRule="auto"/>
            </w:pPr>
            <w:r>
              <w:rPr>
                <w:color w:val="000000"/>
                <w:sz w:val="17"/>
                <w:szCs w:val="17"/>
              </w:rPr>
              <w:t>≤ 72 hours</w:t>
            </w:r>
          </w:p>
        </w:tc>
        <w:tc>
          <w:tcPr>
            <w:tcW w:w="44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5AFBB5B2" w14:textId="77777777" w:rsidR="00BA5C09" w:rsidRDefault="00000000">
            <w:pPr>
              <w:spacing w:line="260" w:lineRule="auto"/>
            </w:pPr>
            <w:r>
              <w:rPr>
                <w:color w:val="000000"/>
                <w:sz w:val="17"/>
                <w:szCs w:val="17"/>
              </w:rPr>
              <w:t>Mandatory under GDPR Article 33</w:t>
            </w:r>
          </w:p>
        </w:tc>
      </w:tr>
      <w:tr w:rsidR="00BA5C09" w14:paraId="0A7E7E54" w14:textId="77777777">
        <w:tblPrEx>
          <w:tblCellMar>
            <w:top w:w="0" w:type="dxa"/>
            <w:bottom w:w="0" w:type="dxa"/>
          </w:tblCellMar>
        </w:tblPrEx>
        <w:tc>
          <w:tcPr>
            <w:tcW w:w="30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279EBAA5" w14:textId="77777777" w:rsidR="00BA5C09" w:rsidRDefault="00000000">
            <w:pPr>
              <w:spacing w:line="260" w:lineRule="auto"/>
            </w:pPr>
            <w:r>
              <w:rPr>
                <w:color w:val="000000"/>
                <w:sz w:val="17"/>
                <w:szCs w:val="17"/>
              </w:rPr>
              <w:t>Vendor security audit cycle</w:t>
            </w:r>
          </w:p>
        </w:tc>
        <w:tc>
          <w:tcPr>
            <w:tcW w:w="180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0F6B24CF" w14:textId="77777777" w:rsidR="00BA5C09" w:rsidRDefault="00000000">
            <w:pPr>
              <w:spacing w:line="260" w:lineRule="auto"/>
            </w:pPr>
            <w:r>
              <w:rPr>
                <w:color w:val="000000"/>
                <w:sz w:val="17"/>
                <w:szCs w:val="17"/>
              </w:rPr>
              <w:t>Annual minimum</w:t>
            </w:r>
          </w:p>
        </w:tc>
        <w:tc>
          <w:tcPr>
            <w:tcW w:w="4460" w:type="dxa"/>
            <w:tcBorders>
              <w:top w:val="single" w:sz="1" w:space="0" w:color="888888"/>
              <w:left w:val="single" w:sz="1" w:space="0" w:color="888888"/>
              <w:bottom w:val="single" w:sz="1" w:space="0" w:color="888888"/>
              <w:right w:val="single" w:sz="1" w:space="0" w:color="888888"/>
            </w:tcBorders>
            <w:shd w:val="clear" w:color="auto" w:fill="FFFFFF"/>
            <w:tcMar>
              <w:top w:w="80" w:type="dxa"/>
              <w:left w:w="120" w:type="dxa"/>
              <w:bottom w:w="80" w:type="dxa"/>
              <w:right w:w="120" w:type="dxa"/>
            </w:tcMar>
            <w:vAlign w:val="center"/>
          </w:tcPr>
          <w:p w14:paraId="1C6FDD03" w14:textId="77777777" w:rsidR="00BA5C09" w:rsidRDefault="00000000">
            <w:pPr>
              <w:spacing w:line="260" w:lineRule="auto"/>
            </w:pPr>
            <w:r>
              <w:rPr>
                <w:color w:val="000000"/>
                <w:sz w:val="17"/>
                <w:szCs w:val="17"/>
              </w:rPr>
              <w:t>DORA third-party risk management obligation</w:t>
            </w:r>
          </w:p>
        </w:tc>
      </w:tr>
    </w:tbl>
    <w:p w14:paraId="31C125DF" w14:textId="77777777" w:rsidR="00BA5C09" w:rsidRDefault="00000000">
      <w:pPr>
        <w:spacing w:before="60" w:after="80" w:line="360" w:lineRule="auto"/>
        <w:jc w:val="center"/>
      </w:pPr>
      <w:r>
        <w:rPr>
          <w:i/>
          <w:iCs/>
          <w:color w:val="000000"/>
        </w:rPr>
        <w:t xml:space="preserve">Table 4: FSB minimum SLA requirements for cloud providers and critical third-party vendors. Source: adapted from </w:t>
      </w:r>
      <w:proofErr w:type="spellStart"/>
      <w:r>
        <w:rPr>
          <w:i/>
          <w:iCs/>
          <w:color w:val="000000"/>
        </w:rPr>
        <w:t>Ramavarapu</w:t>
      </w:r>
      <w:proofErr w:type="spellEnd"/>
      <w:r>
        <w:rPr>
          <w:i/>
          <w:iCs/>
          <w:color w:val="000000"/>
        </w:rPr>
        <w:t xml:space="preserve"> (2023) and European Parliament and Council (2022).</w:t>
      </w:r>
    </w:p>
    <w:p w14:paraId="59D6AF2E" w14:textId="77777777" w:rsidR="00BA5C09" w:rsidRDefault="00BA5C09">
      <w:pPr>
        <w:spacing w:after="80"/>
      </w:pPr>
    </w:p>
    <w:p w14:paraId="1C0B6961" w14:textId="77777777" w:rsidR="00BA5C09" w:rsidRDefault="00000000">
      <w:pPr>
        <w:spacing w:before="280" w:after="120" w:line="360" w:lineRule="auto"/>
      </w:pPr>
      <w:r>
        <w:rPr>
          <w:b/>
          <w:bCs/>
          <w:color w:val="000000"/>
          <w:sz w:val="28"/>
          <w:szCs w:val="28"/>
        </w:rPr>
        <w:t>4. Why Security Regulations Must Continuously Evolve</w:t>
      </w:r>
    </w:p>
    <w:p w14:paraId="7CD676C4" w14:textId="77777777" w:rsidR="00BA5C09" w:rsidRDefault="00000000">
      <w:pPr>
        <w:spacing w:after="160" w:line="360" w:lineRule="auto"/>
        <w:jc w:val="both"/>
      </w:pPr>
      <w:r>
        <w:rPr>
          <w:color w:val="000000"/>
          <w:sz w:val="24"/>
          <w:szCs w:val="24"/>
        </w:rPr>
        <w:t>The proposition that a single, static regulatory framework can permanently safeguard financial institutions is fundamentally erroneous (WEF, 2025). The global risk environment has reached a velocity of change that consistently outpaces any fixed regulatory instrument. The following analysis across four thematic domains demonstrates why continuous regulatory evolution is an operational necessity rather than an administrative burden.</w:t>
      </w:r>
    </w:p>
    <w:p w14:paraId="4A9736D0" w14:textId="23AEBB33" w:rsidR="00BA5C09" w:rsidRDefault="00000000">
      <w:pPr>
        <w:spacing w:before="200" w:after="100" w:line="360" w:lineRule="auto"/>
      </w:pPr>
      <w:r>
        <w:rPr>
          <w:b/>
          <w:bCs/>
          <w:color w:val="000000"/>
          <w:sz w:val="24"/>
          <w:szCs w:val="24"/>
        </w:rPr>
        <w:t>4.1</w:t>
      </w:r>
      <w:r w:rsidR="00FF2196">
        <w:rPr>
          <w:b/>
          <w:bCs/>
          <w:color w:val="000000"/>
          <w:sz w:val="24"/>
          <w:szCs w:val="24"/>
        </w:rPr>
        <w:t xml:space="preserve"> </w:t>
      </w:r>
      <w:r>
        <w:rPr>
          <w:b/>
          <w:bCs/>
          <w:color w:val="000000"/>
          <w:sz w:val="24"/>
          <w:szCs w:val="24"/>
        </w:rPr>
        <w:t>Systemic Governance and Compliance Drivers</w:t>
      </w:r>
    </w:p>
    <w:p w14:paraId="261E9BE9" w14:textId="77777777" w:rsidR="00BA5C09" w:rsidRDefault="00000000">
      <w:pPr>
        <w:spacing w:after="160" w:line="360" w:lineRule="auto"/>
        <w:jc w:val="both"/>
      </w:pPr>
      <w:r>
        <w:rPr>
          <w:color w:val="000000"/>
          <w:sz w:val="24"/>
          <w:szCs w:val="24"/>
        </w:rPr>
        <w:t xml:space="preserve">Contemporary regulation has shifted from prescribing minimum compliance to mandating demonstrable operational resilience — </w:t>
      </w:r>
      <w:proofErr w:type="spellStart"/>
      <w:r>
        <w:rPr>
          <w:color w:val="000000"/>
          <w:sz w:val="24"/>
          <w:szCs w:val="24"/>
        </w:rPr>
        <w:t>recognising</w:t>
      </w:r>
      <w:proofErr w:type="spellEnd"/>
      <w:r>
        <w:rPr>
          <w:color w:val="000000"/>
          <w:sz w:val="24"/>
          <w:szCs w:val="24"/>
        </w:rPr>
        <w:t xml:space="preserve"> that breach is an operational inevitability rather than an anomalous event (European Parliament and Council, 2022). This shift carries significant structural implications: boards and executives are now subject to personal regulatory accountability for failed cybersecurity governance, transferring liability away from isolated IT departments and into boardroom responsibility (WEF, 2025). Furthermore, the pace of cloud-native financial transactions demands a transition from periodic manual audits to continuous, </w:t>
      </w:r>
      <w:proofErr w:type="spellStart"/>
      <w:r>
        <w:rPr>
          <w:color w:val="000000"/>
          <w:sz w:val="24"/>
          <w:szCs w:val="24"/>
        </w:rPr>
        <w:t>RegTech</w:t>
      </w:r>
      <w:proofErr w:type="spellEnd"/>
      <w:r>
        <w:rPr>
          <w:color w:val="000000"/>
          <w:sz w:val="24"/>
          <w:szCs w:val="24"/>
        </w:rPr>
        <w:t xml:space="preserve">-enabled compliance telemetry — a model ISO 27001:2022 explicitly supports through its ongoing improvement clauses (ISO, 2022). Multi-jurisdictional </w:t>
      </w:r>
      <w:r>
        <w:rPr>
          <w:color w:val="000000"/>
          <w:sz w:val="24"/>
          <w:szCs w:val="24"/>
        </w:rPr>
        <w:lastRenderedPageBreak/>
        <w:t>institutions such as FSB face an additional burden of regulatory fragmentation, where divergent geopolitical frameworks — including the EU AI Act, DORA, and GDPR alongside less restrictive non-EU regimes — create a complex, overlapping compliance landscape (European Parliament and Council, 2022). Compounding this, regulators increasingly mandate that financial institutions carry supply chain liability, treating third-party ICT failures as direct institutional risk rather than delegable vendor obligation (WEF, 2025).</w:t>
      </w:r>
    </w:p>
    <w:p w14:paraId="7F500505" w14:textId="0AA5DFAE" w:rsidR="00BA5C09" w:rsidRDefault="00000000">
      <w:pPr>
        <w:spacing w:before="200" w:after="100" w:line="360" w:lineRule="auto"/>
      </w:pPr>
      <w:r>
        <w:rPr>
          <w:b/>
          <w:bCs/>
          <w:color w:val="000000"/>
          <w:sz w:val="24"/>
          <w:szCs w:val="24"/>
        </w:rPr>
        <w:t>4.2 Artificial Intelligence: Risks and Regulatory Demands</w:t>
      </w:r>
    </w:p>
    <w:p w14:paraId="3BDD86AE" w14:textId="77777777" w:rsidR="00BA5C09" w:rsidRDefault="00000000">
      <w:pPr>
        <w:spacing w:after="160" w:line="360" w:lineRule="auto"/>
        <w:jc w:val="both"/>
      </w:pPr>
      <w:r>
        <w:rPr>
          <w:color w:val="000000"/>
          <w:sz w:val="24"/>
          <w:szCs w:val="24"/>
        </w:rPr>
        <w:t xml:space="preserve">The dual-use nature of artificial intelligence creates a fundamental regulatory tension between enabling legitimate defensive applications — such as SIEM-driven anomaly detection and </w:t>
      </w:r>
      <w:proofErr w:type="spellStart"/>
      <w:r>
        <w:rPr>
          <w:color w:val="000000"/>
          <w:sz w:val="24"/>
          <w:szCs w:val="24"/>
        </w:rPr>
        <w:t>behavioural</w:t>
      </w:r>
      <w:proofErr w:type="spellEnd"/>
      <w:r>
        <w:rPr>
          <w:color w:val="000000"/>
          <w:sz w:val="24"/>
          <w:szCs w:val="24"/>
        </w:rPr>
        <w:t xml:space="preserve"> analytics — and constraining adversarial </w:t>
      </w:r>
      <w:proofErr w:type="spellStart"/>
      <w:r>
        <w:rPr>
          <w:color w:val="000000"/>
          <w:sz w:val="24"/>
          <w:szCs w:val="24"/>
        </w:rPr>
        <w:t>weaponisation</w:t>
      </w:r>
      <w:proofErr w:type="spellEnd"/>
      <w:r>
        <w:rPr>
          <w:color w:val="000000"/>
          <w:sz w:val="24"/>
          <w:szCs w:val="24"/>
        </w:rPr>
        <w:t>, including deepfake-enabled credential fraud and AI-generated phishing campaigns (WEF, 2025). Deepfake authentication attacks now necessitate regulatory mandates for cryptographic hardware-based MFA as a minimum standard, while AI-generated social engineering via large language models demands ongoing, human-centric security awareness training embedded within institutional culture (WEF, 2025). The widespread adoption of machine learning in fraud detection also introduces the risk of adversarial data poisoning attacks against training datasets, requiring regulatory standards for ML model integrity verification. Simultaneously, the opaque nature of deep learning models conflicts directly with existing regulatory demands for transparency in automated financial decisions, requiring the development of explainable AI frameworks that balance innovation with consumer rights (European Parliament and Council, 2022).</w:t>
      </w:r>
    </w:p>
    <w:p w14:paraId="3C849069" w14:textId="04109161" w:rsidR="00BA5C09" w:rsidRDefault="00000000">
      <w:pPr>
        <w:spacing w:before="200" w:after="100" w:line="360" w:lineRule="auto"/>
      </w:pPr>
      <w:r>
        <w:rPr>
          <w:b/>
          <w:bCs/>
          <w:color w:val="000000"/>
          <w:sz w:val="24"/>
          <w:szCs w:val="24"/>
        </w:rPr>
        <w:t>4.3 Cloud Architecture and Infrastructure Risks</w:t>
      </w:r>
    </w:p>
    <w:p w14:paraId="44A4E5C2" w14:textId="77777777" w:rsidR="00BA5C09" w:rsidRDefault="00000000">
      <w:pPr>
        <w:spacing w:after="160" w:line="360" w:lineRule="auto"/>
        <w:jc w:val="both"/>
      </w:pPr>
      <w:r>
        <w:rPr>
          <w:color w:val="000000"/>
          <w:sz w:val="24"/>
          <w:szCs w:val="24"/>
        </w:rPr>
        <w:t>The concentration of global financial services across a small number of hyperscale cloud providers creates systemic macro-risk: a single successful attack on a major provider could simultaneously disrupt dozens of institutions, necessitating regulatory mandates for multi-cloud resilience and geographic distribution (</w:t>
      </w:r>
      <w:proofErr w:type="spellStart"/>
      <w:r>
        <w:rPr>
          <w:color w:val="000000"/>
          <w:sz w:val="24"/>
          <w:szCs w:val="24"/>
        </w:rPr>
        <w:t>Ramavarapu</w:t>
      </w:r>
      <w:proofErr w:type="spellEnd"/>
      <w:r>
        <w:rPr>
          <w:color w:val="000000"/>
          <w:sz w:val="24"/>
          <w:szCs w:val="24"/>
        </w:rPr>
        <w:t xml:space="preserve">, 2023). Persistent misunderstanding of the shared responsibility model between institutions and cloud providers has prompted regulators to define explicit liability boundaries, requiring banks to demonstrate secure configuration of their cloud estates rather than assuming provider-level protection (White and McLaughlin, 2023). As cloud-native architectures dissolve physical network perimeters, regulators are progressively mandating identity-based Zero Trust frameworks as the baseline security standard, rather than perimeter-based models (Rose et al., 2020). The proliferation of APIs and microservices executing autonomous financial transactions has simultaneously </w:t>
      </w:r>
      <w:r>
        <w:rPr>
          <w:color w:val="000000"/>
          <w:sz w:val="24"/>
          <w:szCs w:val="24"/>
        </w:rPr>
        <w:lastRenderedPageBreak/>
        <w:t>elevated non-human identity management — the governance of service account credentials and API keys — into an area of active regulatory scrutiny, exemplified by PCI DSS 4.0 (</w:t>
      </w:r>
      <w:proofErr w:type="spellStart"/>
      <w:r>
        <w:rPr>
          <w:color w:val="000000"/>
          <w:sz w:val="24"/>
          <w:szCs w:val="24"/>
        </w:rPr>
        <w:t>Ramavarapu</w:t>
      </w:r>
      <w:proofErr w:type="spellEnd"/>
      <w:r>
        <w:rPr>
          <w:color w:val="000000"/>
          <w:sz w:val="24"/>
          <w:szCs w:val="24"/>
        </w:rPr>
        <w:t>, 2023).</w:t>
      </w:r>
    </w:p>
    <w:p w14:paraId="050F269C" w14:textId="015063C8" w:rsidR="00BA5C09" w:rsidRDefault="00000000">
      <w:pPr>
        <w:spacing w:before="200" w:after="100" w:line="360" w:lineRule="auto"/>
      </w:pPr>
      <w:r>
        <w:rPr>
          <w:b/>
          <w:bCs/>
          <w:color w:val="000000"/>
          <w:sz w:val="24"/>
          <w:szCs w:val="24"/>
        </w:rPr>
        <w:t>4.4 Cybercrime Evolution and Post-Quantum Threat</w:t>
      </w:r>
    </w:p>
    <w:p w14:paraId="3148EE10" w14:textId="77777777" w:rsidR="00BA5C09" w:rsidRDefault="00000000">
      <w:pPr>
        <w:spacing w:after="160" w:line="360" w:lineRule="auto"/>
        <w:jc w:val="both"/>
      </w:pPr>
      <w:r>
        <w:rPr>
          <w:color w:val="000000"/>
          <w:sz w:val="24"/>
          <w:szCs w:val="24"/>
        </w:rPr>
        <w:t xml:space="preserve">The automation and </w:t>
      </w:r>
      <w:proofErr w:type="spellStart"/>
      <w:r>
        <w:rPr>
          <w:color w:val="000000"/>
          <w:sz w:val="24"/>
          <w:szCs w:val="24"/>
        </w:rPr>
        <w:t>commoditisation</w:t>
      </w:r>
      <w:proofErr w:type="spellEnd"/>
      <w:r>
        <w:rPr>
          <w:color w:val="000000"/>
          <w:sz w:val="24"/>
          <w:szCs w:val="24"/>
        </w:rPr>
        <w:t xml:space="preserve"> of attack tooling through Cybercrime-as-a-Service (CaaS) platforms </w:t>
      </w:r>
      <w:proofErr w:type="gramStart"/>
      <w:r>
        <w:rPr>
          <w:color w:val="000000"/>
          <w:sz w:val="24"/>
          <w:szCs w:val="24"/>
        </w:rPr>
        <w:t>has</w:t>
      </w:r>
      <w:proofErr w:type="gramEnd"/>
      <w:r>
        <w:rPr>
          <w:color w:val="000000"/>
          <w:sz w:val="24"/>
          <w:szCs w:val="24"/>
        </w:rPr>
        <w:t xml:space="preserve"> dramatically lowered the barrier to entry for sophisticated attacks, increasing attack volumes and necessitating regulatory mandates for automated threat intelligence sharing across the financial sector (WEF, 2025). Nation-state sponsorship of attacks against critical financial infrastructure as an instrument of geopolitical coercion increasingly demands that financial cybersecurity be classified as a matter of national security — with corresponding regulatory protections and government-sector information sharing (WEF, 2025). Perhaps the most urgent emerging threat is post-quantum cryptography. Quantum computing presents a credible near-term threat to all current public-key cryptography methods — including RSA, ECC, and TLS encryption — that underpin banking infrastructure globally. NIST </w:t>
      </w:r>
      <w:proofErr w:type="spellStart"/>
      <w:r>
        <w:rPr>
          <w:color w:val="000000"/>
          <w:sz w:val="24"/>
          <w:szCs w:val="24"/>
        </w:rPr>
        <w:t>standardised</w:t>
      </w:r>
      <w:proofErr w:type="spellEnd"/>
      <w:r>
        <w:rPr>
          <w:color w:val="000000"/>
          <w:sz w:val="24"/>
          <w:szCs w:val="24"/>
        </w:rPr>
        <w:t xml:space="preserve"> its first post-quantum cryptographic algorithms in 2024 (NIST, 2024), and regulatory mandates for their adoption by financial institutions are now a matter of urgency. Institutions that delay transition risk being exposed to 'harvest now, decrypt later' attacks, in which adversaries collect encrypted data today to decrypt retrospectively once quantum capability matures.</w:t>
      </w:r>
    </w:p>
    <w:p w14:paraId="55E1A8EA" w14:textId="77777777" w:rsidR="00BA5C09" w:rsidRDefault="00000000">
      <w:pPr>
        <w:spacing w:before="280" w:after="120" w:line="360" w:lineRule="auto"/>
      </w:pPr>
      <w:r>
        <w:rPr>
          <w:b/>
          <w:bCs/>
          <w:color w:val="000000"/>
          <w:sz w:val="28"/>
          <w:szCs w:val="28"/>
        </w:rPr>
        <w:t>5. Stated Assumptions</w:t>
      </w:r>
    </w:p>
    <w:p w14:paraId="4D19EF53" w14:textId="77777777" w:rsidR="00BA5C09" w:rsidRDefault="00000000">
      <w:pPr>
        <w:spacing w:after="160" w:line="360" w:lineRule="auto"/>
        <w:jc w:val="both"/>
      </w:pPr>
      <w:r>
        <w:rPr>
          <w:color w:val="000000"/>
          <w:sz w:val="24"/>
          <w:szCs w:val="24"/>
        </w:rPr>
        <w:t xml:space="preserve">The following assumptions underpin the governance model proposed in this report. FSB is subject to both UK and EU regulation; GDPR and DORA are therefore directly applicable to all data processing activities and operational resilience functions. BYOD devices are predominantly smartphones and laptops running iOS, Android, Windows 10/11, or macOS, supported by MDM/MAM technology. FSB has access to sufficient capital budget to procure enterprise-grade SIEM, SOAR, UEBA, MDM and IAM platforms and implement them within an 18-month </w:t>
      </w:r>
      <w:proofErr w:type="spellStart"/>
      <w:r>
        <w:rPr>
          <w:color w:val="000000"/>
          <w:sz w:val="24"/>
          <w:szCs w:val="24"/>
        </w:rPr>
        <w:t>programme</w:t>
      </w:r>
      <w:proofErr w:type="spellEnd"/>
      <w:r>
        <w:rPr>
          <w:color w:val="000000"/>
          <w:sz w:val="24"/>
          <w:szCs w:val="24"/>
        </w:rPr>
        <w:t xml:space="preserve">. Cloud services are procured from Tier-1 </w:t>
      </w:r>
      <w:proofErr w:type="spellStart"/>
      <w:r>
        <w:rPr>
          <w:color w:val="000000"/>
          <w:sz w:val="24"/>
          <w:szCs w:val="24"/>
        </w:rPr>
        <w:t>hyperscalers</w:t>
      </w:r>
      <w:proofErr w:type="spellEnd"/>
      <w:r>
        <w:rPr>
          <w:color w:val="000000"/>
          <w:sz w:val="24"/>
          <w:szCs w:val="24"/>
        </w:rPr>
        <w:t xml:space="preserve"> under data processing agreements compliant with GDPR Article 28. The total number of FSB employees, contractors and third-party individuals requiring system access is estimated at 200–500 personnel. No established security baseline exists at FSB in terms of asset inventory, access controls or incident response capability. Senior management has </w:t>
      </w:r>
      <w:proofErr w:type="spellStart"/>
      <w:r>
        <w:rPr>
          <w:color w:val="000000"/>
          <w:sz w:val="24"/>
          <w:szCs w:val="24"/>
        </w:rPr>
        <w:t>recognised</w:t>
      </w:r>
      <w:proofErr w:type="spellEnd"/>
      <w:r>
        <w:rPr>
          <w:color w:val="000000"/>
          <w:sz w:val="24"/>
          <w:szCs w:val="24"/>
        </w:rPr>
        <w:t xml:space="preserve"> the governance gap and is prepared to empower full implementation of the proposed ISMS and supporting </w:t>
      </w:r>
      <w:r>
        <w:rPr>
          <w:color w:val="000000"/>
          <w:sz w:val="24"/>
          <w:szCs w:val="24"/>
        </w:rPr>
        <w:lastRenderedPageBreak/>
        <w:t>policies. All third-party suppliers holding customer data are contractually obligated to accept regular independent security audits.</w:t>
      </w:r>
    </w:p>
    <w:p w14:paraId="76FF2694" w14:textId="77777777" w:rsidR="00BA5C09" w:rsidRDefault="00000000">
      <w:pPr>
        <w:spacing w:before="280" w:after="120" w:line="360" w:lineRule="auto"/>
      </w:pPr>
      <w:r>
        <w:rPr>
          <w:b/>
          <w:bCs/>
          <w:color w:val="000000"/>
          <w:sz w:val="28"/>
          <w:szCs w:val="28"/>
        </w:rPr>
        <w:t>6. Conclusion</w:t>
      </w:r>
    </w:p>
    <w:p w14:paraId="3577FD64" w14:textId="77777777" w:rsidR="00BA5C09" w:rsidRDefault="00000000">
      <w:pPr>
        <w:spacing w:after="160" w:line="360" w:lineRule="auto"/>
        <w:jc w:val="both"/>
      </w:pPr>
      <w:r>
        <w:rPr>
          <w:color w:val="000000"/>
          <w:sz w:val="24"/>
          <w:szCs w:val="24"/>
        </w:rPr>
        <w:t>FSB's operating scenario exemplifies the extreme systemic risk generated by a severe mismatch between digital transformation ambition and cybersecurity governance maturity. Over 90% cloud-hosted infrastructure, combined with an entirely unmanaged BYOD environment and a complete absence of structured governance, exposes the institution to financial fraud, insider threats, regulatory penalties, and existential reputational damage. Critical evaluation of seven key frameworks (ISO, 2022; NIST, 2024; Rose et al., 2020; ISACA, 2018; CIS, 2021; Sherwood et al., 2005) confirms that a purely reactive, ad-hoc technical approach to cybersecurity governance is fundamentally insufficient for an institution of FSB's risk profile and regulatory exposure.</w:t>
      </w:r>
    </w:p>
    <w:p w14:paraId="5740C875" w14:textId="77777777" w:rsidR="00BA5C09" w:rsidRDefault="00000000">
      <w:pPr>
        <w:spacing w:after="160" w:line="360" w:lineRule="auto"/>
        <w:jc w:val="both"/>
      </w:pPr>
      <w:r>
        <w:rPr>
          <w:color w:val="000000"/>
          <w:sz w:val="24"/>
          <w:szCs w:val="24"/>
        </w:rPr>
        <w:t xml:space="preserve">FSB must adopt ISO/IEC 27001:2022 to </w:t>
      </w:r>
      <w:proofErr w:type="spellStart"/>
      <w:r>
        <w:rPr>
          <w:color w:val="000000"/>
          <w:sz w:val="24"/>
          <w:szCs w:val="24"/>
        </w:rPr>
        <w:t>instil</w:t>
      </w:r>
      <w:proofErr w:type="spellEnd"/>
      <w:r>
        <w:rPr>
          <w:color w:val="000000"/>
          <w:sz w:val="24"/>
          <w:szCs w:val="24"/>
        </w:rPr>
        <w:t xml:space="preserve"> executive-level ownership and </w:t>
      </w:r>
      <w:proofErr w:type="spellStart"/>
      <w:r>
        <w:rPr>
          <w:color w:val="000000"/>
          <w:sz w:val="24"/>
          <w:szCs w:val="24"/>
        </w:rPr>
        <w:t>formalise</w:t>
      </w:r>
      <w:proofErr w:type="spellEnd"/>
      <w:r>
        <w:rPr>
          <w:color w:val="000000"/>
          <w:sz w:val="24"/>
          <w:szCs w:val="24"/>
        </w:rPr>
        <w:t xml:space="preserve"> a comprehensive ISMS (ISO, 2022); implement NIST CSF 2.0 for continuous, threat-led risk management across the full operational lifecycle (NIST, 2024); and mandate Zero Trust Architecture for identity-based access control, micro-segmentation, and continuous </w:t>
      </w:r>
      <w:proofErr w:type="spellStart"/>
      <w:r>
        <w:rPr>
          <w:color w:val="000000"/>
          <w:sz w:val="24"/>
          <w:szCs w:val="24"/>
        </w:rPr>
        <w:t>behavioural</w:t>
      </w:r>
      <w:proofErr w:type="spellEnd"/>
      <w:r>
        <w:rPr>
          <w:color w:val="000000"/>
          <w:sz w:val="24"/>
          <w:szCs w:val="24"/>
        </w:rPr>
        <w:t xml:space="preserve"> verification across all cloud services and BYOD endpoints. CIS Controls v8 provide the immediate technical baseline (CIS, 2021), with ITIL 4 ensuring structured service continuity and incident management (White and McLaughlin, 2023).</w:t>
      </w:r>
    </w:p>
    <w:p w14:paraId="6B571641" w14:textId="77777777" w:rsidR="00BA5C09" w:rsidRDefault="00000000">
      <w:pPr>
        <w:spacing w:after="160" w:line="360" w:lineRule="auto"/>
        <w:jc w:val="both"/>
      </w:pPr>
      <w:r>
        <w:rPr>
          <w:color w:val="000000"/>
          <w:sz w:val="24"/>
          <w:szCs w:val="24"/>
        </w:rPr>
        <w:t xml:space="preserve">As evidenced by the analytical findings in Section 4, the threats facing financial institutions — and the regulatory demands upon them — will accelerate dramatically alongside advances in artificial intelligence, quantum computing, and the </w:t>
      </w:r>
      <w:proofErr w:type="spellStart"/>
      <w:r>
        <w:rPr>
          <w:color w:val="000000"/>
          <w:sz w:val="24"/>
          <w:szCs w:val="24"/>
        </w:rPr>
        <w:t>professionalisation</w:t>
      </w:r>
      <w:proofErr w:type="spellEnd"/>
      <w:r>
        <w:rPr>
          <w:color w:val="000000"/>
          <w:sz w:val="24"/>
          <w:szCs w:val="24"/>
        </w:rPr>
        <w:t xml:space="preserve"> of cybercrime (WEF, 2025). FSB's long-term institutional viability depends not upon achieving a fixed compliance target, but upon developing dynamic, board-level, continuously improving cybersecurity governance as a core institutional value — equal in strategic importance to its financial products and services.</w:t>
      </w:r>
    </w:p>
    <w:p w14:paraId="06FDAF15" w14:textId="77777777" w:rsidR="00BA5C09" w:rsidRDefault="00000000">
      <w:r>
        <w:br w:type="page"/>
      </w:r>
    </w:p>
    <w:p w14:paraId="4D3268A8" w14:textId="77777777" w:rsidR="00BA5C09" w:rsidRDefault="00000000">
      <w:pPr>
        <w:spacing w:before="280" w:after="120" w:line="360" w:lineRule="auto"/>
      </w:pPr>
      <w:r>
        <w:rPr>
          <w:b/>
          <w:bCs/>
          <w:color w:val="000000"/>
          <w:sz w:val="28"/>
          <w:szCs w:val="28"/>
        </w:rPr>
        <w:lastRenderedPageBreak/>
        <w:t>References</w:t>
      </w:r>
    </w:p>
    <w:p w14:paraId="21E5DF6E" w14:textId="77777777" w:rsidR="00BA5C09" w:rsidRDefault="00000000">
      <w:pPr>
        <w:spacing w:after="100" w:line="360" w:lineRule="auto"/>
        <w:ind w:left="720" w:hanging="720"/>
        <w:jc w:val="both"/>
      </w:pPr>
      <w:r>
        <w:rPr>
          <w:color w:val="000000"/>
          <w:sz w:val="22"/>
          <w:szCs w:val="22"/>
        </w:rPr>
        <w:t>CIS (2021) CIS Critical Security Controls Version 8. Center for Internet Security. Available at: https://www.cisecurity.org/controls/v8 (Accessed: 15 April 2026).</w:t>
      </w:r>
    </w:p>
    <w:p w14:paraId="0AB9561B" w14:textId="77777777" w:rsidR="00BA5C09" w:rsidRDefault="00000000">
      <w:pPr>
        <w:spacing w:after="100" w:line="360" w:lineRule="auto"/>
        <w:ind w:left="720" w:hanging="720"/>
        <w:jc w:val="both"/>
      </w:pPr>
      <w:r>
        <w:rPr>
          <w:color w:val="000000"/>
          <w:sz w:val="22"/>
          <w:szCs w:val="22"/>
        </w:rPr>
        <w:t>European Parliament (2022) Regulation (EU) 2016/679 — General Data Protection Regulation (GDPR). Official Journal of the European Union.</w:t>
      </w:r>
    </w:p>
    <w:p w14:paraId="032906CE" w14:textId="77777777" w:rsidR="00BA5C09" w:rsidRDefault="00000000">
      <w:pPr>
        <w:spacing w:after="100" w:line="360" w:lineRule="auto"/>
        <w:ind w:left="720" w:hanging="720"/>
        <w:jc w:val="both"/>
      </w:pPr>
      <w:r>
        <w:rPr>
          <w:color w:val="000000"/>
          <w:sz w:val="22"/>
          <w:szCs w:val="22"/>
        </w:rPr>
        <w:t>European Parliament and Council (2022) Regulation (EU) 2022/2554 — Digital Operational Resilience Act (DORA). Official Journal of the European Union, 27 December 2022.</w:t>
      </w:r>
    </w:p>
    <w:p w14:paraId="57F6BAC4" w14:textId="77777777" w:rsidR="00BA5C09" w:rsidRDefault="00000000">
      <w:pPr>
        <w:spacing w:after="100" w:line="360" w:lineRule="auto"/>
        <w:ind w:left="720" w:hanging="720"/>
        <w:jc w:val="both"/>
      </w:pPr>
      <w:r>
        <w:rPr>
          <w:color w:val="000000"/>
          <w:sz w:val="22"/>
          <w:szCs w:val="22"/>
        </w:rPr>
        <w:t>Huy, S., Chandrasekaran, M., Naeini, P.E. and Chen, C. (2025) 'Insider Threats in Banking Sector: Detection, Prevention, and Mitigation.' Journal of Cyber Security and Risk Auditing, 2025(4), pp. 257–265.</w:t>
      </w:r>
    </w:p>
    <w:p w14:paraId="2F67D84F" w14:textId="77777777" w:rsidR="00BA5C09" w:rsidRDefault="00000000">
      <w:pPr>
        <w:spacing w:after="100" w:line="360" w:lineRule="auto"/>
        <w:ind w:left="720" w:hanging="720"/>
        <w:jc w:val="both"/>
      </w:pPr>
      <w:r>
        <w:rPr>
          <w:color w:val="000000"/>
          <w:sz w:val="22"/>
          <w:szCs w:val="22"/>
        </w:rPr>
        <w:t>ISACA (2018) COBIT 2019 Framework: Introduction and Methodology. Schaumburg, IL: ISACA.</w:t>
      </w:r>
    </w:p>
    <w:p w14:paraId="3DE216C8" w14:textId="77777777" w:rsidR="00BA5C09" w:rsidRDefault="00000000">
      <w:pPr>
        <w:spacing w:after="100" w:line="360" w:lineRule="auto"/>
        <w:ind w:left="720" w:hanging="720"/>
        <w:jc w:val="both"/>
      </w:pPr>
      <w:r>
        <w:rPr>
          <w:color w:val="000000"/>
          <w:sz w:val="22"/>
          <w:szCs w:val="22"/>
        </w:rPr>
        <w:t>ISO (2022) ISO/IEC 27001:2022 — Information Security Management Systems: Requirements. Geneva: International Organization for Standardization.</w:t>
      </w:r>
    </w:p>
    <w:p w14:paraId="2590C675" w14:textId="77777777" w:rsidR="00BA5C09" w:rsidRDefault="00000000">
      <w:pPr>
        <w:spacing w:after="100" w:line="360" w:lineRule="auto"/>
        <w:ind w:left="720" w:hanging="720"/>
        <w:jc w:val="both"/>
      </w:pPr>
      <w:r>
        <w:rPr>
          <w:color w:val="000000"/>
          <w:sz w:val="22"/>
          <w:szCs w:val="22"/>
        </w:rPr>
        <w:t>NIST (2024) The NIST Cybersecurity Framework (CSF) 2.0. NIST CSWP 29. Gaithersburg, MD: National Institute of Standards and Technology, February 2024.</w:t>
      </w:r>
    </w:p>
    <w:p w14:paraId="3E1A3B23" w14:textId="77777777" w:rsidR="00BA5C09" w:rsidRDefault="00000000">
      <w:pPr>
        <w:spacing w:after="100" w:line="360" w:lineRule="auto"/>
        <w:ind w:left="720" w:hanging="720"/>
        <w:jc w:val="both"/>
      </w:pPr>
      <w:r>
        <w:rPr>
          <w:color w:val="000000"/>
          <w:sz w:val="22"/>
          <w:szCs w:val="22"/>
        </w:rPr>
        <w:t>Nsuka, R. (2025) 'Building a Zero Trust Philosophy with ISO/IEC 27001 Compliance.' PECB Insights, July 2025.</w:t>
      </w:r>
    </w:p>
    <w:p w14:paraId="0F5B963E" w14:textId="77777777" w:rsidR="00BA5C09" w:rsidRDefault="00000000">
      <w:pPr>
        <w:spacing w:after="100" w:line="360" w:lineRule="auto"/>
        <w:ind w:left="720" w:hanging="720"/>
        <w:jc w:val="both"/>
      </w:pPr>
      <w:proofErr w:type="spellStart"/>
      <w:r>
        <w:rPr>
          <w:color w:val="000000"/>
          <w:sz w:val="22"/>
          <w:szCs w:val="22"/>
        </w:rPr>
        <w:t>Ramavarapu</w:t>
      </w:r>
      <w:proofErr w:type="spellEnd"/>
      <w:r>
        <w:rPr>
          <w:color w:val="000000"/>
          <w:sz w:val="22"/>
          <w:szCs w:val="22"/>
        </w:rPr>
        <w:t>, K. (2023) 'Unleashing the Power of Cloud Computing in Financial Services: Enabling Security, Compliance, and Innovation.' IEEE Access, December 2023.</w:t>
      </w:r>
    </w:p>
    <w:p w14:paraId="479F8AE9" w14:textId="77777777" w:rsidR="00BA5C09" w:rsidRDefault="00000000">
      <w:pPr>
        <w:spacing w:after="100" w:line="360" w:lineRule="auto"/>
        <w:ind w:left="720" w:hanging="720"/>
        <w:jc w:val="both"/>
      </w:pPr>
      <w:r>
        <w:rPr>
          <w:color w:val="000000"/>
          <w:sz w:val="22"/>
          <w:szCs w:val="22"/>
        </w:rPr>
        <w:t>Rose, S., Borchert, O., Mitchell, S. and Connelly, S. (2020) Zero Trust Architecture. NIST Special Publication 800-207. Gaithersburg, MD: National Institute of Standards and Technology.</w:t>
      </w:r>
    </w:p>
    <w:p w14:paraId="4EA0E3EF" w14:textId="77777777" w:rsidR="00BA5C09" w:rsidRDefault="00000000">
      <w:pPr>
        <w:spacing w:after="100" w:line="360" w:lineRule="auto"/>
        <w:ind w:left="720" w:hanging="720"/>
        <w:jc w:val="both"/>
      </w:pPr>
      <w:r>
        <w:rPr>
          <w:color w:val="000000"/>
          <w:sz w:val="22"/>
          <w:szCs w:val="22"/>
        </w:rPr>
        <w:t>Sherwood, J., Clark, A. and Lynas, D. (2005) Enterprise Security Architecture: A Business-Driven Approach. San Francisco: CMP Books.</w:t>
      </w:r>
    </w:p>
    <w:p w14:paraId="0D55391F" w14:textId="77777777" w:rsidR="00BA5C09" w:rsidRDefault="00000000">
      <w:pPr>
        <w:spacing w:after="100" w:line="360" w:lineRule="auto"/>
        <w:ind w:left="720" w:hanging="720"/>
        <w:jc w:val="both"/>
      </w:pPr>
      <w:r>
        <w:rPr>
          <w:color w:val="000000"/>
          <w:sz w:val="22"/>
          <w:szCs w:val="22"/>
        </w:rPr>
        <w:t>WEF (2025) Global Cybersecurity Outlook 2025. Davos: World Economic Forum, January 2025.</w:t>
      </w:r>
    </w:p>
    <w:p w14:paraId="197CFFF4" w14:textId="77777777" w:rsidR="00BA5C09" w:rsidRDefault="00000000">
      <w:pPr>
        <w:spacing w:after="100" w:line="360" w:lineRule="auto"/>
        <w:ind w:left="720" w:hanging="720"/>
        <w:jc w:val="both"/>
      </w:pPr>
      <w:r>
        <w:rPr>
          <w:color w:val="000000"/>
          <w:sz w:val="22"/>
          <w:szCs w:val="22"/>
        </w:rPr>
        <w:t>White, M.G. and McLaughlin, M.F. (2023) 'Banking in the Cloud: Mitigating the Regulatory and Security Risks.' ABA Banking Journal, March 2023.</w:t>
      </w:r>
    </w:p>
    <w:sectPr w:rsidR="00BA5C09">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58142" w14:textId="77777777" w:rsidR="009C2E01" w:rsidRDefault="009C2E01">
      <w:r>
        <w:separator/>
      </w:r>
    </w:p>
  </w:endnote>
  <w:endnote w:type="continuationSeparator" w:id="0">
    <w:p w14:paraId="1C666229" w14:textId="77777777" w:rsidR="009C2E01" w:rsidRDefault="009C2E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580826" w14:textId="77777777" w:rsidR="00BA5C09" w:rsidRDefault="00000000">
    <w:pPr>
      <w:jc w:val="center"/>
    </w:pPr>
    <w:r>
      <w:rPr>
        <w:color w:val="666666"/>
        <w:sz w:val="18"/>
        <w:szCs w:val="18"/>
      </w:rPr>
      <w:t xml:space="preserve">Page </w:t>
    </w:r>
    <w:r>
      <w:rPr>
        <w:color w:val="666666"/>
        <w:sz w:val="18"/>
        <w:szCs w:val="18"/>
      </w:rPr>
      <w:fldChar w:fldCharType="begin"/>
    </w:r>
    <w:r>
      <w:rPr>
        <w:color w:val="666666"/>
        <w:sz w:val="18"/>
        <w:szCs w:val="18"/>
      </w:rPr>
      <w:instrText>PAGE</w:instrText>
    </w:r>
    <w:r>
      <w:rPr>
        <w:color w:val="666666"/>
        <w:sz w:val="18"/>
        <w:szCs w:val="18"/>
      </w:rPr>
      <w:fldChar w:fldCharType="separate"/>
    </w:r>
    <w:r w:rsidR="00FF2196">
      <w:rPr>
        <w:noProof/>
        <w:color w:val="666666"/>
        <w:sz w:val="18"/>
        <w:szCs w:val="18"/>
      </w:rPr>
      <w:t>1</w:t>
    </w:r>
    <w:r>
      <w:rPr>
        <w:color w:val="666666"/>
        <w:sz w:val="18"/>
        <w:szCs w:val="18"/>
      </w:rPr>
      <w:fldChar w:fldCharType="end"/>
    </w:r>
    <w:r>
      <w:rPr>
        <w:color w:val="666666"/>
        <w:sz w:val="18"/>
        <w:szCs w:val="18"/>
      </w:rPr>
      <w:t xml:space="preserve"> of </w:t>
    </w:r>
    <w:r>
      <w:rPr>
        <w:color w:val="666666"/>
        <w:sz w:val="18"/>
        <w:szCs w:val="18"/>
      </w:rPr>
      <w:fldChar w:fldCharType="begin"/>
    </w:r>
    <w:r>
      <w:rPr>
        <w:color w:val="666666"/>
        <w:sz w:val="18"/>
        <w:szCs w:val="18"/>
      </w:rPr>
      <w:instrText>NUMPAGES</w:instrText>
    </w:r>
    <w:r>
      <w:rPr>
        <w:color w:val="666666"/>
        <w:sz w:val="18"/>
        <w:szCs w:val="18"/>
      </w:rPr>
      <w:fldChar w:fldCharType="separate"/>
    </w:r>
    <w:r w:rsidR="00FF2196">
      <w:rPr>
        <w:noProof/>
        <w:color w:val="666666"/>
        <w:sz w:val="18"/>
        <w:szCs w:val="18"/>
      </w:rPr>
      <w:t>2</w:t>
    </w:r>
    <w:r>
      <w:rPr>
        <w:color w:val="666666"/>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81877F" w14:textId="77777777" w:rsidR="00BA5C09" w:rsidRDefault="00000000">
    <w:pPr>
      <w:jc w:val="center"/>
    </w:pPr>
    <w:r>
      <w:rPr>
        <w:color w:val="666666"/>
        <w:sz w:val="18"/>
        <w:szCs w:val="18"/>
      </w:rPr>
      <w:t xml:space="preserve">Page </w:t>
    </w:r>
    <w:r>
      <w:rPr>
        <w:color w:val="666666"/>
        <w:sz w:val="18"/>
        <w:szCs w:val="18"/>
      </w:rPr>
      <w:fldChar w:fldCharType="begin"/>
    </w:r>
    <w:r>
      <w:rPr>
        <w:color w:val="666666"/>
        <w:sz w:val="18"/>
        <w:szCs w:val="18"/>
      </w:rPr>
      <w:instrText>PAGE</w:instrText>
    </w:r>
    <w:r>
      <w:rPr>
        <w:color w:val="666666"/>
        <w:sz w:val="18"/>
        <w:szCs w:val="18"/>
      </w:rPr>
      <w:fldChar w:fldCharType="separate"/>
    </w:r>
    <w:r w:rsidR="00FF2196">
      <w:rPr>
        <w:noProof/>
        <w:color w:val="666666"/>
        <w:sz w:val="18"/>
        <w:szCs w:val="18"/>
      </w:rPr>
      <w:t>2</w:t>
    </w:r>
    <w:r>
      <w:rPr>
        <w:color w:val="666666"/>
        <w:sz w:val="18"/>
        <w:szCs w:val="18"/>
      </w:rPr>
      <w:fldChar w:fldCharType="end"/>
    </w:r>
    <w:r>
      <w:rPr>
        <w:color w:val="666666"/>
        <w:sz w:val="18"/>
        <w:szCs w:val="18"/>
      </w:rPr>
      <w:t xml:space="preserve"> of </w:t>
    </w:r>
    <w:r>
      <w:rPr>
        <w:color w:val="666666"/>
        <w:sz w:val="18"/>
        <w:szCs w:val="18"/>
      </w:rPr>
      <w:fldChar w:fldCharType="begin"/>
    </w:r>
    <w:r>
      <w:rPr>
        <w:color w:val="666666"/>
        <w:sz w:val="18"/>
        <w:szCs w:val="18"/>
      </w:rPr>
      <w:instrText>NUMPAGES</w:instrText>
    </w:r>
    <w:r>
      <w:rPr>
        <w:color w:val="666666"/>
        <w:sz w:val="18"/>
        <w:szCs w:val="18"/>
      </w:rPr>
      <w:fldChar w:fldCharType="separate"/>
    </w:r>
    <w:r w:rsidR="00FF2196">
      <w:rPr>
        <w:noProof/>
        <w:color w:val="666666"/>
        <w:sz w:val="18"/>
        <w:szCs w:val="18"/>
      </w:rPr>
      <w:t>3</w:t>
    </w:r>
    <w:r>
      <w:rPr>
        <w:color w:val="666666"/>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48C955" w14:textId="77777777" w:rsidR="009C2E01" w:rsidRDefault="009C2E01">
      <w:r>
        <w:separator/>
      </w:r>
    </w:p>
  </w:footnote>
  <w:footnote w:type="continuationSeparator" w:id="0">
    <w:p w14:paraId="5D715F7C" w14:textId="77777777" w:rsidR="009C2E01" w:rsidRDefault="009C2E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6B59EE"/>
    <w:multiLevelType w:val="hybridMultilevel"/>
    <w:tmpl w:val="8DA699EA"/>
    <w:lvl w:ilvl="0" w:tplc="4EDCD792">
      <w:start w:val="1"/>
      <w:numFmt w:val="bullet"/>
      <w:lvlText w:val="●"/>
      <w:lvlJc w:val="left"/>
      <w:pPr>
        <w:ind w:left="720" w:hanging="360"/>
      </w:pPr>
    </w:lvl>
    <w:lvl w:ilvl="1" w:tplc="96F49EF6">
      <w:start w:val="1"/>
      <w:numFmt w:val="bullet"/>
      <w:lvlText w:val="○"/>
      <w:lvlJc w:val="left"/>
      <w:pPr>
        <w:ind w:left="1440" w:hanging="360"/>
      </w:pPr>
    </w:lvl>
    <w:lvl w:ilvl="2" w:tplc="CD165638">
      <w:start w:val="1"/>
      <w:numFmt w:val="bullet"/>
      <w:lvlText w:val="■"/>
      <w:lvlJc w:val="left"/>
      <w:pPr>
        <w:ind w:left="2160" w:hanging="360"/>
      </w:pPr>
    </w:lvl>
    <w:lvl w:ilvl="3" w:tplc="2D9AD7CE">
      <w:start w:val="1"/>
      <w:numFmt w:val="bullet"/>
      <w:lvlText w:val="●"/>
      <w:lvlJc w:val="left"/>
      <w:pPr>
        <w:ind w:left="2880" w:hanging="360"/>
      </w:pPr>
    </w:lvl>
    <w:lvl w:ilvl="4" w:tplc="B282971A">
      <w:start w:val="1"/>
      <w:numFmt w:val="bullet"/>
      <w:lvlText w:val="○"/>
      <w:lvlJc w:val="left"/>
      <w:pPr>
        <w:ind w:left="3600" w:hanging="360"/>
      </w:pPr>
    </w:lvl>
    <w:lvl w:ilvl="5" w:tplc="49AA66F2">
      <w:start w:val="1"/>
      <w:numFmt w:val="bullet"/>
      <w:lvlText w:val="■"/>
      <w:lvlJc w:val="left"/>
      <w:pPr>
        <w:ind w:left="4320" w:hanging="360"/>
      </w:pPr>
    </w:lvl>
    <w:lvl w:ilvl="6" w:tplc="C150AD98">
      <w:start w:val="1"/>
      <w:numFmt w:val="bullet"/>
      <w:lvlText w:val="●"/>
      <w:lvlJc w:val="left"/>
      <w:pPr>
        <w:ind w:left="5040" w:hanging="360"/>
      </w:pPr>
    </w:lvl>
    <w:lvl w:ilvl="7" w:tplc="1E285972">
      <w:start w:val="1"/>
      <w:numFmt w:val="bullet"/>
      <w:lvlText w:val="●"/>
      <w:lvlJc w:val="left"/>
      <w:pPr>
        <w:ind w:left="5760" w:hanging="360"/>
      </w:pPr>
    </w:lvl>
    <w:lvl w:ilvl="8" w:tplc="0416FF56">
      <w:start w:val="1"/>
      <w:numFmt w:val="bullet"/>
      <w:lvlText w:val="●"/>
      <w:lvlJc w:val="left"/>
      <w:pPr>
        <w:ind w:left="6480" w:hanging="360"/>
      </w:pPr>
    </w:lvl>
  </w:abstractNum>
  <w:num w:numId="1" w16cid:durableId="80435394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5C09"/>
    <w:rsid w:val="0042277D"/>
    <w:rsid w:val="009C2E01"/>
    <w:rsid w:val="00AD719E"/>
    <w:rsid w:val="00BA5C09"/>
    <w:rsid w:val="00FF21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DAAB6"/>
  <w15:docId w15:val="{EC797901-AAC4-436B-82A9-D19B82515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FF2196"/>
    <w:pPr>
      <w:tabs>
        <w:tab w:val="center" w:pos="4680"/>
        <w:tab w:val="right" w:pos="9360"/>
      </w:tabs>
    </w:pPr>
  </w:style>
  <w:style w:type="character" w:customStyle="1" w:styleId="HeaderChar">
    <w:name w:val="Header Char"/>
    <w:basedOn w:val="DefaultParagraphFont"/>
    <w:link w:val="Header"/>
    <w:uiPriority w:val="99"/>
    <w:rsid w:val="00FF2196"/>
  </w:style>
  <w:style w:type="paragraph" w:styleId="Footer">
    <w:name w:val="footer"/>
    <w:basedOn w:val="Normal"/>
    <w:link w:val="FooterChar"/>
    <w:uiPriority w:val="99"/>
    <w:unhideWhenUsed/>
    <w:rsid w:val="00FF2196"/>
    <w:pPr>
      <w:tabs>
        <w:tab w:val="center" w:pos="4680"/>
        <w:tab w:val="right" w:pos="9360"/>
      </w:tabs>
    </w:pPr>
  </w:style>
  <w:style w:type="character" w:customStyle="1" w:styleId="FooterChar">
    <w:name w:val="Footer Char"/>
    <w:basedOn w:val="DefaultParagraphFont"/>
    <w:link w:val="Footer"/>
    <w:uiPriority w:val="99"/>
    <w:rsid w:val="00FF21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12</Pages>
  <Words>3418</Words>
  <Characters>22428</Characters>
  <Application>Microsoft Office Word</Application>
  <DocSecurity>0</DocSecurity>
  <Lines>477</Lines>
  <Paragraphs>228</Paragraphs>
  <ScaleCrop>false</ScaleCrop>
  <Company/>
  <LinksUpToDate>false</LinksUpToDate>
  <CharactersWithSpaces>25618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Rajul Gupta (2523934)</cp:lastModifiedBy>
  <cp:revision>3</cp:revision>
  <dcterms:created xsi:type="dcterms:W3CDTF">2026-04-28T21:07:00Z</dcterms:created>
  <dcterms:modified xsi:type="dcterms:W3CDTF">2026-04-28T21:16:00Z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b9886566-bc5e-44c3-adcc-87a38009a607</vt:lpwstr>
  </property>
</Properties>
</file>