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717DF182"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9A25CF">
        <w:rPr>
          <w:rFonts w:asciiTheme="minorBidi" w:hAnsiTheme="minorBidi"/>
          <w:b/>
          <w:bCs/>
          <w:sz w:val="48"/>
          <w:szCs w:val="48"/>
        </w:rPr>
        <w:t>E</w:t>
      </w:r>
      <w:r w:rsidR="00926BAB">
        <w:rPr>
          <w:rFonts w:asciiTheme="minorBidi" w:hAnsiTheme="minorBidi"/>
          <w:b/>
          <w:bCs/>
          <w:sz w:val="48"/>
          <w:szCs w:val="48"/>
        </w:rPr>
        <w:t>-Portfolio</w:t>
      </w:r>
    </w:p>
    <w:p w14:paraId="14F1CDB2" w14:textId="59AF3129"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926BAB">
        <w:rPr>
          <w:rFonts w:asciiTheme="minorBidi" w:hAnsiTheme="minorBidi"/>
          <w:b/>
          <w:sz w:val="48"/>
          <w:szCs w:val="48"/>
        </w:rPr>
        <w:t xml:space="preserve"> Carmen Tutu</w:t>
      </w:r>
    </w:p>
    <w:p w14:paraId="1B6CEBE0" w14:textId="020BFF72"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926BAB">
        <w:rPr>
          <w:rFonts w:asciiTheme="minorBidi" w:hAnsiTheme="minorBidi"/>
          <w:b/>
          <w:sz w:val="48"/>
          <w:szCs w:val="48"/>
        </w:rPr>
        <w:t xml:space="preserve"> 2207381</w:t>
      </w:r>
    </w:p>
    <w:p w14:paraId="3CA1AB6B" w14:textId="3C8E923E"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FF286E">
        <w:rPr>
          <w:rFonts w:asciiTheme="minorBidi" w:hAnsiTheme="minorBidi"/>
          <w:b/>
          <w:sz w:val="48"/>
          <w:szCs w:val="48"/>
        </w:rPr>
        <w:t>Chris</w:t>
      </w:r>
      <w:r w:rsidR="008E423F">
        <w:rPr>
          <w:rFonts w:asciiTheme="minorBidi" w:hAnsiTheme="minorBidi"/>
          <w:b/>
          <w:sz w:val="48"/>
          <w:szCs w:val="48"/>
        </w:rPr>
        <w:t>topher</w:t>
      </w:r>
      <w:r w:rsidR="00A103BF">
        <w:rPr>
          <w:rFonts w:asciiTheme="minorBidi" w:hAnsiTheme="minorBidi"/>
          <w:b/>
          <w:sz w:val="48"/>
          <w:szCs w:val="48"/>
        </w:rPr>
        <w:t xml:space="preserve"> Wilkin</w:t>
      </w:r>
      <w:r w:rsidRPr="0040098D">
        <w:rPr>
          <w:rFonts w:asciiTheme="minorBidi" w:hAnsiTheme="minorBidi"/>
          <w:b/>
          <w:sz w:val="48"/>
          <w:szCs w:val="48"/>
        </w:rPr>
        <w:br/>
        <w:t xml:space="preserve">Deadline: </w:t>
      </w:r>
      <w:r w:rsidR="001B671C">
        <w:rPr>
          <w:rFonts w:asciiTheme="minorBidi" w:hAnsiTheme="minorBidi"/>
          <w:b/>
          <w:sz w:val="48"/>
          <w:szCs w:val="48"/>
        </w:rPr>
        <w:t>27 February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10AD449C" w:rsidR="00E6780D" w:rsidRDefault="00C963C3" w:rsidP="00E6780D">
      <w:pPr>
        <w:rPr>
          <w:rFonts w:ascii="Aptos" w:hAnsi="Aptos"/>
          <w:b/>
          <w:bCs/>
          <w:sz w:val="32"/>
          <w:szCs w:val="32"/>
        </w:rPr>
      </w:pPr>
      <w:r>
        <w:rPr>
          <w:rFonts w:ascii="Aptos" w:hAnsi="Aptos"/>
          <w:b/>
          <w:bCs/>
          <w:sz w:val="32"/>
          <w:szCs w:val="32"/>
        </w:rPr>
        <w:t>Wordcount:</w:t>
      </w:r>
      <w:r w:rsidR="003A5F3B">
        <w:rPr>
          <w:rFonts w:ascii="Aptos" w:hAnsi="Aptos"/>
          <w:b/>
          <w:bCs/>
          <w:sz w:val="32"/>
          <w:szCs w:val="32"/>
        </w:rPr>
        <w:t xml:space="preserve"> 1660</w:t>
      </w:r>
      <w:r>
        <w:rPr>
          <w:rFonts w:ascii="Aptos" w:hAnsi="Aptos"/>
          <w:b/>
          <w:bCs/>
          <w:sz w:val="32"/>
          <w:szCs w:val="32"/>
        </w:rPr>
        <w:br/>
      </w:r>
    </w:p>
    <w:p w14:paraId="15356910" w14:textId="78BC9615" w:rsidR="00C963C3" w:rsidRPr="00C3194A" w:rsidRDefault="00C963C3" w:rsidP="00C963C3">
      <w:pPr>
        <w:rPr>
          <w:rFonts w:ascii="Arial" w:hAnsi="Arial" w:cs="Arial"/>
          <w:b/>
          <w:bCs/>
        </w:rPr>
      </w:pPr>
      <w:r w:rsidRPr="009F24C9">
        <w:rPr>
          <w:rFonts w:ascii="Arial" w:hAnsi="Arial" w:cs="Arial"/>
          <w:b/>
          <w:bCs/>
        </w:rPr>
        <w:lastRenderedPageBreak/>
        <w:t>AI Acknowledgement</w:t>
      </w:r>
    </w:p>
    <w:p w14:paraId="3D0C5930" w14:textId="77777777" w:rsidR="00C963C3" w:rsidRPr="009F24C9" w:rsidRDefault="00C963C3" w:rsidP="00C963C3">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1DC66021" w14:textId="77777777" w:rsidR="00C963C3" w:rsidRPr="009F24C9" w:rsidRDefault="00C963C3" w:rsidP="00C963C3">
      <w:pPr>
        <w:rPr>
          <w:rFonts w:ascii="Arial" w:hAnsi="Arial" w:cs="Arial"/>
          <w:b/>
          <w:bCs/>
        </w:rPr>
      </w:pPr>
      <w:r w:rsidRPr="009F24C9">
        <w:rPr>
          <w:rFonts w:ascii="Arial" w:hAnsi="Arial" w:cs="Arial"/>
          <w:b/>
          <w:bCs/>
        </w:rPr>
        <w:t>Prompt(s) used (if applicable):</w:t>
      </w:r>
    </w:p>
    <w:p w14:paraId="5E6295B9" w14:textId="77777777" w:rsidR="00C963C3" w:rsidRPr="009F24C9" w:rsidRDefault="00C963C3" w:rsidP="00C963C3">
      <w:pPr>
        <w:numPr>
          <w:ilvl w:val="0"/>
          <w:numId w:val="3"/>
        </w:numPr>
        <w:rPr>
          <w:rFonts w:ascii="Arial" w:hAnsi="Arial" w:cs="Arial"/>
        </w:rPr>
      </w:pPr>
    </w:p>
    <w:p w14:paraId="078665C0" w14:textId="77777777" w:rsidR="00C963C3" w:rsidRPr="009F24C9" w:rsidRDefault="00C963C3" w:rsidP="00C963C3">
      <w:pPr>
        <w:rPr>
          <w:rFonts w:ascii="Arial" w:hAnsi="Arial" w:cs="Arial"/>
        </w:rPr>
        <w:sectPr w:rsidR="00C963C3" w:rsidRPr="009F24C9" w:rsidSect="00305A0F">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hapStyle="2"/>
          <w:cols w:space="708"/>
          <w:titlePg/>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125B5958"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DC17B2">
              <w:rPr>
                <w:noProof/>
                <w:webHidden/>
              </w:rPr>
              <w:t>4</w:t>
            </w:r>
            <w:r w:rsidR="009F24C9">
              <w:rPr>
                <w:noProof/>
                <w:webHidden/>
              </w:rPr>
              <w:fldChar w:fldCharType="end"/>
            </w:r>
          </w:hyperlink>
        </w:p>
        <w:p w14:paraId="65348511" w14:textId="5937B61A"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Academic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sidR="00DC17B2">
              <w:rPr>
                <w:noProof/>
                <w:webHidden/>
              </w:rPr>
              <w:t>8</w:t>
            </w:r>
            <w:r>
              <w:rPr>
                <w:noProof/>
                <w:webHidden/>
              </w:rPr>
              <w:fldChar w:fldCharType="end"/>
            </w:r>
          </w:hyperlink>
        </w:p>
        <w:p w14:paraId="2AE1D1FE" w14:textId="0D341D62"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sidR="00DC17B2">
              <w:rPr>
                <w:noProof/>
                <w:webHidden/>
              </w:rPr>
              <w:t>12</w:t>
            </w:r>
            <w:r>
              <w:rPr>
                <w:noProof/>
                <w:webHidden/>
              </w:rPr>
              <w:fldChar w:fldCharType="end"/>
            </w:r>
          </w:hyperlink>
        </w:p>
        <w:p w14:paraId="03EBA343" w14:textId="3441B792" w:rsidR="00C963C3" w:rsidRPr="009F24C9" w:rsidRDefault="00C963C3">
          <w:pPr>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C963C3">
      <w:pPr>
        <w:rPr>
          <w:rFonts w:ascii="Arial" w:hAnsi="Arial" w:cs="Arial"/>
        </w:rPr>
        <w:sectPr w:rsidR="00C963C3" w:rsidRPr="009F24C9" w:rsidSect="00822BB5">
          <w:pgSz w:w="11906" w:h="16838"/>
          <w:pgMar w:top="1440" w:right="1440" w:bottom="1440" w:left="1440" w:header="708" w:footer="708" w:gutter="0"/>
          <w:pgNumType w:start="2"/>
          <w:cols w:space="708"/>
          <w:titlePg/>
          <w:docGrid w:linePitch="360"/>
        </w:sectPr>
      </w:pPr>
    </w:p>
    <w:p w14:paraId="4E4DEFEE" w14:textId="4B550B29" w:rsidR="00C963C3" w:rsidRPr="009F24C9" w:rsidRDefault="00C963C3" w:rsidP="008322BB">
      <w:pPr>
        <w:pStyle w:val="Heading1"/>
        <w:rPr>
          <w:rFonts w:ascii="Arial" w:hAnsi="Arial" w:cs="Arial"/>
        </w:rPr>
      </w:pPr>
      <w:bookmarkStart w:id="0" w:name="_Toc218876933"/>
      <w:r w:rsidRPr="009F24C9">
        <w:rPr>
          <w:rFonts w:ascii="Arial" w:hAnsi="Arial" w:cs="Arial"/>
        </w:rPr>
        <w:lastRenderedPageBreak/>
        <w:t>Component 1 – Development of Academic Skills (500 words)</w:t>
      </w:r>
      <w:bookmarkEnd w:id="0"/>
    </w:p>
    <w:p w14:paraId="1EFA585B" w14:textId="7897DAEA" w:rsidR="00C963C3" w:rsidRPr="009F24C9" w:rsidRDefault="00C963C3" w:rsidP="00C963C3">
      <w:pPr>
        <w:rPr>
          <w:rFonts w:ascii="Arial" w:hAnsi="Arial" w:cs="Arial"/>
          <w:b/>
          <w:bCs/>
        </w:rPr>
      </w:pPr>
      <w:r w:rsidRPr="009F24C9">
        <w:rPr>
          <w:rFonts w:ascii="Arial" w:hAnsi="Arial" w:cs="Arial"/>
          <w:b/>
          <w:bCs/>
        </w:rPr>
        <w:t>Evaluating Academic Sources Using the CRAAP Test</w:t>
      </w:r>
    </w:p>
    <w:p w14:paraId="051C4BD7" w14:textId="7D89E79D" w:rsidR="00C963C3" w:rsidRPr="009F24C9" w:rsidRDefault="00C963C3" w:rsidP="00C963C3">
      <w:pPr>
        <w:rPr>
          <w:rFonts w:ascii="Arial" w:hAnsi="Arial" w:cs="Arial"/>
        </w:rPr>
      </w:pPr>
      <w:r w:rsidRPr="009F24C9">
        <w:rPr>
          <w:rFonts w:ascii="Arial" w:hAnsi="Arial" w:cs="Arial"/>
        </w:rPr>
        <w:t xml:space="preserve">Choose </w:t>
      </w:r>
      <w:r w:rsidRPr="009F24C9">
        <w:rPr>
          <w:rFonts w:ascii="Arial" w:hAnsi="Arial" w:cs="Arial"/>
          <w:b/>
          <w:bCs/>
        </w:rPr>
        <w:t>TWO academic sources</w:t>
      </w:r>
      <w:r w:rsidRPr="009F24C9">
        <w:rPr>
          <w:rFonts w:ascii="Arial" w:hAnsi="Arial" w:cs="Arial"/>
        </w:rPr>
        <w:t xml:space="preserve"> related to </w:t>
      </w:r>
      <w:r w:rsidR="00B668ED" w:rsidRPr="009F24C9">
        <w:rPr>
          <w:rFonts w:ascii="Arial" w:hAnsi="Arial" w:cs="Arial"/>
        </w:rPr>
        <w:t>the use of digital skills</w:t>
      </w:r>
      <w:r w:rsidRPr="009F24C9">
        <w:rPr>
          <w:rFonts w:ascii="Arial" w:hAnsi="Arial" w:cs="Arial"/>
        </w:rPr>
        <w:t xml:space="preserve"> in higher education.</w:t>
      </w:r>
    </w:p>
    <w:p w14:paraId="29963419" w14:textId="77777777" w:rsidR="00C963C3" w:rsidRPr="009F24C9" w:rsidRDefault="00C963C3" w:rsidP="00C963C3">
      <w:pPr>
        <w:rPr>
          <w:rFonts w:ascii="Arial" w:hAnsi="Arial" w:cs="Arial"/>
          <w:b/>
          <w:bCs/>
        </w:rPr>
      </w:pPr>
      <w:r w:rsidRPr="009F24C9">
        <w:rPr>
          <w:rFonts w:ascii="Arial" w:hAnsi="Arial" w:cs="Arial"/>
          <w:b/>
          <w:bCs/>
        </w:rPr>
        <w:t>Source 1</w:t>
      </w:r>
    </w:p>
    <w:p w14:paraId="02597761" w14:textId="52EAEC3B" w:rsidR="00C963C3" w:rsidRPr="009F24C9" w:rsidRDefault="00C963C3" w:rsidP="00C963C3">
      <w:pPr>
        <w:rPr>
          <w:rFonts w:ascii="Arial" w:hAnsi="Arial" w:cs="Arial"/>
        </w:rPr>
      </w:pPr>
      <w:r w:rsidRPr="009F24C9">
        <w:rPr>
          <w:rFonts w:ascii="Arial" w:hAnsi="Arial" w:cs="Arial"/>
        </w:rPr>
        <w:t>Author(s) and year:</w:t>
      </w:r>
      <w:r w:rsidR="008322BB">
        <w:rPr>
          <w:rFonts w:ascii="Arial" w:hAnsi="Arial" w:cs="Arial"/>
        </w:rPr>
        <w:t xml:space="preserve"> </w:t>
      </w:r>
      <w:r w:rsidR="008322BB" w:rsidRPr="006F79B9">
        <w:rPr>
          <w:rFonts w:ascii="Arial" w:hAnsi="Arial" w:cs="Arial"/>
        </w:rPr>
        <w:t>Zakir, S., Hoque, M.E., Susanto, P., Nisaa, V., Alam, M.K., Khatimah, H. &amp; Mulyani, E. (2025)</w:t>
      </w:r>
      <w:r w:rsidR="008322BB">
        <w:rPr>
          <w:rFonts w:ascii="Arial" w:hAnsi="Arial" w:cs="Arial"/>
        </w:rPr>
        <w:t xml:space="preserve">. </w:t>
      </w:r>
    </w:p>
    <w:p w14:paraId="3D4584FA" w14:textId="77777777" w:rsidR="00C963C3" w:rsidRPr="009F24C9" w:rsidRDefault="00C963C3" w:rsidP="00C963C3">
      <w:pPr>
        <w:rPr>
          <w:rFonts w:ascii="Arial" w:hAnsi="Arial" w:cs="Arial"/>
        </w:rPr>
      </w:pPr>
      <w:r w:rsidRPr="009F24C9">
        <w:rPr>
          <w:rFonts w:ascii="Arial" w:hAnsi="Arial" w:cs="Arial"/>
        </w:rPr>
        <w:t>Using the CRAAP Test, briefly evaluate:</w:t>
      </w:r>
    </w:p>
    <w:p w14:paraId="2F0B4244" w14:textId="540E8B0F" w:rsidR="00C963C3" w:rsidRPr="008322BB" w:rsidRDefault="00C963C3" w:rsidP="008322BB">
      <w:pPr>
        <w:numPr>
          <w:ilvl w:val="0"/>
          <w:numId w:val="18"/>
        </w:numPr>
        <w:rPr>
          <w:rFonts w:ascii="Arial" w:hAnsi="Arial" w:cs="Arial"/>
        </w:rPr>
      </w:pPr>
      <w:r w:rsidRPr="009F24C9">
        <w:rPr>
          <w:rFonts w:ascii="Arial" w:hAnsi="Arial" w:cs="Arial"/>
        </w:rPr>
        <w:t>Currency:</w:t>
      </w:r>
      <w:r w:rsidR="008322BB">
        <w:rPr>
          <w:rFonts w:ascii="Arial" w:hAnsi="Arial" w:cs="Arial"/>
        </w:rPr>
        <w:t xml:space="preserve"> Published in </w:t>
      </w:r>
      <w:r w:rsidR="007F52F2">
        <w:rPr>
          <w:rFonts w:ascii="Arial" w:hAnsi="Arial" w:cs="Arial"/>
        </w:rPr>
        <w:t>June</w:t>
      </w:r>
      <w:r w:rsidR="008322BB">
        <w:rPr>
          <w:rFonts w:ascii="Arial" w:hAnsi="Arial" w:cs="Arial"/>
        </w:rPr>
        <w:t xml:space="preserve"> 2025, which makes it recent as well as reflects the present environments of digital learning. </w:t>
      </w:r>
    </w:p>
    <w:p w14:paraId="5DF9F435" w14:textId="7EBBCFC6" w:rsidR="00C963C3" w:rsidRPr="008322BB" w:rsidRDefault="00C963C3" w:rsidP="008322BB">
      <w:pPr>
        <w:numPr>
          <w:ilvl w:val="0"/>
          <w:numId w:val="18"/>
        </w:numPr>
        <w:rPr>
          <w:rFonts w:ascii="Arial" w:hAnsi="Arial" w:cs="Arial"/>
        </w:rPr>
      </w:pPr>
      <w:r w:rsidRPr="009F24C9">
        <w:rPr>
          <w:rFonts w:ascii="Arial" w:hAnsi="Arial" w:cs="Arial"/>
        </w:rPr>
        <w:t>Relevance:</w:t>
      </w:r>
      <w:r w:rsidR="008322BB">
        <w:rPr>
          <w:rFonts w:ascii="Arial" w:hAnsi="Arial" w:cs="Arial"/>
        </w:rPr>
        <w:t xml:space="preserve"> Primarily focuses upon digital competence, digital literacy &amp; academic performance among all the university students – properly aligning in a direct manner with the core topic of the essay. </w:t>
      </w:r>
    </w:p>
    <w:p w14:paraId="27F3125C" w14:textId="77777777" w:rsidR="008322BB" w:rsidRPr="009F24C9" w:rsidRDefault="008322BB" w:rsidP="008322BB">
      <w:pPr>
        <w:numPr>
          <w:ilvl w:val="0"/>
          <w:numId w:val="18"/>
        </w:numPr>
        <w:rPr>
          <w:rFonts w:ascii="Arial" w:hAnsi="Arial" w:cs="Arial"/>
        </w:rPr>
      </w:pPr>
      <w:r w:rsidRPr="009F24C9">
        <w:rPr>
          <w:rFonts w:ascii="Arial" w:hAnsi="Arial" w:cs="Arial"/>
        </w:rPr>
        <w:t>Authority:</w:t>
      </w:r>
      <w:r>
        <w:rPr>
          <w:rFonts w:ascii="Arial" w:hAnsi="Arial" w:cs="Arial"/>
        </w:rPr>
        <w:t xml:space="preserve"> Peer-reviewed article present within a reputable open-access journal, all the authors are affiliated with existing higher education institutions. </w:t>
      </w:r>
    </w:p>
    <w:p w14:paraId="3314197B" w14:textId="77777777" w:rsidR="008322BB" w:rsidRPr="009F24C9" w:rsidRDefault="008322BB" w:rsidP="008322BB">
      <w:pPr>
        <w:numPr>
          <w:ilvl w:val="0"/>
          <w:numId w:val="18"/>
        </w:numPr>
        <w:rPr>
          <w:rFonts w:ascii="Arial" w:hAnsi="Arial" w:cs="Arial"/>
        </w:rPr>
      </w:pPr>
      <w:r w:rsidRPr="009F24C9">
        <w:rPr>
          <w:rFonts w:ascii="Arial" w:hAnsi="Arial" w:cs="Arial"/>
        </w:rPr>
        <w:t>Accuracy:</w:t>
      </w:r>
      <w:r>
        <w:rPr>
          <w:rFonts w:ascii="Arial" w:hAnsi="Arial" w:cs="Arial"/>
        </w:rPr>
        <w:t xml:space="preserve"> Empirical quantitative methodology with a confirmed hypotheses &amp; findings supported statistically, makes use of the Structural Equation Modelling intended for validity. </w:t>
      </w:r>
    </w:p>
    <w:p w14:paraId="25225728" w14:textId="77777777" w:rsidR="008322BB" w:rsidRPr="009F24C9" w:rsidRDefault="008322BB" w:rsidP="008322BB">
      <w:pPr>
        <w:numPr>
          <w:ilvl w:val="0"/>
          <w:numId w:val="18"/>
        </w:numPr>
        <w:rPr>
          <w:rFonts w:ascii="Arial" w:hAnsi="Arial" w:cs="Arial"/>
        </w:rPr>
      </w:pPr>
      <w:r w:rsidRPr="009F24C9">
        <w:rPr>
          <w:rFonts w:ascii="Arial" w:hAnsi="Arial" w:cs="Arial"/>
        </w:rPr>
        <w:t>Purpose:</w:t>
      </w:r>
      <w:r>
        <w:rPr>
          <w:rFonts w:ascii="Arial" w:hAnsi="Arial" w:cs="Arial"/>
        </w:rPr>
        <w:t xml:space="preserve"> Directly aims at clarifying how the digital literacy &amp; competence specifically mediate the associated academic success, which correctly informs both opportunities as well as challenges meant for all the students. </w:t>
      </w:r>
    </w:p>
    <w:p w14:paraId="2B2E8ABD" w14:textId="16DC16E3" w:rsidR="00C963C3" w:rsidRPr="008322BB" w:rsidRDefault="00C963C3" w:rsidP="00C963C3">
      <w:pPr>
        <w:rPr>
          <w:rFonts w:ascii="Arial" w:hAnsi="Arial" w:cs="Arial"/>
          <w:lang w:val="en-IN"/>
        </w:rPr>
      </w:pPr>
      <w:r w:rsidRPr="009F24C9">
        <w:rPr>
          <w:rFonts w:ascii="Arial" w:hAnsi="Arial" w:cs="Arial"/>
        </w:rPr>
        <w:t>Full reference (Harvard style):</w:t>
      </w:r>
      <w:r w:rsidR="008322BB">
        <w:rPr>
          <w:rFonts w:ascii="Arial" w:hAnsi="Arial" w:cs="Arial"/>
        </w:rPr>
        <w:t xml:space="preserve"> </w:t>
      </w:r>
      <w:r w:rsidR="008322BB" w:rsidRPr="006F79B9">
        <w:rPr>
          <w:rFonts w:ascii="Arial" w:hAnsi="Arial" w:cs="Arial"/>
          <w:lang w:val="en-IN"/>
        </w:rPr>
        <w:t xml:space="preserve">Zakir, S., Hoque, M.E., Susanto, P., Nisaa, V., Alam, M.K., Khatimah, H. and Mulyani, E., 2025, June. Digital literacy and academic performance: the mediating roles of digital informal learning, self-efficacy, and students’ digital competence. In </w:t>
      </w:r>
      <w:r w:rsidR="008322BB" w:rsidRPr="006F79B9">
        <w:rPr>
          <w:rFonts w:ascii="Arial" w:hAnsi="Arial" w:cs="Arial"/>
          <w:i/>
          <w:iCs/>
          <w:lang w:val="en-IN"/>
        </w:rPr>
        <w:t>Frontiers in Education</w:t>
      </w:r>
      <w:r w:rsidR="008322BB" w:rsidRPr="006F79B9">
        <w:rPr>
          <w:rFonts w:ascii="Arial" w:hAnsi="Arial" w:cs="Arial"/>
          <w:lang w:val="en-IN"/>
        </w:rPr>
        <w:t xml:space="preserve"> (Vol. 10, p. 1590274). Frontiers Media SA.</w:t>
      </w:r>
    </w:p>
    <w:p w14:paraId="338D4429" w14:textId="20AADE4A" w:rsidR="00C963C3" w:rsidRPr="009F24C9" w:rsidRDefault="00C963C3" w:rsidP="00C963C3">
      <w:pPr>
        <w:rPr>
          <w:rFonts w:ascii="Arial" w:hAnsi="Arial" w:cs="Arial"/>
        </w:rPr>
      </w:pPr>
    </w:p>
    <w:p w14:paraId="4D7CA805" w14:textId="77777777" w:rsidR="00C963C3" w:rsidRPr="009F24C9" w:rsidRDefault="00C963C3" w:rsidP="00C963C3">
      <w:pPr>
        <w:rPr>
          <w:rFonts w:ascii="Arial" w:hAnsi="Arial" w:cs="Arial"/>
          <w:b/>
          <w:bCs/>
        </w:rPr>
      </w:pPr>
      <w:r w:rsidRPr="009F24C9">
        <w:rPr>
          <w:rFonts w:ascii="Arial" w:hAnsi="Arial" w:cs="Arial"/>
          <w:b/>
          <w:bCs/>
        </w:rPr>
        <w:t>Source 2</w:t>
      </w:r>
    </w:p>
    <w:p w14:paraId="42469A76" w14:textId="6B2B970F" w:rsidR="00C963C3" w:rsidRPr="009F24C9" w:rsidRDefault="00C963C3" w:rsidP="00C963C3">
      <w:pPr>
        <w:rPr>
          <w:rFonts w:ascii="Arial" w:hAnsi="Arial" w:cs="Arial"/>
        </w:rPr>
      </w:pPr>
      <w:r w:rsidRPr="009F24C9">
        <w:rPr>
          <w:rFonts w:ascii="Arial" w:hAnsi="Arial" w:cs="Arial"/>
        </w:rPr>
        <w:t>Author(s) and year:</w:t>
      </w:r>
      <w:r w:rsidR="008322BB">
        <w:rPr>
          <w:rFonts w:ascii="Arial" w:hAnsi="Arial" w:cs="Arial"/>
        </w:rPr>
        <w:t xml:space="preserve"> </w:t>
      </w:r>
      <w:r w:rsidR="008322BB" w:rsidRPr="006F79B9">
        <w:rPr>
          <w:rFonts w:ascii="Arial" w:hAnsi="Arial" w:cs="Arial"/>
        </w:rPr>
        <w:t>Scheel, L., Vladova, G. &amp; Ullrich, A. (2022)</w:t>
      </w:r>
      <w:r w:rsidR="008322BB">
        <w:rPr>
          <w:rFonts w:ascii="Arial" w:hAnsi="Arial" w:cs="Arial"/>
        </w:rPr>
        <w:t xml:space="preserve">. </w:t>
      </w:r>
    </w:p>
    <w:p w14:paraId="29A0881F" w14:textId="77777777" w:rsidR="00C963C3" w:rsidRPr="009F24C9" w:rsidRDefault="00C963C3" w:rsidP="00C963C3">
      <w:pPr>
        <w:rPr>
          <w:rFonts w:ascii="Arial" w:hAnsi="Arial" w:cs="Arial"/>
        </w:rPr>
      </w:pPr>
      <w:r w:rsidRPr="009F24C9">
        <w:rPr>
          <w:rFonts w:ascii="Arial" w:hAnsi="Arial" w:cs="Arial"/>
        </w:rPr>
        <w:t>Using the CRAAP Test, briefly evaluate:</w:t>
      </w:r>
    </w:p>
    <w:p w14:paraId="54EA12EC" w14:textId="77777777" w:rsidR="008322BB" w:rsidRPr="009F24C9" w:rsidRDefault="008322BB" w:rsidP="008322BB">
      <w:pPr>
        <w:numPr>
          <w:ilvl w:val="0"/>
          <w:numId w:val="19"/>
        </w:numPr>
        <w:rPr>
          <w:rFonts w:ascii="Arial" w:hAnsi="Arial" w:cs="Arial"/>
        </w:rPr>
      </w:pPr>
      <w:r w:rsidRPr="009F24C9">
        <w:rPr>
          <w:rFonts w:ascii="Arial" w:hAnsi="Arial" w:cs="Arial"/>
        </w:rPr>
        <w:t>Currency:</w:t>
      </w:r>
      <w:r>
        <w:rPr>
          <w:rFonts w:ascii="Arial" w:hAnsi="Arial" w:cs="Arial"/>
        </w:rPr>
        <w:t xml:space="preserve"> Was published in August 2022, is sufficiently recent meant for discussion of digital learning. </w:t>
      </w:r>
    </w:p>
    <w:p w14:paraId="32E4D0A3" w14:textId="77777777" w:rsidR="008322BB" w:rsidRPr="009F24C9" w:rsidRDefault="008322BB" w:rsidP="008322BB">
      <w:pPr>
        <w:numPr>
          <w:ilvl w:val="0"/>
          <w:numId w:val="19"/>
        </w:numPr>
        <w:rPr>
          <w:rFonts w:ascii="Arial" w:hAnsi="Arial" w:cs="Arial"/>
        </w:rPr>
      </w:pPr>
      <w:r w:rsidRPr="009F24C9">
        <w:rPr>
          <w:rFonts w:ascii="Arial" w:hAnsi="Arial" w:cs="Arial"/>
        </w:rPr>
        <w:lastRenderedPageBreak/>
        <w:t>Relevance:</w:t>
      </w:r>
      <w:r>
        <w:rPr>
          <w:rFonts w:ascii="Arial" w:hAnsi="Arial" w:cs="Arial"/>
        </w:rPr>
        <w:t xml:space="preserve"> In a direct manner potentially examines self-organization, digital competences &amp; abilities of independent learning with relevance to acceptance of digital learning. </w:t>
      </w:r>
    </w:p>
    <w:p w14:paraId="0F24BC15" w14:textId="77777777" w:rsidR="008322BB" w:rsidRPr="009F24C9" w:rsidRDefault="008322BB" w:rsidP="008322BB">
      <w:pPr>
        <w:numPr>
          <w:ilvl w:val="0"/>
          <w:numId w:val="19"/>
        </w:numPr>
        <w:rPr>
          <w:rFonts w:ascii="Arial" w:hAnsi="Arial" w:cs="Arial"/>
        </w:rPr>
      </w:pPr>
      <w:r w:rsidRPr="009F24C9">
        <w:rPr>
          <w:rFonts w:ascii="Arial" w:hAnsi="Arial" w:cs="Arial"/>
        </w:rPr>
        <w:t>Authority:</w:t>
      </w:r>
      <w:r>
        <w:rPr>
          <w:rFonts w:ascii="Arial" w:hAnsi="Arial" w:cs="Arial"/>
        </w:rPr>
        <w:t xml:space="preserve"> Peer-reviewed within the International Journal of Educational Technology in Higher Education – turns out to be a leading field journal. </w:t>
      </w:r>
    </w:p>
    <w:p w14:paraId="0F503452" w14:textId="77777777" w:rsidR="008322BB" w:rsidRPr="009F24C9" w:rsidRDefault="008322BB" w:rsidP="008322BB">
      <w:pPr>
        <w:numPr>
          <w:ilvl w:val="0"/>
          <w:numId w:val="19"/>
        </w:numPr>
        <w:rPr>
          <w:rFonts w:ascii="Arial" w:hAnsi="Arial" w:cs="Arial"/>
        </w:rPr>
      </w:pPr>
      <w:r w:rsidRPr="009F24C9">
        <w:rPr>
          <w:rFonts w:ascii="Arial" w:hAnsi="Arial" w:cs="Arial"/>
        </w:rPr>
        <w:t>Accuracy:</w:t>
      </w:r>
      <w:r>
        <w:rPr>
          <w:rFonts w:ascii="Arial" w:hAnsi="Arial" w:cs="Arial"/>
        </w:rPr>
        <w:t xml:space="preserve"> Makes use of a robust regression analysis based upon 350-student sample, all the relevant finding are appropriately supported with prior research as well as academic theory. </w:t>
      </w:r>
    </w:p>
    <w:p w14:paraId="12F3D43B" w14:textId="77777777" w:rsidR="008322BB" w:rsidRPr="009F24C9" w:rsidRDefault="008322BB" w:rsidP="008322BB">
      <w:pPr>
        <w:numPr>
          <w:ilvl w:val="0"/>
          <w:numId w:val="19"/>
        </w:numPr>
        <w:rPr>
          <w:rFonts w:ascii="Arial" w:hAnsi="Arial" w:cs="Arial"/>
        </w:rPr>
      </w:pPr>
      <w:r w:rsidRPr="009F24C9">
        <w:rPr>
          <w:rFonts w:ascii="Arial" w:hAnsi="Arial" w:cs="Arial"/>
        </w:rPr>
        <w:t>Purpose:</w:t>
      </w:r>
      <w:r>
        <w:rPr>
          <w:rFonts w:ascii="Arial" w:hAnsi="Arial" w:cs="Arial"/>
        </w:rPr>
        <w:t xml:space="preserve"> Aimed at explaining how the student dispositions necessarily influence acceptance of digital learning, offering several insights upon challenges &amp; set of adaptive strategies. </w:t>
      </w:r>
    </w:p>
    <w:p w14:paraId="79FDB623" w14:textId="643020A1" w:rsidR="00C963C3" w:rsidRPr="008322BB" w:rsidRDefault="00C963C3" w:rsidP="00C963C3">
      <w:pPr>
        <w:rPr>
          <w:rFonts w:ascii="Arial" w:hAnsi="Arial" w:cs="Arial"/>
          <w:lang w:val="en-IN"/>
        </w:rPr>
      </w:pPr>
      <w:r w:rsidRPr="009F24C9">
        <w:rPr>
          <w:rFonts w:ascii="Arial" w:hAnsi="Arial" w:cs="Arial"/>
        </w:rPr>
        <w:t>Full reference (Harvard style):</w:t>
      </w:r>
      <w:r w:rsidR="008322BB">
        <w:rPr>
          <w:rFonts w:ascii="Arial" w:hAnsi="Arial" w:cs="Arial"/>
        </w:rPr>
        <w:t xml:space="preserve"> </w:t>
      </w:r>
      <w:r w:rsidR="008322BB" w:rsidRPr="006F79B9">
        <w:rPr>
          <w:rFonts w:ascii="Arial" w:hAnsi="Arial" w:cs="Arial"/>
          <w:lang w:val="en-IN"/>
        </w:rPr>
        <w:t xml:space="preserve">Scheel, L., Vladova, G. and Ullrich, A., 2022. The influence of digital competences, self-organization, and independent learning abilities on students’ acceptance of digital learning. </w:t>
      </w:r>
      <w:r w:rsidR="008322BB" w:rsidRPr="006F79B9">
        <w:rPr>
          <w:rFonts w:ascii="Arial" w:hAnsi="Arial" w:cs="Arial"/>
          <w:i/>
          <w:iCs/>
          <w:lang w:val="en-IN"/>
        </w:rPr>
        <w:t>International journal of educational technology in higher education</w:t>
      </w:r>
      <w:r w:rsidR="008322BB" w:rsidRPr="006F79B9">
        <w:rPr>
          <w:rFonts w:ascii="Arial" w:hAnsi="Arial" w:cs="Arial"/>
          <w:lang w:val="en-IN"/>
        </w:rPr>
        <w:t xml:space="preserve">, </w:t>
      </w:r>
      <w:r w:rsidR="008322BB" w:rsidRPr="006F79B9">
        <w:rPr>
          <w:rFonts w:ascii="Arial" w:hAnsi="Arial" w:cs="Arial"/>
          <w:i/>
          <w:iCs/>
          <w:lang w:val="en-IN"/>
        </w:rPr>
        <w:t>19</w:t>
      </w:r>
      <w:r w:rsidR="008322BB" w:rsidRPr="006F79B9">
        <w:rPr>
          <w:rFonts w:ascii="Arial" w:hAnsi="Arial" w:cs="Arial"/>
          <w:lang w:val="en-IN"/>
        </w:rPr>
        <w:t>(1), p.44.</w:t>
      </w:r>
    </w:p>
    <w:p w14:paraId="1541605E" w14:textId="7559A950" w:rsidR="00C963C3" w:rsidRPr="009F24C9" w:rsidRDefault="00C963C3" w:rsidP="00C963C3">
      <w:pPr>
        <w:rPr>
          <w:rFonts w:ascii="Arial" w:hAnsi="Arial" w:cs="Arial"/>
          <w:b/>
          <w:bCs/>
        </w:rPr>
      </w:pPr>
      <w:r w:rsidRPr="009F24C9">
        <w:rPr>
          <w:rFonts w:ascii="Arial" w:hAnsi="Arial" w:cs="Arial"/>
          <w:b/>
          <w:bCs/>
        </w:rPr>
        <w:t>Synthesis of Academic Sources</w:t>
      </w:r>
    </w:p>
    <w:p w14:paraId="081AAF2C" w14:textId="25271122" w:rsidR="00C963C3" w:rsidRDefault="00C963C3" w:rsidP="00C963C3">
      <w:pPr>
        <w:numPr>
          <w:ilvl w:val="0"/>
          <w:numId w:val="20"/>
        </w:numPr>
        <w:rPr>
          <w:rFonts w:ascii="Arial" w:hAnsi="Arial" w:cs="Arial"/>
        </w:rPr>
      </w:pPr>
      <w:r w:rsidRPr="009F24C9">
        <w:rPr>
          <w:rFonts w:ascii="Arial" w:hAnsi="Arial" w:cs="Arial"/>
        </w:rPr>
        <w:t>What shared theme or issue do both sources address?</w:t>
      </w:r>
    </w:p>
    <w:p w14:paraId="4BE9B60B" w14:textId="3F2C0948" w:rsidR="001A6ACA" w:rsidRPr="001A6ACA" w:rsidRDefault="001A6ACA" w:rsidP="001A6ACA">
      <w:pPr>
        <w:pStyle w:val="ListParagraph"/>
        <w:rPr>
          <w:rFonts w:ascii="Arial" w:hAnsi="Arial" w:cs="Arial"/>
        </w:rPr>
      </w:pPr>
      <w:r w:rsidRPr="001A6ACA">
        <w:rPr>
          <w:rFonts w:ascii="Arial" w:hAnsi="Arial" w:cs="Arial"/>
        </w:rPr>
        <w:t xml:space="preserve">Both Zakir </w:t>
      </w:r>
      <w:r w:rsidR="00E76922" w:rsidRPr="00E76922">
        <w:rPr>
          <w:rFonts w:ascii="Arial" w:hAnsi="Arial" w:cs="Arial"/>
          <w:i/>
          <w:iCs/>
        </w:rPr>
        <w:t>et al</w:t>
      </w:r>
      <w:r w:rsidRPr="001A6ACA">
        <w:rPr>
          <w:rFonts w:ascii="Arial" w:hAnsi="Arial" w:cs="Arial"/>
        </w:rPr>
        <w:t xml:space="preserve">. (2025) as well as Scheel </w:t>
      </w:r>
      <w:r w:rsidR="00E76922" w:rsidRPr="00E76922">
        <w:rPr>
          <w:rFonts w:ascii="Arial" w:hAnsi="Arial" w:cs="Arial"/>
          <w:i/>
          <w:iCs/>
        </w:rPr>
        <w:t>et al</w:t>
      </w:r>
      <w:r w:rsidRPr="001A6ACA">
        <w:rPr>
          <w:rFonts w:ascii="Arial" w:hAnsi="Arial" w:cs="Arial"/>
        </w:rPr>
        <w:t xml:space="preserve">. (2022) necessarily addresses the centralized theme of how the digital competences &amp; related dispositions of students entirely shape their learning outcomes with relevance to higher education. </w:t>
      </w:r>
    </w:p>
    <w:p w14:paraId="02BEE73B" w14:textId="77777777" w:rsidR="00C963C3" w:rsidRDefault="00C963C3" w:rsidP="00C963C3">
      <w:pPr>
        <w:numPr>
          <w:ilvl w:val="0"/>
          <w:numId w:val="20"/>
        </w:numPr>
        <w:rPr>
          <w:rFonts w:ascii="Arial" w:hAnsi="Arial" w:cs="Arial"/>
        </w:rPr>
      </w:pPr>
      <w:r w:rsidRPr="009F24C9">
        <w:rPr>
          <w:rFonts w:ascii="Arial" w:hAnsi="Arial" w:cs="Arial"/>
        </w:rPr>
        <w:t>How do the sources agree, differ, or complement each other?</w:t>
      </w:r>
    </w:p>
    <w:p w14:paraId="0908A498" w14:textId="7EE014BF" w:rsidR="001A6ACA" w:rsidRPr="001A6ACA" w:rsidRDefault="001A6ACA" w:rsidP="001A6ACA">
      <w:pPr>
        <w:pStyle w:val="ListParagraph"/>
        <w:rPr>
          <w:rFonts w:ascii="Arial" w:hAnsi="Arial" w:cs="Arial"/>
        </w:rPr>
      </w:pPr>
      <w:r w:rsidRPr="001A6ACA">
        <w:rPr>
          <w:rFonts w:ascii="Arial" w:hAnsi="Arial" w:cs="Arial"/>
        </w:rPr>
        <w:t xml:space="preserve">Both the sources potentially agree upon the fact that digital competence turns out to be a crucial component meant for an effective engagement with the existing environments of digital learning. Zakir </w:t>
      </w:r>
      <w:r w:rsidR="00E76922" w:rsidRPr="00E76922">
        <w:rPr>
          <w:rFonts w:ascii="Arial" w:hAnsi="Arial" w:cs="Arial"/>
          <w:i/>
          <w:iCs/>
        </w:rPr>
        <w:t>et al</w:t>
      </w:r>
      <w:r w:rsidRPr="001A6ACA">
        <w:rPr>
          <w:rFonts w:ascii="Arial" w:hAnsi="Arial" w:cs="Arial"/>
        </w:rPr>
        <w:t xml:space="preserve">. (2025) typically show that the aspect of digital literacy brings notable enhancement to academic performances in an indirect manner with the help of mechanisms such as an informal learning engagement &amp; self-efficacy, making suggestions to the students with a set of strong digital skills are better placed for success. Scheel </w:t>
      </w:r>
      <w:r w:rsidR="00E76922" w:rsidRPr="00E76922">
        <w:rPr>
          <w:rFonts w:ascii="Arial" w:hAnsi="Arial" w:cs="Arial"/>
          <w:i/>
          <w:iCs/>
        </w:rPr>
        <w:t>et al</w:t>
      </w:r>
      <w:r w:rsidRPr="001A6ACA">
        <w:rPr>
          <w:rFonts w:ascii="Arial" w:hAnsi="Arial" w:cs="Arial"/>
        </w:rPr>
        <w:t xml:space="preserve">. (2022) effectively complements this by wholly showcasing that the significant acceptance of digital learning itself potentially hinges upon all kinds of digital competences effectively combined with abilities of independent learning &amp; self-organization. Both the sources slightly differ upon emphasis: Scheel </w:t>
      </w:r>
      <w:r w:rsidR="00E76922" w:rsidRPr="00E76922">
        <w:rPr>
          <w:rFonts w:ascii="Arial" w:hAnsi="Arial" w:cs="Arial"/>
          <w:i/>
          <w:iCs/>
        </w:rPr>
        <w:t>et al</w:t>
      </w:r>
      <w:r w:rsidRPr="001A6ACA">
        <w:rPr>
          <w:rFonts w:ascii="Arial" w:hAnsi="Arial" w:cs="Arial"/>
        </w:rPr>
        <w:t xml:space="preserve">. has the focus more upon the dispositional predictors of digital learning acceptance, whereas Zakir </w:t>
      </w:r>
      <w:r w:rsidR="00E76922" w:rsidRPr="00E76922">
        <w:rPr>
          <w:rFonts w:ascii="Arial" w:hAnsi="Arial" w:cs="Arial"/>
          <w:i/>
          <w:iCs/>
        </w:rPr>
        <w:t>et al</w:t>
      </w:r>
      <w:r w:rsidRPr="001A6ACA">
        <w:rPr>
          <w:rFonts w:ascii="Arial" w:hAnsi="Arial" w:cs="Arial"/>
        </w:rPr>
        <w:t xml:space="preserve">. directly emphasizes upon all the mediating effects of competence &amp; digital literacy based upon academic performance. </w:t>
      </w:r>
    </w:p>
    <w:p w14:paraId="70B97768" w14:textId="77777777" w:rsidR="00C963C3" w:rsidRDefault="00C963C3" w:rsidP="00C963C3">
      <w:pPr>
        <w:numPr>
          <w:ilvl w:val="0"/>
          <w:numId w:val="20"/>
        </w:numPr>
        <w:rPr>
          <w:rFonts w:ascii="Arial" w:hAnsi="Arial" w:cs="Arial"/>
        </w:rPr>
      </w:pPr>
      <w:r w:rsidRPr="009F24C9">
        <w:rPr>
          <w:rFonts w:ascii="Arial" w:hAnsi="Arial" w:cs="Arial"/>
        </w:rPr>
        <w:lastRenderedPageBreak/>
        <w:t>How does combining these sources improve understanding of digital learning?</w:t>
      </w:r>
    </w:p>
    <w:p w14:paraId="4248AACC" w14:textId="35F882F4" w:rsidR="001A6ACA" w:rsidRPr="001A6ACA" w:rsidRDefault="001A6ACA" w:rsidP="001A6ACA">
      <w:pPr>
        <w:pStyle w:val="ListParagraph"/>
        <w:rPr>
          <w:rFonts w:ascii="Arial" w:hAnsi="Arial" w:cs="Arial"/>
        </w:rPr>
      </w:pPr>
      <w:r w:rsidRPr="001A6ACA">
        <w:rPr>
          <w:rFonts w:ascii="Arial" w:hAnsi="Arial" w:cs="Arial"/>
        </w:rPr>
        <w:t xml:space="preserve">Effectively synthesizing these mentioned perspectives wholly strengthens the relevant understand through demonstration that the success of digital learning is not just regarding access to technology, but also with the contained ability of the students for organization of their learning in an autonomous manner and directly apply all the digital competencies in a strategic way. </w:t>
      </w:r>
    </w:p>
    <w:p w14:paraId="4E612D60" w14:textId="0478DC35" w:rsidR="00C963C3" w:rsidRPr="009F24C9" w:rsidRDefault="00C963C3" w:rsidP="00C963C3">
      <w:pPr>
        <w:rPr>
          <w:rFonts w:ascii="Arial" w:hAnsi="Arial" w:cs="Arial"/>
          <w:b/>
          <w:bCs/>
        </w:rPr>
      </w:pPr>
      <w:r w:rsidRPr="009F24C9">
        <w:rPr>
          <w:rFonts w:ascii="Arial" w:hAnsi="Arial" w:cs="Arial"/>
          <w:b/>
          <w:bCs/>
        </w:rPr>
        <w:t>Identifying a Key Challenge and Opportunity</w:t>
      </w:r>
    </w:p>
    <w:p w14:paraId="01168AA1" w14:textId="77777777" w:rsidR="00C963C3" w:rsidRPr="009F24C9" w:rsidRDefault="00C963C3" w:rsidP="00C963C3">
      <w:pPr>
        <w:rPr>
          <w:rFonts w:ascii="Arial" w:hAnsi="Arial" w:cs="Arial"/>
        </w:rPr>
      </w:pPr>
      <w:r w:rsidRPr="009F24C9">
        <w:rPr>
          <w:rFonts w:ascii="Arial" w:hAnsi="Arial" w:cs="Arial"/>
        </w:rPr>
        <w:t xml:space="preserve">Using </w:t>
      </w:r>
      <w:r w:rsidRPr="009F24C9">
        <w:rPr>
          <w:rFonts w:ascii="Arial" w:hAnsi="Arial" w:cs="Arial"/>
          <w:b/>
          <w:bCs/>
        </w:rPr>
        <w:t>ONLY</w:t>
      </w:r>
      <w:r w:rsidRPr="009F24C9">
        <w:rPr>
          <w:rFonts w:ascii="Arial" w:hAnsi="Arial" w:cs="Arial"/>
        </w:rPr>
        <w:t xml:space="preserve"> the two sources above:</w:t>
      </w:r>
    </w:p>
    <w:p w14:paraId="58D0F24B" w14:textId="77777777" w:rsidR="00C963C3" w:rsidRDefault="00C963C3" w:rsidP="00C963C3">
      <w:pPr>
        <w:numPr>
          <w:ilvl w:val="0"/>
          <w:numId w:val="21"/>
        </w:numPr>
        <w:rPr>
          <w:rFonts w:ascii="Arial" w:hAnsi="Arial" w:cs="Arial"/>
        </w:rPr>
      </w:pPr>
      <w:r w:rsidRPr="009F24C9">
        <w:rPr>
          <w:rFonts w:ascii="Arial" w:hAnsi="Arial" w:cs="Arial"/>
        </w:rPr>
        <w:t>One key challenge for students in the digital era:</w:t>
      </w:r>
    </w:p>
    <w:p w14:paraId="557498DF" w14:textId="1F1CEEC7" w:rsidR="001A6ACA" w:rsidRPr="001A6ACA" w:rsidRDefault="001A6ACA" w:rsidP="001A6ACA">
      <w:pPr>
        <w:pStyle w:val="ListParagraph"/>
        <w:rPr>
          <w:rFonts w:ascii="Arial" w:hAnsi="Arial" w:cs="Arial"/>
        </w:rPr>
      </w:pPr>
      <w:r w:rsidRPr="001A6ACA">
        <w:rPr>
          <w:rFonts w:ascii="Arial" w:hAnsi="Arial" w:cs="Arial"/>
        </w:rPr>
        <w:t xml:space="preserve">One primary challenge for all the students in this digital era is effective development of a sufficient self-organization &amp; abilities of independent learning, along with several digital competences. Scheel </w:t>
      </w:r>
      <w:r w:rsidR="00E76922" w:rsidRPr="00E76922">
        <w:rPr>
          <w:rFonts w:ascii="Arial" w:hAnsi="Arial" w:cs="Arial"/>
          <w:i/>
          <w:iCs/>
        </w:rPr>
        <w:t>et al</w:t>
      </w:r>
      <w:r w:rsidRPr="001A6ACA">
        <w:rPr>
          <w:rFonts w:ascii="Arial" w:hAnsi="Arial" w:cs="Arial"/>
        </w:rPr>
        <w:t xml:space="preserve">. (2022) identified that without any self-organization, the students might face struggles for integrating digital learning right into the academic routines, which can wholly impede acceptance &amp; success across the digital environments. </w:t>
      </w:r>
    </w:p>
    <w:p w14:paraId="62EBFCBD" w14:textId="77777777" w:rsidR="00C963C3" w:rsidRDefault="00C963C3" w:rsidP="00C963C3">
      <w:pPr>
        <w:numPr>
          <w:ilvl w:val="0"/>
          <w:numId w:val="21"/>
        </w:numPr>
        <w:rPr>
          <w:rFonts w:ascii="Arial" w:hAnsi="Arial" w:cs="Arial"/>
        </w:rPr>
      </w:pPr>
      <w:r w:rsidRPr="009F24C9">
        <w:rPr>
          <w:rFonts w:ascii="Arial" w:hAnsi="Arial" w:cs="Arial"/>
        </w:rPr>
        <w:t>One key opportunity for students in the digital era:</w:t>
      </w:r>
    </w:p>
    <w:p w14:paraId="1B20C3B9" w14:textId="27796734" w:rsidR="001A6ACA" w:rsidRPr="001A6ACA" w:rsidRDefault="001A6ACA" w:rsidP="001A6ACA">
      <w:pPr>
        <w:pStyle w:val="ListParagraph"/>
        <w:rPr>
          <w:rFonts w:ascii="Arial" w:hAnsi="Arial" w:cs="Arial"/>
        </w:rPr>
      </w:pPr>
      <w:r w:rsidRPr="001A6ACA">
        <w:rPr>
          <w:rFonts w:ascii="Arial" w:hAnsi="Arial" w:cs="Arial"/>
        </w:rPr>
        <w:t xml:space="preserve">On the contrary, this digital era clearly presents the significant opportunity for enhancement of academic performance with the help of digital literacy and an informal digital engagement. Zakir </w:t>
      </w:r>
      <w:r w:rsidR="00E76922" w:rsidRPr="00E76922">
        <w:rPr>
          <w:rFonts w:ascii="Arial" w:hAnsi="Arial" w:cs="Arial"/>
          <w:i/>
          <w:iCs/>
        </w:rPr>
        <w:t>et al</w:t>
      </w:r>
      <w:r w:rsidRPr="001A6ACA">
        <w:rPr>
          <w:rFonts w:ascii="Arial" w:hAnsi="Arial" w:cs="Arial"/>
        </w:rPr>
        <w:t>. (2025) clearly demonstrates that the aspect of digital literacy just not brings improvement to digital competence but also wholly strengthens engagement &amp; self-efficacy in terms of an informal online learning, which can potentially lead to improved academic outcomes.</w:t>
      </w:r>
    </w:p>
    <w:p w14:paraId="3B8F8E8B" w14:textId="03B04875" w:rsidR="00C963C3" w:rsidRPr="009F24C9" w:rsidRDefault="00C963C3" w:rsidP="00C963C3">
      <w:pPr>
        <w:rPr>
          <w:rFonts w:ascii="Arial" w:hAnsi="Arial" w:cs="Arial"/>
          <w:b/>
          <w:bCs/>
        </w:rPr>
      </w:pPr>
      <w:r w:rsidRPr="009F24C9">
        <w:rPr>
          <w:rFonts w:ascii="Arial" w:hAnsi="Arial" w:cs="Arial"/>
          <w:b/>
          <w:bCs/>
        </w:rPr>
        <w:t>Academic Planning for Component 2</w:t>
      </w:r>
    </w:p>
    <w:p w14:paraId="0D5C2F49" w14:textId="77777777" w:rsidR="00C963C3" w:rsidRDefault="00C963C3" w:rsidP="00C963C3">
      <w:pPr>
        <w:numPr>
          <w:ilvl w:val="0"/>
          <w:numId w:val="22"/>
        </w:numPr>
        <w:rPr>
          <w:rFonts w:ascii="Arial" w:hAnsi="Arial" w:cs="Arial"/>
        </w:rPr>
      </w:pPr>
      <w:r w:rsidRPr="009F24C9">
        <w:rPr>
          <w:rFonts w:ascii="Arial" w:hAnsi="Arial" w:cs="Arial"/>
        </w:rPr>
        <w:t>Which section(s) of Component 2 will you prioritise first? Why?</w:t>
      </w:r>
    </w:p>
    <w:p w14:paraId="5E81EF9F" w14:textId="5A4182C3" w:rsidR="001A6ACA" w:rsidRPr="001A6ACA" w:rsidRDefault="001A6ACA" w:rsidP="001A6ACA">
      <w:pPr>
        <w:pStyle w:val="ListParagraph"/>
        <w:rPr>
          <w:rFonts w:ascii="Arial" w:hAnsi="Arial" w:cs="Arial"/>
        </w:rPr>
      </w:pPr>
      <w:r w:rsidRPr="001A6ACA">
        <w:rPr>
          <w:rFonts w:ascii="Arial" w:hAnsi="Arial" w:cs="Arial"/>
        </w:rPr>
        <w:t xml:space="preserve">Strategies &amp; Challenges first, since they need the strongest evidence along with a critical analysis. </w:t>
      </w:r>
    </w:p>
    <w:p w14:paraId="248EB8B8" w14:textId="77777777" w:rsidR="00C963C3" w:rsidRDefault="00C963C3" w:rsidP="00C963C3">
      <w:pPr>
        <w:numPr>
          <w:ilvl w:val="0"/>
          <w:numId w:val="22"/>
        </w:numPr>
        <w:rPr>
          <w:rFonts w:ascii="Arial" w:hAnsi="Arial" w:cs="Arial"/>
        </w:rPr>
      </w:pPr>
      <w:r w:rsidRPr="009F24C9">
        <w:rPr>
          <w:rFonts w:ascii="Arial" w:hAnsi="Arial" w:cs="Arial"/>
        </w:rPr>
        <w:t>Which academic skills or lecture content will you develop further?</w:t>
      </w:r>
    </w:p>
    <w:p w14:paraId="15E2F3EA" w14:textId="31E343A2" w:rsidR="001A6ACA" w:rsidRPr="001A6ACA" w:rsidRDefault="001A6ACA" w:rsidP="001A6ACA">
      <w:pPr>
        <w:pStyle w:val="ListParagraph"/>
        <w:rPr>
          <w:rFonts w:ascii="Arial" w:hAnsi="Arial" w:cs="Arial"/>
        </w:rPr>
      </w:pPr>
      <w:r w:rsidRPr="001A6ACA">
        <w:rPr>
          <w:rFonts w:ascii="Arial" w:hAnsi="Arial" w:cs="Arial"/>
        </w:rPr>
        <w:t xml:space="preserve">Critical evaluation, Digital literacy &amp; use of academic source (Cottrell frameworks). </w:t>
      </w:r>
    </w:p>
    <w:p w14:paraId="12514356" w14:textId="7A49E748" w:rsidR="00C963C3" w:rsidRDefault="00C963C3" w:rsidP="00C963C3">
      <w:pPr>
        <w:numPr>
          <w:ilvl w:val="0"/>
          <w:numId w:val="22"/>
        </w:numPr>
        <w:rPr>
          <w:rFonts w:ascii="Arial" w:hAnsi="Arial" w:cs="Arial"/>
        </w:rPr>
      </w:pPr>
      <w:r w:rsidRPr="009F24C9">
        <w:rPr>
          <w:rFonts w:ascii="Arial" w:hAnsi="Arial" w:cs="Arial"/>
        </w:rPr>
        <w:t xml:space="preserve">Brief outline of how Component 2 will be </w:t>
      </w:r>
      <w:r w:rsidR="007F52F2" w:rsidRPr="009F24C9">
        <w:rPr>
          <w:rFonts w:ascii="Arial" w:hAnsi="Arial" w:cs="Arial"/>
        </w:rPr>
        <w:t>structured.</w:t>
      </w:r>
    </w:p>
    <w:p w14:paraId="503C2970" w14:textId="74320302" w:rsidR="001A6ACA" w:rsidRPr="001A6ACA" w:rsidRDefault="001A6ACA" w:rsidP="001A6ACA">
      <w:pPr>
        <w:pStyle w:val="ListParagraph"/>
        <w:rPr>
          <w:rFonts w:ascii="Arial" w:hAnsi="Arial" w:cs="Arial"/>
        </w:rPr>
      </w:pPr>
      <w:r w:rsidRPr="001A6ACA">
        <w:rPr>
          <w:rFonts w:ascii="Arial" w:hAnsi="Arial" w:cs="Arial"/>
        </w:rPr>
        <w:t xml:space="preserve">Introduction -&gt; Challenges -&gt; Opportunities -&gt; Strategies -&gt; Conclusion. </w:t>
      </w:r>
    </w:p>
    <w:p w14:paraId="49CBD59C" w14:textId="77777777" w:rsidR="001A6ACA" w:rsidRDefault="001A6ACA" w:rsidP="00C963C3">
      <w:pPr>
        <w:rPr>
          <w:rFonts w:ascii="Arial" w:hAnsi="Arial" w:cs="Arial"/>
          <w:b/>
          <w:bCs/>
        </w:rPr>
      </w:pPr>
    </w:p>
    <w:p w14:paraId="52910193" w14:textId="3DAA5000" w:rsidR="00C963C3" w:rsidRPr="009F24C9" w:rsidRDefault="00C963C3" w:rsidP="00C963C3">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511"/>
        <w:gridCol w:w="4505"/>
      </w:tblGrid>
      <w:tr w:rsidR="00B668ED" w:rsidRPr="009F24C9" w14:paraId="6E7EE347" w14:textId="77777777" w:rsidTr="001A6ACA">
        <w:tc>
          <w:tcPr>
            <w:tcW w:w="4511"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lastRenderedPageBreak/>
              <w:t>Task</w:t>
            </w:r>
          </w:p>
        </w:tc>
        <w:tc>
          <w:tcPr>
            <w:tcW w:w="4505"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1A6ACA" w:rsidRPr="009F24C9" w14:paraId="17AE3C0F" w14:textId="77777777" w:rsidTr="001A6ACA">
        <w:tc>
          <w:tcPr>
            <w:tcW w:w="4511" w:type="dxa"/>
          </w:tcPr>
          <w:p w14:paraId="14E20D23" w14:textId="77777777" w:rsidR="001A6ACA" w:rsidRPr="009F24C9" w:rsidRDefault="001A6ACA" w:rsidP="001A6ACA">
            <w:pPr>
              <w:spacing w:after="160" w:line="278" w:lineRule="auto"/>
              <w:jc w:val="center"/>
              <w:rPr>
                <w:rFonts w:ascii="Arial" w:hAnsi="Arial" w:cs="Arial"/>
              </w:rPr>
            </w:pPr>
            <w:r w:rsidRPr="009F24C9">
              <w:rPr>
                <w:rFonts w:ascii="Arial" w:hAnsi="Arial" w:cs="Arial"/>
              </w:rPr>
              <w:t>Finish research</w:t>
            </w:r>
          </w:p>
        </w:tc>
        <w:tc>
          <w:tcPr>
            <w:tcW w:w="4505" w:type="dxa"/>
          </w:tcPr>
          <w:p w14:paraId="3F1EB262" w14:textId="0A835044" w:rsidR="001A6ACA" w:rsidRPr="009F24C9" w:rsidRDefault="001A6ACA" w:rsidP="001A6ACA">
            <w:pPr>
              <w:spacing w:after="160" w:line="278" w:lineRule="auto"/>
              <w:jc w:val="center"/>
              <w:rPr>
                <w:rFonts w:ascii="Arial" w:hAnsi="Arial" w:cs="Arial"/>
              </w:rPr>
            </w:pPr>
            <w:r>
              <w:rPr>
                <w:rFonts w:ascii="Arial" w:hAnsi="Arial" w:cs="Arial"/>
              </w:rPr>
              <w:t>Week 1</w:t>
            </w:r>
            <w:r w:rsidR="001B1F94">
              <w:rPr>
                <w:rFonts w:ascii="Arial" w:hAnsi="Arial" w:cs="Arial"/>
              </w:rPr>
              <w:t>,2,3</w:t>
            </w:r>
          </w:p>
        </w:tc>
      </w:tr>
      <w:tr w:rsidR="001A6ACA" w:rsidRPr="009F24C9" w14:paraId="122F8C21" w14:textId="77777777" w:rsidTr="001A6ACA">
        <w:tc>
          <w:tcPr>
            <w:tcW w:w="4511" w:type="dxa"/>
          </w:tcPr>
          <w:p w14:paraId="1242D8DA" w14:textId="77777777" w:rsidR="001A6ACA" w:rsidRPr="009F24C9" w:rsidRDefault="001A6ACA" w:rsidP="001A6ACA">
            <w:pPr>
              <w:spacing w:after="160" w:line="278" w:lineRule="auto"/>
              <w:jc w:val="center"/>
              <w:rPr>
                <w:rFonts w:ascii="Arial" w:hAnsi="Arial" w:cs="Arial"/>
              </w:rPr>
            </w:pPr>
            <w:r w:rsidRPr="009F24C9">
              <w:rPr>
                <w:rFonts w:ascii="Arial" w:hAnsi="Arial" w:cs="Arial"/>
              </w:rPr>
              <w:t>Draft first section</w:t>
            </w:r>
          </w:p>
        </w:tc>
        <w:tc>
          <w:tcPr>
            <w:tcW w:w="4505" w:type="dxa"/>
          </w:tcPr>
          <w:p w14:paraId="2985EF06" w14:textId="7ED56CF1" w:rsidR="001A6ACA" w:rsidRPr="009F24C9" w:rsidRDefault="001A6ACA" w:rsidP="001A6ACA">
            <w:pPr>
              <w:spacing w:after="160" w:line="278" w:lineRule="auto"/>
              <w:jc w:val="center"/>
              <w:rPr>
                <w:rFonts w:ascii="Arial" w:hAnsi="Arial" w:cs="Arial"/>
              </w:rPr>
            </w:pPr>
            <w:r>
              <w:rPr>
                <w:rFonts w:ascii="Arial" w:hAnsi="Arial" w:cs="Arial"/>
              </w:rPr>
              <w:t xml:space="preserve">Week </w:t>
            </w:r>
            <w:r w:rsidR="00AE5EB6">
              <w:rPr>
                <w:rFonts w:ascii="Arial" w:hAnsi="Arial" w:cs="Arial"/>
              </w:rPr>
              <w:t>4</w:t>
            </w:r>
          </w:p>
        </w:tc>
      </w:tr>
      <w:tr w:rsidR="001A6ACA" w:rsidRPr="009F24C9" w14:paraId="15A9300C" w14:textId="77777777" w:rsidTr="001A6ACA">
        <w:tc>
          <w:tcPr>
            <w:tcW w:w="4511" w:type="dxa"/>
          </w:tcPr>
          <w:p w14:paraId="451F8463" w14:textId="77777777" w:rsidR="001A6ACA" w:rsidRPr="009F24C9" w:rsidRDefault="001A6ACA" w:rsidP="001A6ACA">
            <w:pPr>
              <w:spacing w:after="160" w:line="278" w:lineRule="auto"/>
              <w:jc w:val="center"/>
              <w:rPr>
                <w:rFonts w:ascii="Arial" w:hAnsi="Arial" w:cs="Arial"/>
              </w:rPr>
            </w:pPr>
            <w:r w:rsidRPr="009F24C9">
              <w:rPr>
                <w:rFonts w:ascii="Arial" w:hAnsi="Arial" w:cs="Arial"/>
              </w:rPr>
              <w:t>Complete first draft</w:t>
            </w:r>
          </w:p>
        </w:tc>
        <w:tc>
          <w:tcPr>
            <w:tcW w:w="4505" w:type="dxa"/>
          </w:tcPr>
          <w:p w14:paraId="65269EDB" w14:textId="6F6B34CC" w:rsidR="001A6ACA" w:rsidRPr="009F24C9" w:rsidRDefault="001A6ACA" w:rsidP="001A6ACA">
            <w:pPr>
              <w:spacing w:after="160" w:line="278" w:lineRule="auto"/>
              <w:jc w:val="center"/>
              <w:rPr>
                <w:rFonts w:ascii="Arial" w:hAnsi="Arial" w:cs="Arial"/>
              </w:rPr>
            </w:pPr>
            <w:r>
              <w:rPr>
                <w:rFonts w:ascii="Arial" w:hAnsi="Arial" w:cs="Arial"/>
              </w:rPr>
              <w:t xml:space="preserve">Week </w:t>
            </w:r>
            <w:r w:rsidR="00AE5EB6">
              <w:rPr>
                <w:rFonts w:ascii="Arial" w:hAnsi="Arial" w:cs="Arial"/>
              </w:rPr>
              <w:t>5</w:t>
            </w:r>
          </w:p>
        </w:tc>
      </w:tr>
      <w:tr w:rsidR="001A6ACA" w:rsidRPr="009F24C9" w14:paraId="3C106586" w14:textId="77777777" w:rsidTr="001A6ACA">
        <w:tc>
          <w:tcPr>
            <w:tcW w:w="4511" w:type="dxa"/>
          </w:tcPr>
          <w:p w14:paraId="16A4F2D6" w14:textId="77777777" w:rsidR="001A6ACA" w:rsidRPr="009F24C9" w:rsidRDefault="001A6ACA" w:rsidP="001A6ACA">
            <w:pPr>
              <w:spacing w:after="160" w:line="278" w:lineRule="auto"/>
              <w:jc w:val="center"/>
              <w:rPr>
                <w:rFonts w:ascii="Arial" w:hAnsi="Arial" w:cs="Arial"/>
              </w:rPr>
            </w:pPr>
            <w:r w:rsidRPr="009F24C9">
              <w:rPr>
                <w:rFonts w:ascii="Arial" w:hAnsi="Arial" w:cs="Arial"/>
              </w:rPr>
              <w:t>Final editing</w:t>
            </w:r>
          </w:p>
        </w:tc>
        <w:tc>
          <w:tcPr>
            <w:tcW w:w="4505" w:type="dxa"/>
          </w:tcPr>
          <w:p w14:paraId="5104B13E" w14:textId="1FC06EE0" w:rsidR="001A6ACA" w:rsidRPr="009F24C9" w:rsidRDefault="001A6ACA" w:rsidP="001A6ACA">
            <w:pPr>
              <w:spacing w:after="160" w:line="278" w:lineRule="auto"/>
              <w:jc w:val="center"/>
              <w:rPr>
                <w:rFonts w:ascii="Arial" w:hAnsi="Arial" w:cs="Arial"/>
              </w:rPr>
            </w:pPr>
            <w:r>
              <w:rPr>
                <w:rFonts w:ascii="Arial" w:hAnsi="Arial" w:cs="Arial"/>
              </w:rPr>
              <w:t xml:space="preserve">Week </w:t>
            </w:r>
            <w:r w:rsidR="00AE5EB6">
              <w:rPr>
                <w:rFonts w:ascii="Arial" w:hAnsi="Arial" w:cs="Arial"/>
              </w:rPr>
              <w:t>6</w:t>
            </w:r>
          </w:p>
        </w:tc>
      </w:tr>
    </w:tbl>
    <w:p w14:paraId="622CA990" w14:textId="7719488C" w:rsidR="00C963C3" w:rsidRPr="009F24C9" w:rsidRDefault="00C963C3" w:rsidP="00C963C3">
      <w:pPr>
        <w:rPr>
          <w:rFonts w:ascii="Arial" w:hAnsi="Arial" w:cs="Arial"/>
        </w:rPr>
      </w:pPr>
    </w:p>
    <w:p w14:paraId="6671D21A" w14:textId="77777777" w:rsidR="00C963C3" w:rsidRPr="009F24C9" w:rsidRDefault="00C963C3" w:rsidP="00C963C3">
      <w:pPr>
        <w:rPr>
          <w:rFonts w:ascii="Arial" w:hAnsi="Arial" w:cs="Arial"/>
          <w:b/>
          <w:bCs/>
        </w:rPr>
      </w:pPr>
      <w:r w:rsidRPr="009F24C9">
        <w:rPr>
          <w:rFonts w:ascii="Arial" w:hAnsi="Arial" w:cs="Arial"/>
          <w:b/>
          <w:bCs/>
        </w:rPr>
        <w:t>Reference List – Component 1</w:t>
      </w:r>
    </w:p>
    <w:p w14:paraId="51EBB726" w14:textId="7580676B" w:rsidR="00E91A42" w:rsidRPr="00E91A42" w:rsidRDefault="00E91A42" w:rsidP="00E91A42">
      <w:r w:rsidRPr="006F79B9">
        <w:rPr>
          <w:rFonts w:ascii="Arial" w:hAnsi="Arial" w:cs="Arial"/>
          <w:lang w:val="en-IN"/>
        </w:rPr>
        <w:t xml:space="preserve">Scheel, L., Vladova, G. and Ullrich, A., 2022. The influence of digital competences, self-organization, and independent learning abilities on students’ acceptance of digital learning. </w:t>
      </w:r>
      <w:r w:rsidRPr="006F79B9">
        <w:rPr>
          <w:rFonts w:ascii="Arial" w:hAnsi="Arial" w:cs="Arial"/>
          <w:i/>
          <w:iCs/>
          <w:lang w:val="en-IN"/>
        </w:rPr>
        <w:t>International journal of educational technology in higher education</w:t>
      </w:r>
      <w:r w:rsidRPr="006F79B9">
        <w:rPr>
          <w:rFonts w:ascii="Arial" w:hAnsi="Arial" w:cs="Arial"/>
          <w:lang w:val="en-IN"/>
        </w:rPr>
        <w:t xml:space="preserve">, </w:t>
      </w:r>
      <w:r w:rsidRPr="006F79B9">
        <w:rPr>
          <w:rFonts w:ascii="Arial" w:hAnsi="Arial" w:cs="Arial"/>
          <w:i/>
          <w:iCs/>
          <w:lang w:val="en-IN"/>
        </w:rPr>
        <w:t>19</w:t>
      </w:r>
      <w:r w:rsidRPr="006F79B9">
        <w:rPr>
          <w:rFonts w:ascii="Arial" w:hAnsi="Arial" w:cs="Arial"/>
          <w:lang w:val="en-IN"/>
        </w:rPr>
        <w:t>(1), p.44.</w:t>
      </w:r>
    </w:p>
    <w:p w14:paraId="5A0293A8" w14:textId="2A7B294A" w:rsidR="00E91A42" w:rsidRPr="008322BB" w:rsidRDefault="00E91A42" w:rsidP="00E91A42">
      <w:pPr>
        <w:rPr>
          <w:rFonts w:ascii="Arial" w:hAnsi="Arial" w:cs="Arial"/>
          <w:lang w:val="en-IN"/>
        </w:rPr>
      </w:pPr>
      <w:r w:rsidRPr="006F79B9">
        <w:rPr>
          <w:rFonts w:ascii="Arial" w:hAnsi="Arial" w:cs="Arial"/>
          <w:lang w:val="en-IN"/>
        </w:rPr>
        <w:t xml:space="preserve">Zakir, S., Hoque, M.E., Susanto, P., Nisaa, V., Alam, M.K., Khatimah, H. and Mulyani, E., 2025, June. Digital literacy and academic performance: the mediating roles of digital informal learning, self-efficacy, and students’ digital competence. In </w:t>
      </w:r>
      <w:r w:rsidRPr="006F79B9">
        <w:rPr>
          <w:rFonts w:ascii="Arial" w:hAnsi="Arial" w:cs="Arial"/>
          <w:i/>
          <w:iCs/>
          <w:lang w:val="en-IN"/>
        </w:rPr>
        <w:t>Frontiers in Education</w:t>
      </w:r>
      <w:r w:rsidRPr="006F79B9">
        <w:rPr>
          <w:rFonts w:ascii="Arial" w:hAnsi="Arial" w:cs="Arial"/>
          <w:lang w:val="en-IN"/>
        </w:rPr>
        <w:t xml:space="preserve"> (Vol. 10, p. 1590274). Frontiers Media SA.</w:t>
      </w:r>
    </w:p>
    <w:p w14:paraId="72557085" w14:textId="65B0D9BC" w:rsidR="00C963C3" w:rsidRPr="009F24C9" w:rsidRDefault="00C963C3" w:rsidP="00E91A42"/>
    <w:p w14:paraId="7B1AEA4C" w14:textId="77777777" w:rsidR="00B668ED" w:rsidRPr="009F24C9" w:rsidRDefault="00B668ED" w:rsidP="00C963C3">
      <w:pPr>
        <w:pStyle w:val="Heading1"/>
        <w:rPr>
          <w:rFonts w:ascii="Arial" w:hAnsi="Arial" w:cs="Arial"/>
        </w:rPr>
        <w:sectPr w:rsidR="00B668ED" w:rsidRPr="009F24C9" w:rsidSect="005C3328">
          <w:pgSz w:w="11906" w:h="16838"/>
          <w:pgMar w:top="1440" w:right="1440" w:bottom="1440" w:left="1440" w:header="708" w:footer="708" w:gutter="0"/>
          <w:pgNumType w:start="4" w:chapStyle="1"/>
          <w:cols w:space="708"/>
          <w:titlePg/>
          <w:docGrid w:linePitch="360"/>
        </w:sectPr>
      </w:pPr>
    </w:p>
    <w:p w14:paraId="34A3B4C3" w14:textId="01E32857" w:rsidR="00C963C3" w:rsidRDefault="00C963C3" w:rsidP="00A7339D">
      <w:pPr>
        <w:pStyle w:val="Heading1"/>
        <w:rPr>
          <w:rFonts w:ascii="Arial" w:hAnsi="Arial" w:cs="Arial"/>
        </w:rPr>
      </w:pPr>
      <w:bookmarkStart w:id="1" w:name="_Toc218876934"/>
      <w:r w:rsidRPr="009F24C9">
        <w:rPr>
          <w:rFonts w:ascii="Arial" w:hAnsi="Arial" w:cs="Arial"/>
        </w:rPr>
        <w:lastRenderedPageBreak/>
        <w:t xml:space="preserve">Component 2 – Application of Academic Skills (1,000 </w:t>
      </w:r>
      <w:r w:rsidR="009F24C9">
        <w:rPr>
          <w:rFonts w:ascii="Arial" w:hAnsi="Arial" w:cs="Arial"/>
        </w:rPr>
        <w:t>W</w:t>
      </w:r>
      <w:r w:rsidRPr="009F24C9">
        <w:rPr>
          <w:rFonts w:ascii="Arial" w:hAnsi="Arial" w:cs="Arial"/>
        </w:rPr>
        <w:t>ord</w:t>
      </w:r>
      <w:r w:rsidR="009F24C9">
        <w:rPr>
          <w:rFonts w:ascii="Arial" w:hAnsi="Arial" w:cs="Arial"/>
        </w:rPr>
        <w:t xml:space="preserve"> </w:t>
      </w:r>
      <w:r w:rsidR="00692819">
        <w:rPr>
          <w:rFonts w:ascii="Arial" w:hAnsi="Arial" w:cs="Arial"/>
        </w:rPr>
        <w:t>Report</w:t>
      </w:r>
      <w:r w:rsidRPr="009F24C9">
        <w:rPr>
          <w:rFonts w:ascii="Arial" w:hAnsi="Arial" w:cs="Arial"/>
        </w:rPr>
        <w:t>)</w:t>
      </w:r>
      <w:bookmarkEnd w:id="1"/>
    </w:p>
    <w:p w14:paraId="4C03F7B1" w14:textId="77777777" w:rsidR="00A7339D" w:rsidRPr="00A7339D" w:rsidRDefault="00A7339D" w:rsidP="00A7339D"/>
    <w:p w14:paraId="075A7D93" w14:textId="29A1B1C5" w:rsidR="00C963C3" w:rsidRPr="009F24C9" w:rsidRDefault="00C963C3" w:rsidP="00C963C3">
      <w:pPr>
        <w:rPr>
          <w:rFonts w:ascii="Arial" w:hAnsi="Arial" w:cs="Arial"/>
          <w:b/>
          <w:bCs/>
        </w:rPr>
      </w:pPr>
      <w:r w:rsidRPr="009F24C9">
        <w:rPr>
          <w:rFonts w:ascii="Arial" w:hAnsi="Arial" w:cs="Arial"/>
          <w:b/>
          <w:bCs/>
        </w:rPr>
        <w:t>Introduction</w:t>
      </w:r>
    </w:p>
    <w:p w14:paraId="105E2DFB" w14:textId="394BB36D" w:rsidR="00C20161" w:rsidRPr="00E611AB" w:rsidRDefault="00C20161" w:rsidP="00C20161">
      <w:r>
        <w:rPr>
          <w:rFonts w:ascii="Arial" w:hAnsi="Arial" w:cs="Arial"/>
        </w:rPr>
        <w:t>Digital learning has turned out to be a centralized feature of higher education because of the rapid technological development along with the specific expansion of online &amp; all the blended learning environments</w:t>
      </w:r>
      <w:r w:rsidR="00E611AB">
        <w:rPr>
          <w:rFonts w:ascii="Arial" w:hAnsi="Arial" w:cs="Arial"/>
        </w:rPr>
        <w:t xml:space="preserve"> (</w:t>
      </w:r>
      <w:r w:rsidR="00E611AB" w:rsidRPr="00320117">
        <w:rPr>
          <w:rFonts w:ascii="Arial" w:hAnsi="Arial" w:cs="Arial"/>
          <w:lang w:val="en-IN"/>
        </w:rPr>
        <w:t>Khan</w:t>
      </w:r>
      <w:r w:rsidR="00E611AB">
        <w:t xml:space="preserve"> </w:t>
      </w:r>
      <w:r w:rsidR="00E76922" w:rsidRPr="00E76922">
        <w:rPr>
          <w:i/>
          <w:iCs/>
        </w:rPr>
        <w:t>et al</w:t>
      </w:r>
      <w:r w:rsidR="00E611AB">
        <w:t xml:space="preserve">. </w:t>
      </w:r>
      <w:r w:rsidR="00E611AB" w:rsidRPr="00320117">
        <w:rPr>
          <w:rFonts w:ascii="Arial" w:hAnsi="Arial" w:cs="Arial"/>
          <w:lang w:val="en-IN"/>
        </w:rPr>
        <w:t>2022</w:t>
      </w:r>
      <w:r w:rsidR="00E611AB">
        <w:rPr>
          <w:rFonts w:ascii="Arial" w:hAnsi="Arial" w:cs="Arial"/>
        </w:rPr>
        <w:t>)</w:t>
      </w:r>
      <w:r>
        <w:rPr>
          <w:rFonts w:ascii="Arial" w:hAnsi="Arial" w:cs="Arial"/>
        </w:rPr>
        <w:t>. Several universities are heavily relying upon the digital platforms meant for their assessments, lectures, collaboration &amp; research-based activities. As a reason, the students are needed to rightly be engaged with a wider range of digital tools &amp; sources of information as a part of their relevant academic work. Having a proper understanding of both challenges &amp; opportunities that are presented with the help of digital era is crucial since these mentioned factors have a direct influence upon academic performance, effectiveness of learning along with a long-term development of skill</w:t>
      </w:r>
      <w:r w:rsidR="00E611AB">
        <w:rPr>
          <w:rFonts w:ascii="Arial" w:hAnsi="Arial" w:cs="Arial"/>
        </w:rPr>
        <w:t xml:space="preserve"> (</w:t>
      </w:r>
      <w:r w:rsidR="00E611AB" w:rsidRPr="00320117">
        <w:rPr>
          <w:rFonts w:ascii="Arial" w:hAnsi="Arial" w:cs="Arial"/>
          <w:lang w:val="en-IN"/>
        </w:rPr>
        <w:t>Quraishi</w:t>
      </w:r>
      <w:r w:rsidR="00E611AB">
        <w:t xml:space="preserve"> </w:t>
      </w:r>
      <w:r w:rsidR="00E76922" w:rsidRPr="00E76922">
        <w:rPr>
          <w:i/>
          <w:iCs/>
        </w:rPr>
        <w:t>et al</w:t>
      </w:r>
      <w:r w:rsidR="00E611AB">
        <w:t xml:space="preserve">. </w:t>
      </w:r>
      <w:r w:rsidR="00E611AB" w:rsidRPr="00320117">
        <w:rPr>
          <w:rFonts w:ascii="Arial" w:hAnsi="Arial" w:cs="Arial"/>
          <w:lang w:val="en-IN"/>
        </w:rPr>
        <w:t>2024</w:t>
      </w:r>
      <w:r w:rsidR="00E611AB">
        <w:rPr>
          <w:rFonts w:ascii="Arial" w:hAnsi="Arial" w:cs="Arial"/>
        </w:rPr>
        <w:t>)</w:t>
      </w:r>
      <w:r>
        <w:rPr>
          <w:rFonts w:ascii="Arial" w:hAnsi="Arial" w:cs="Arial"/>
        </w:rPr>
        <w:t xml:space="preserve">. Today, academic success depends not just upon knowledge of subject but also upon critical thinking, digital literacy &amp; abilities of self-management. This report clearly analyses all the primary challenges that are faced by the existing students in this digital era, potentially evaluating several major opportunities effectively creating by the digital tools &amp; puts forward a set of evidence-based strategies for the students. </w:t>
      </w:r>
    </w:p>
    <w:p w14:paraId="7847A77B" w14:textId="75EF7004" w:rsidR="00C963C3" w:rsidRPr="009F24C9" w:rsidRDefault="00C963C3" w:rsidP="00C963C3">
      <w:pPr>
        <w:rPr>
          <w:rFonts w:ascii="Arial" w:hAnsi="Arial" w:cs="Arial"/>
          <w:b/>
          <w:bCs/>
        </w:rPr>
      </w:pPr>
      <w:r w:rsidRPr="009F24C9">
        <w:rPr>
          <w:rFonts w:ascii="Arial" w:hAnsi="Arial" w:cs="Arial"/>
          <w:b/>
          <w:bCs/>
        </w:rPr>
        <w:t>Challenges for Students in the Digital Era</w:t>
      </w:r>
    </w:p>
    <w:p w14:paraId="50085116" w14:textId="77777777" w:rsidR="00C20161" w:rsidRDefault="00C20161" w:rsidP="00C20161">
      <w:pPr>
        <w:rPr>
          <w:rFonts w:ascii="Arial" w:hAnsi="Arial" w:cs="Arial"/>
        </w:rPr>
      </w:pPr>
      <w:r>
        <w:rPr>
          <w:rFonts w:ascii="Arial" w:hAnsi="Arial" w:cs="Arial"/>
        </w:rPr>
        <w:t xml:space="preserve">A major challenge in this digital era is the specific need for a stronger digital competence effectively combined with a self-regulated learning. Several digital platforms potentially demand that the students should properly manage their time, specifically organize the tasks &amp; navigate through the tools, in an independent manner. Scheel, Vladova and Ullrich (2022) show that a reduced self-organization &amp; digital competence bring an effective reduction with the acceptance as well as effectiveness of student across the existing digital learning environments. Another primary challenge is the evaluation of credibility of huge volumes of online data. Without a set of critical evaluation skills, the students might heavily rely upon unreliable or weaker sources. </w:t>
      </w:r>
      <w:r>
        <w:t xml:space="preserve">Cottrell (2023) </w:t>
      </w:r>
      <w:r>
        <w:rPr>
          <w:rFonts w:ascii="Arial" w:hAnsi="Arial" w:cs="Arial"/>
        </w:rPr>
        <w:t xml:space="preserve">directly emphasizes upon the fact that poor form of critical thinking directly leads to weaker academic arguments along with the misuse of evidence. These mentioned factors in a direct manner also impact quality of research, academic performance as well as overall outcomes of learning. </w:t>
      </w:r>
    </w:p>
    <w:p w14:paraId="6A1B90CE" w14:textId="77777777" w:rsidR="00C20161" w:rsidRDefault="00C20161" w:rsidP="00C20161">
      <w:pPr>
        <w:rPr>
          <w:rFonts w:ascii="Arial" w:hAnsi="Arial" w:cs="Arial"/>
        </w:rPr>
      </w:pPr>
      <w:r>
        <w:rPr>
          <w:rFonts w:ascii="Arial" w:hAnsi="Arial" w:cs="Arial"/>
        </w:rPr>
        <w:t xml:space="preserve">Another relevant difficulty turns out to be a digital distraction that is typically caused by multitasking across several platforms &amp; continuous notifications. This brings an effective reduction of concentration &amp; deep learning. Cottrell (2019) specifically keep a note that having a sustained academic focus is crucial for the higher-level </w:t>
      </w:r>
      <w:r>
        <w:rPr>
          <w:rFonts w:ascii="Arial" w:hAnsi="Arial" w:cs="Arial"/>
        </w:rPr>
        <w:lastRenderedPageBreak/>
        <w:t xml:space="preserve">understanding, which means that the unmanaged digital environments can also weaken retention, comprehension along with the associated quality of assessed academic work. </w:t>
      </w:r>
    </w:p>
    <w:p w14:paraId="617B6542" w14:textId="2E3071A4" w:rsidR="00C963C3" w:rsidRPr="009F24C9" w:rsidRDefault="00C963C3" w:rsidP="00C963C3">
      <w:pPr>
        <w:rPr>
          <w:rFonts w:ascii="Arial" w:hAnsi="Arial" w:cs="Arial"/>
          <w:b/>
          <w:bCs/>
        </w:rPr>
      </w:pPr>
      <w:r w:rsidRPr="009F24C9">
        <w:rPr>
          <w:rFonts w:ascii="Arial" w:hAnsi="Arial" w:cs="Arial"/>
          <w:b/>
          <w:bCs/>
        </w:rPr>
        <w:t>Opportunities in the Digital Era</w:t>
      </w:r>
    </w:p>
    <w:p w14:paraId="1458DE72" w14:textId="33F81300" w:rsidR="00C20161" w:rsidRPr="00E611AB" w:rsidRDefault="00C20161" w:rsidP="00C20161">
      <w:r w:rsidRPr="00C20161">
        <w:rPr>
          <w:rFonts w:ascii="Arial" w:hAnsi="Arial" w:cs="Arial"/>
        </w:rPr>
        <w:t xml:space="preserve">This digital era also puts forward a set of significant opportunities meant for improvement of academic learning when all the tools are critically utilized. All kinds of digital platforms allow with a flexible access to readings, lectures &amp; interactive materials, entirely supporting personalized &amp; self-paced study. Zakir </w:t>
      </w:r>
      <w:r w:rsidR="00E76922" w:rsidRPr="00E76922">
        <w:rPr>
          <w:rFonts w:ascii="Arial" w:hAnsi="Arial" w:cs="Arial"/>
          <w:i/>
          <w:iCs/>
        </w:rPr>
        <w:t>et al</w:t>
      </w:r>
      <w:r w:rsidRPr="00C20161">
        <w:rPr>
          <w:rFonts w:ascii="Arial" w:hAnsi="Arial" w:cs="Arial"/>
        </w:rPr>
        <w:t>. (2025) typically found that the aspect of digital literacy entirely strengthens self-efficacy, digital competence along with an informal learning engagement, all of which has a positive influence upon the academic performance</w:t>
      </w:r>
      <w:r w:rsidR="00E611AB">
        <w:rPr>
          <w:rFonts w:ascii="Arial" w:hAnsi="Arial" w:cs="Arial"/>
        </w:rPr>
        <w:t xml:space="preserve"> (</w:t>
      </w:r>
      <w:r w:rsidR="00E611AB" w:rsidRPr="00320117">
        <w:rPr>
          <w:rFonts w:ascii="Arial" w:hAnsi="Arial" w:cs="Arial"/>
          <w:lang w:val="en-IN"/>
        </w:rPr>
        <w:t>Farias-Gaytan</w:t>
      </w:r>
      <w:r w:rsidR="00E611AB">
        <w:t xml:space="preserve">, </w:t>
      </w:r>
      <w:r w:rsidR="00E611AB" w:rsidRPr="00320117">
        <w:rPr>
          <w:rFonts w:ascii="Arial" w:hAnsi="Arial" w:cs="Arial"/>
          <w:lang w:val="en-IN"/>
        </w:rPr>
        <w:t>Aguaded</w:t>
      </w:r>
      <w:r w:rsidR="00E611AB">
        <w:t xml:space="preserve"> </w:t>
      </w:r>
      <w:r w:rsidR="00E611AB" w:rsidRPr="00320117">
        <w:rPr>
          <w:rFonts w:ascii="Arial" w:hAnsi="Arial" w:cs="Arial"/>
          <w:lang w:val="en-IN"/>
        </w:rPr>
        <w:t>and Ramirez-Montoya</w:t>
      </w:r>
      <w:r w:rsidR="00E611AB">
        <w:t xml:space="preserve"> </w:t>
      </w:r>
      <w:r w:rsidR="00E611AB" w:rsidRPr="00320117">
        <w:rPr>
          <w:rFonts w:ascii="Arial" w:hAnsi="Arial" w:cs="Arial"/>
          <w:lang w:val="en-IN"/>
        </w:rPr>
        <w:t>2023</w:t>
      </w:r>
      <w:r w:rsidR="00E611AB">
        <w:rPr>
          <w:rFonts w:ascii="Arial" w:hAnsi="Arial" w:cs="Arial"/>
        </w:rPr>
        <w:t>)</w:t>
      </w:r>
      <w:r w:rsidRPr="00C20161">
        <w:rPr>
          <w:rFonts w:ascii="Arial" w:hAnsi="Arial" w:cs="Arial"/>
        </w:rPr>
        <w:t>. Several collaboration tools present online also offer significant support to knowledge sharing &amp; peer learning across different locations. However, their relevant value entirely depends upon a purposeful academic usage rather than just a passive participation. Cottrell (2023) also makes a note that the approaches of structured study effectively combined with a digital access brings improvement to a contained depth of understanding. Hence, all the digital tools can bring visible enhancement to outcomes when appropriately guided by a set of academic skills</w:t>
      </w:r>
      <w:r w:rsidR="00E611AB">
        <w:rPr>
          <w:rFonts w:ascii="Arial" w:hAnsi="Arial" w:cs="Arial"/>
        </w:rPr>
        <w:t xml:space="preserve"> (</w:t>
      </w:r>
      <w:r w:rsidR="00E611AB" w:rsidRPr="00320117">
        <w:rPr>
          <w:rFonts w:ascii="Arial" w:hAnsi="Arial" w:cs="Arial"/>
          <w:lang w:val="en-IN"/>
        </w:rPr>
        <w:t>Morgan</w:t>
      </w:r>
      <w:r w:rsidR="00E611AB">
        <w:t xml:space="preserve">, </w:t>
      </w:r>
      <w:r w:rsidR="00E611AB" w:rsidRPr="00320117">
        <w:rPr>
          <w:rFonts w:ascii="Arial" w:hAnsi="Arial" w:cs="Arial"/>
          <w:lang w:val="en-IN"/>
        </w:rPr>
        <w:t>Sibson</w:t>
      </w:r>
      <w:r w:rsidR="00E611AB">
        <w:t xml:space="preserve"> </w:t>
      </w:r>
      <w:r w:rsidR="00E611AB" w:rsidRPr="00320117">
        <w:rPr>
          <w:rFonts w:ascii="Arial" w:hAnsi="Arial" w:cs="Arial"/>
          <w:lang w:val="en-IN"/>
        </w:rPr>
        <w:t>and Jackson</w:t>
      </w:r>
      <w:r w:rsidR="00E611AB">
        <w:t xml:space="preserve"> </w:t>
      </w:r>
      <w:r w:rsidR="00E611AB" w:rsidRPr="00320117">
        <w:rPr>
          <w:rFonts w:ascii="Arial" w:hAnsi="Arial" w:cs="Arial"/>
          <w:lang w:val="en-IN"/>
        </w:rPr>
        <w:t>2022</w:t>
      </w:r>
      <w:r w:rsidR="00E611AB">
        <w:rPr>
          <w:rFonts w:ascii="Arial" w:hAnsi="Arial" w:cs="Arial"/>
        </w:rPr>
        <w:t>)</w:t>
      </w:r>
      <w:r w:rsidRPr="00C20161">
        <w:rPr>
          <w:rFonts w:ascii="Arial" w:hAnsi="Arial" w:cs="Arial"/>
        </w:rPr>
        <w:t xml:space="preserve">. In addition to this, the digital environments offer support to </w:t>
      </w:r>
      <w:r w:rsidR="00066577" w:rsidRPr="00C20161">
        <w:rPr>
          <w:rFonts w:ascii="Arial" w:hAnsi="Arial" w:cs="Arial"/>
        </w:rPr>
        <w:t>constant feedback</w:t>
      </w:r>
      <w:r w:rsidRPr="00C20161">
        <w:rPr>
          <w:rFonts w:ascii="Arial" w:hAnsi="Arial" w:cs="Arial"/>
        </w:rPr>
        <w:t xml:space="preserve"> with the help of analytics dashboards, quizzes as well as adaptive learning systems. These mentioned features offer help to the students for monitoring their progress and make notable adjustments to the strategies for study. As stated by Cottrell (2019), adjustment informed by feedback turns out to be a prime academic skill that clearly strengthens the aspect of independent learning </w:t>
      </w:r>
      <w:proofErr w:type="gramStart"/>
      <w:r w:rsidRPr="00C20161">
        <w:rPr>
          <w:rFonts w:ascii="Arial" w:hAnsi="Arial" w:cs="Arial"/>
        </w:rPr>
        <w:t>and also</w:t>
      </w:r>
      <w:proofErr w:type="gramEnd"/>
      <w:r w:rsidRPr="00C20161">
        <w:rPr>
          <w:rFonts w:ascii="Arial" w:hAnsi="Arial" w:cs="Arial"/>
        </w:rPr>
        <w:t xml:space="preserve">, brings notable improvement to the whole academic performance, with time. </w:t>
      </w:r>
    </w:p>
    <w:p w14:paraId="05DA24FA" w14:textId="1F58A6B5" w:rsidR="00C963C3" w:rsidRPr="009F24C9" w:rsidRDefault="00C963C3" w:rsidP="00C963C3">
      <w:pPr>
        <w:rPr>
          <w:rFonts w:ascii="Arial" w:hAnsi="Arial" w:cs="Arial"/>
          <w:b/>
          <w:bCs/>
        </w:rPr>
      </w:pPr>
      <w:r w:rsidRPr="009F24C9">
        <w:rPr>
          <w:rFonts w:ascii="Arial" w:hAnsi="Arial" w:cs="Arial"/>
          <w:b/>
          <w:bCs/>
        </w:rPr>
        <w:t>How Students Can Adapt to Succeed</w:t>
      </w:r>
    </w:p>
    <w:p w14:paraId="1CC94E2F" w14:textId="77777777" w:rsidR="00C963C3" w:rsidRPr="009F24C9" w:rsidRDefault="00C963C3" w:rsidP="00C963C3">
      <w:pPr>
        <w:rPr>
          <w:rFonts w:ascii="Arial" w:hAnsi="Arial" w:cs="Arial"/>
        </w:rPr>
      </w:pPr>
      <w:r w:rsidRPr="009F24C9">
        <w:rPr>
          <w:rFonts w:ascii="Arial" w:hAnsi="Arial" w:cs="Arial"/>
        </w:rPr>
        <w:t xml:space="preserve">Propose </w:t>
      </w:r>
      <w:r w:rsidRPr="009F24C9">
        <w:rPr>
          <w:rFonts w:ascii="Arial" w:hAnsi="Arial" w:cs="Arial"/>
          <w:b/>
          <w:bCs/>
        </w:rPr>
        <w:t>THREE strategies</w:t>
      </w:r>
      <w:r w:rsidRPr="009F24C9">
        <w:rPr>
          <w:rFonts w:ascii="Arial" w:hAnsi="Arial" w:cs="Arial"/>
        </w:rPr>
        <w:t xml:space="preserve"> students can use to succeed.</w:t>
      </w:r>
    </w:p>
    <w:p w14:paraId="0C7732ED" w14:textId="77777777" w:rsidR="00C20161" w:rsidRPr="00C20161" w:rsidRDefault="00C20161" w:rsidP="00C20161">
      <w:pPr>
        <w:rPr>
          <w:rFonts w:ascii="Arial" w:hAnsi="Arial" w:cs="Arial"/>
          <w:b/>
          <w:bCs/>
          <w:i/>
          <w:iCs/>
        </w:rPr>
      </w:pPr>
      <w:r w:rsidRPr="00C20161">
        <w:rPr>
          <w:rFonts w:ascii="Arial" w:hAnsi="Arial" w:cs="Arial"/>
          <w:b/>
          <w:bCs/>
          <w:i/>
          <w:iCs/>
        </w:rPr>
        <w:t xml:space="preserve">Strategy 1 – Development of Digital literacy &amp; evaluation of source. </w:t>
      </w:r>
    </w:p>
    <w:p w14:paraId="53E96BEA" w14:textId="78884204" w:rsidR="00C20161" w:rsidRPr="00C20161" w:rsidRDefault="00C20161" w:rsidP="00C20161">
      <w:pPr>
        <w:rPr>
          <w:rFonts w:ascii="Arial" w:hAnsi="Arial" w:cs="Arial"/>
        </w:rPr>
      </w:pPr>
      <w:r w:rsidRPr="00C20161">
        <w:rPr>
          <w:rFonts w:ascii="Arial" w:hAnsi="Arial" w:cs="Arial"/>
        </w:rPr>
        <w:t xml:space="preserve">This strategy solely focuses upon effectively building digital literacy. This wholly develops the relevant academic skill of conducting a critical evaluation. This necessarily addresses the specified challenge of unreliable online information &amp; offers support to the significant opportunity meant for a wider set of digital resources. Zakir </w:t>
      </w:r>
      <w:r w:rsidR="00E76922" w:rsidRPr="00E76922">
        <w:rPr>
          <w:rFonts w:ascii="Arial" w:hAnsi="Arial" w:cs="Arial"/>
          <w:i/>
          <w:iCs/>
        </w:rPr>
        <w:t>et al</w:t>
      </w:r>
      <w:r w:rsidRPr="00C20161">
        <w:rPr>
          <w:rFonts w:ascii="Arial" w:hAnsi="Arial" w:cs="Arial"/>
        </w:rPr>
        <w:t xml:space="preserve">. (2025) typically show that the aspect of digital literacy brings notable improvement to performance &amp; competence. </w:t>
      </w:r>
    </w:p>
    <w:p w14:paraId="3CDDC43A" w14:textId="77777777" w:rsidR="00C20161" w:rsidRPr="00C20161" w:rsidRDefault="00C20161" w:rsidP="00C20161">
      <w:pPr>
        <w:rPr>
          <w:rFonts w:ascii="Arial" w:hAnsi="Arial" w:cs="Arial"/>
          <w:b/>
          <w:bCs/>
          <w:i/>
          <w:iCs/>
        </w:rPr>
      </w:pPr>
      <w:r w:rsidRPr="00C20161">
        <w:rPr>
          <w:rFonts w:ascii="Arial" w:hAnsi="Arial" w:cs="Arial"/>
          <w:b/>
          <w:bCs/>
          <w:i/>
          <w:iCs/>
        </w:rPr>
        <w:t xml:space="preserve">Strategy 2 – Application of structured self-regulated learning. </w:t>
      </w:r>
    </w:p>
    <w:p w14:paraId="22BDC535" w14:textId="77777777" w:rsidR="00C20161" w:rsidRPr="00C20161" w:rsidRDefault="00C20161" w:rsidP="00C20161">
      <w:pPr>
        <w:rPr>
          <w:rFonts w:ascii="Arial" w:hAnsi="Arial" w:cs="Arial"/>
        </w:rPr>
      </w:pPr>
      <w:r w:rsidRPr="00C20161">
        <w:rPr>
          <w:rFonts w:ascii="Arial" w:hAnsi="Arial" w:cs="Arial"/>
        </w:rPr>
        <w:t xml:space="preserve">This formulated strategy rightly involves schedules of planned study and a goal setting. This effectively develops a set of independent learning skills along with appropriate management of time. This necessarily addresses the relevant challenge </w:t>
      </w:r>
      <w:r w:rsidRPr="00C20161">
        <w:rPr>
          <w:rFonts w:ascii="Arial" w:hAnsi="Arial" w:cs="Arial"/>
        </w:rPr>
        <w:lastRenderedPageBreak/>
        <w:t xml:space="preserve">of a reduced self-organization in terms of digital learning. Scheel, Vladova and Ullrich (2022) clearly identified the aspect of self-organization as crucial for success of digital learning. </w:t>
      </w:r>
    </w:p>
    <w:p w14:paraId="65433773" w14:textId="77777777" w:rsidR="00C20161" w:rsidRPr="00C20161" w:rsidRDefault="00C20161" w:rsidP="00C20161">
      <w:pPr>
        <w:rPr>
          <w:rFonts w:ascii="Arial" w:hAnsi="Arial" w:cs="Arial"/>
          <w:b/>
          <w:bCs/>
          <w:i/>
          <w:iCs/>
        </w:rPr>
      </w:pPr>
      <w:r w:rsidRPr="00C20161">
        <w:rPr>
          <w:rFonts w:ascii="Arial" w:hAnsi="Arial" w:cs="Arial"/>
          <w:b/>
          <w:bCs/>
          <w:i/>
          <w:iCs/>
        </w:rPr>
        <w:t xml:space="preserve">Strategy 3 – Utilization of Critical Thinking frameworks. </w:t>
      </w:r>
    </w:p>
    <w:p w14:paraId="5EB335A1" w14:textId="77777777" w:rsidR="00C20161" w:rsidRPr="00C20161" w:rsidRDefault="00C20161" w:rsidP="00C20161">
      <w:pPr>
        <w:rPr>
          <w:rFonts w:ascii="Arial" w:hAnsi="Arial" w:cs="Arial"/>
        </w:rPr>
      </w:pPr>
      <w:r w:rsidRPr="00C20161">
        <w:rPr>
          <w:rFonts w:ascii="Arial" w:hAnsi="Arial" w:cs="Arial"/>
        </w:rPr>
        <w:t xml:space="preserve">This formulated strategy directly applies analytical frameworks &amp; questioning to the digitalised content. This wholly develops a set of critical thinking skills, clearly addresses risks of misinformation as well as brings visible improvement to the quality of academic argument. Cottrell (2023) directly links the aspect of structured critical thinking with that of a stronger academic performance. </w:t>
      </w:r>
    </w:p>
    <w:p w14:paraId="5247C8B5" w14:textId="30B0487F" w:rsidR="00C963C3" w:rsidRPr="009F24C9" w:rsidRDefault="00C963C3" w:rsidP="00C963C3">
      <w:pPr>
        <w:rPr>
          <w:rFonts w:ascii="Arial" w:hAnsi="Arial" w:cs="Arial"/>
          <w:b/>
          <w:bCs/>
        </w:rPr>
      </w:pPr>
      <w:r w:rsidRPr="009F24C9">
        <w:rPr>
          <w:rFonts w:ascii="Arial" w:hAnsi="Arial" w:cs="Arial"/>
          <w:b/>
          <w:bCs/>
        </w:rPr>
        <w:t>Conclusion</w:t>
      </w:r>
    </w:p>
    <w:p w14:paraId="4DC5AF0C" w14:textId="6194086C" w:rsidR="00C20161" w:rsidRPr="00C20161" w:rsidRDefault="00C20161" w:rsidP="00C20161">
      <w:pPr>
        <w:rPr>
          <w:rFonts w:ascii="Arial" w:hAnsi="Arial" w:cs="Arial"/>
        </w:rPr>
      </w:pPr>
      <w:r w:rsidRPr="00C20161">
        <w:rPr>
          <w:rFonts w:ascii="Arial" w:hAnsi="Arial" w:cs="Arial"/>
        </w:rPr>
        <w:t xml:space="preserve">Digital learning environments effectively create both a set of significant challenges as well as several valuable opportunities meant for all the students. All primary difficulties primarily include a limited form of digital competence, poor evaluation of information as well as weaker self-regulation, while all kinds of major opportunities rightly involve a flexible access &amp; enhanced development of digital literacy. Significant research typically shows that the students mainly succeed when they in a deliberate manner wholly build the self-management, digital literacy as well as skills of critical thinking. Effective development of academic skill </w:t>
      </w:r>
      <w:r w:rsidR="007F52F2" w:rsidRPr="00C20161">
        <w:rPr>
          <w:rFonts w:ascii="Arial" w:hAnsi="Arial" w:cs="Arial"/>
        </w:rPr>
        <w:t>is,</w:t>
      </w:r>
      <w:r w:rsidRPr="00C20161">
        <w:rPr>
          <w:rFonts w:ascii="Arial" w:hAnsi="Arial" w:cs="Arial"/>
        </w:rPr>
        <w:t xml:space="preserve"> hence, the main pathway towards success in this present digital era. </w:t>
      </w:r>
    </w:p>
    <w:p w14:paraId="2F5EF61D" w14:textId="77777777" w:rsidR="00C963C3" w:rsidRPr="009F24C9" w:rsidRDefault="00C963C3" w:rsidP="00C963C3">
      <w:pPr>
        <w:rPr>
          <w:rFonts w:ascii="Arial" w:hAnsi="Arial" w:cs="Arial"/>
          <w:b/>
          <w:bCs/>
        </w:rPr>
      </w:pPr>
      <w:r w:rsidRPr="009F24C9">
        <w:rPr>
          <w:rFonts w:ascii="Arial" w:hAnsi="Arial" w:cs="Arial"/>
          <w:b/>
          <w:bCs/>
        </w:rPr>
        <w:t>Reference List – Component 2</w:t>
      </w:r>
    </w:p>
    <w:p w14:paraId="6943D868" w14:textId="169022C3" w:rsidR="00320117" w:rsidRDefault="00320117" w:rsidP="00C963C3">
      <w:pPr>
        <w:rPr>
          <w:rFonts w:ascii="Arial" w:hAnsi="Arial" w:cs="Arial"/>
        </w:rPr>
      </w:pPr>
      <w:r w:rsidRPr="00320117">
        <w:rPr>
          <w:rFonts w:ascii="Arial" w:hAnsi="Arial" w:cs="Arial"/>
        </w:rPr>
        <w:t xml:space="preserve">Cottrell, S. (2023) Critical thinking </w:t>
      </w:r>
      <w:r w:rsidR="007F52F2" w:rsidRPr="00320117">
        <w:rPr>
          <w:rFonts w:ascii="Arial" w:hAnsi="Arial" w:cs="Arial"/>
        </w:rPr>
        <w:t>skills:</w:t>
      </w:r>
      <w:r w:rsidRPr="00320117">
        <w:rPr>
          <w:rFonts w:ascii="Arial" w:hAnsi="Arial" w:cs="Arial"/>
        </w:rPr>
        <w:t xml:space="preserve"> effective analysis, argument and </w:t>
      </w:r>
      <w:r w:rsidR="008E3749" w:rsidRPr="00320117">
        <w:rPr>
          <w:rFonts w:ascii="Arial" w:hAnsi="Arial" w:cs="Arial"/>
        </w:rPr>
        <w:t>reflection.</w:t>
      </w:r>
      <w:r w:rsidRPr="00320117">
        <w:rPr>
          <w:rFonts w:ascii="Arial" w:hAnsi="Arial" w:cs="Arial"/>
        </w:rPr>
        <w:t xml:space="preserve"> 4th edition. Bloomsbury Academic.</w:t>
      </w:r>
    </w:p>
    <w:p w14:paraId="6AD2037E" w14:textId="77777777" w:rsidR="00320117" w:rsidRDefault="00320117" w:rsidP="00C963C3">
      <w:pPr>
        <w:rPr>
          <w:rFonts w:ascii="Arial" w:hAnsi="Arial" w:cs="Arial"/>
        </w:rPr>
      </w:pPr>
      <w:r w:rsidRPr="00320117">
        <w:rPr>
          <w:rFonts w:ascii="Arial" w:hAnsi="Arial" w:cs="Arial"/>
        </w:rPr>
        <w:t xml:space="preserve">Cottrell. (2019). The study skills handbook. 5th edn. Macmillan Education UK. </w:t>
      </w:r>
    </w:p>
    <w:p w14:paraId="103244E1" w14:textId="77777777" w:rsidR="00320117" w:rsidRPr="00320117" w:rsidRDefault="00320117" w:rsidP="00320117">
      <w:pPr>
        <w:rPr>
          <w:rFonts w:ascii="Arial" w:hAnsi="Arial" w:cs="Arial"/>
          <w:lang w:val="en-IN"/>
        </w:rPr>
      </w:pPr>
      <w:bookmarkStart w:id="2" w:name="_Hlk221709144"/>
      <w:r w:rsidRPr="00320117">
        <w:rPr>
          <w:rFonts w:ascii="Arial" w:hAnsi="Arial" w:cs="Arial"/>
          <w:lang w:val="en-IN"/>
        </w:rPr>
        <w:t xml:space="preserve">Farias-Gaytan, S., Aguaded, I. and Ramirez-Montoya, M.S., 2023. Digital transformation and digital literacy in the context of complexity within higher education institutions: a systematic literature review. </w:t>
      </w:r>
      <w:r w:rsidRPr="00320117">
        <w:rPr>
          <w:rFonts w:ascii="Arial" w:hAnsi="Arial" w:cs="Arial"/>
          <w:i/>
          <w:iCs/>
          <w:lang w:val="en-IN"/>
        </w:rPr>
        <w:t>Humanities and Social Sciences Communications</w:t>
      </w:r>
      <w:r w:rsidRPr="00320117">
        <w:rPr>
          <w:rFonts w:ascii="Arial" w:hAnsi="Arial" w:cs="Arial"/>
          <w:lang w:val="en-IN"/>
        </w:rPr>
        <w:t xml:space="preserve">, </w:t>
      </w:r>
      <w:r w:rsidRPr="00320117">
        <w:rPr>
          <w:rFonts w:ascii="Arial" w:hAnsi="Arial" w:cs="Arial"/>
          <w:i/>
          <w:iCs/>
          <w:lang w:val="en-IN"/>
        </w:rPr>
        <w:t>10</w:t>
      </w:r>
      <w:r w:rsidRPr="00320117">
        <w:rPr>
          <w:rFonts w:ascii="Arial" w:hAnsi="Arial" w:cs="Arial"/>
          <w:lang w:val="en-IN"/>
        </w:rPr>
        <w:t>(1), pp.1-11.</w:t>
      </w:r>
    </w:p>
    <w:p w14:paraId="700C00CD" w14:textId="77777777" w:rsidR="00320117" w:rsidRPr="00320117" w:rsidRDefault="00320117" w:rsidP="00320117">
      <w:pPr>
        <w:rPr>
          <w:rFonts w:ascii="Arial" w:hAnsi="Arial" w:cs="Arial"/>
          <w:lang w:val="en-IN"/>
        </w:rPr>
      </w:pPr>
      <w:r w:rsidRPr="00320117">
        <w:rPr>
          <w:rFonts w:ascii="Arial" w:hAnsi="Arial" w:cs="Arial"/>
          <w:lang w:val="en-IN"/>
        </w:rPr>
        <w:t xml:space="preserve">Khan, N., Sarwar, A., Chen, T.B. and Khan, S., 2022. Connecting digital literacy in higher education to the 21st century workforce. </w:t>
      </w:r>
      <w:r w:rsidRPr="00320117">
        <w:rPr>
          <w:rFonts w:ascii="Arial" w:hAnsi="Arial" w:cs="Arial"/>
          <w:i/>
          <w:iCs/>
          <w:lang w:val="en-IN"/>
        </w:rPr>
        <w:t>Knowledge Management &amp; E-Learning</w:t>
      </w:r>
      <w:r w:rsidRPr="00320117">
        <w:rPr>
          <w:rFonts w:ascii="Arial" w:hAnsi="Arial" w:cs="Arial"/>
          <w:lang w:val="en-IN"/>
        </w:rPr>
        <w:t xml:space="preserve">, </w:t>
      </w:r>
      <w:r w:rsidRPr="00320117">
        <w:rPr>
          <w:rFonts w:ascii="Arial" w:hAnsi="Arial" w:cs="Arial"/>
          <w:i/>
          <w:iCs/>
          <w:lang w:val="en-IN"/>
        </w:rPr>
        <w:t>14</w:t>
      </w:r>
      <w:r w:rsidRPr="00320117">
        <w:rPr>
          <w:rFonts w:ascii="Arial" w:hAnsi="Arial" w:cs="Arial"/>
          <w:lang w:val="en-IN"/>
        </w:rPr>
        <w:t>(1), pp.46-61.</w:t>
      </w:r>
    </w:p>
    <w:p w14:paraId="1787BEF9" w14:textId="77777777" w:rsidR="00320117" w:rsidRPr="00320117" w:rsidRDefault="00320117" w:rsidP="00320117">
      <w:pPr>
        <w:rPr>
          <w:rFonts w:ascii="Arial" w:hAnsi="Arial" w:cs="Arial"/>
          <w:lang w:val="en-IN"/>
        </w:rPr>
      </w:pPr>
      <w:r w:rsidRPr="00320117">
        <w:rPr>
          <w:rFonts w:ascii="Arial" w:hAnsi="Arial" w:cs="Arial"/>
          <w:lang w:val="en-IN"/>
        </w:rPr>
        <w:t xml:space="preserve">Morgan, A., Sibson, R. and Jackson, D., 2022. Digital demand and digital deficit: conceptualising digital literacy and gauging proficiency among higher education students. </w:t>
      </w:r>
      <w:r w:rsidRPr="00320117">
        <w:rPr>
          <w:rFonts w:ascii="Arial" w:hAnsi="Arial" w:cs="Arial"/>
          <w:i/>
          <w:iCs/>
          <w:lang w:val="en-IN"/>
        </w:rPr>
        <w:t>Journal of Higher Education Policy and Management</w:t>
      </w:r>
      <w:r w:rsidRPr="00320117">
        <w:rPr>
          <w:rFonts w:ascii="Arial" w:hAnsi="Arial" w:cs="Arial"/>
          <w:lang w:val="en-IN"/>
        </w:rPr>
        <w:t xml:space="preserve">, </w:t>
      </w:r>
      <w:r w:rsidRPr="00320117">
        <w:rPr>
          <w:rFonts w:ascii="Arial" w:hAnsi="Arial" w:cs="Arial"/>
          <w:i/>
          <w:iCs/>
          <w:lang w:val="en-IN"/>
        </w:rPr>
        <w:t>44</w:t>
      </w:r>
      <w:r w:rsidRPr="00320117">
        <w:rPr>
          <w:rFonts w:ascii="Arial" w:hAnsi="Arial" w:cs="Arial"/>
          <w:lang w:val="en-IN"/>
        </w:rPr>
        <w:t>(3), pp.258-275.</w:t>
      </w:r>
    </w:p>
    <w:p w14:paraId="4DB60BBB" w14:textId="77777777" w:rsidR="00320117" w:rsidRPr="00320117" w:rsidRDefault="00320117" w:rsidP="00320117">
      <w:pPr>
        <w:rPr>
          <w:rFonts w:ascii="Arial" w:hAnsi="Arial" w:cs="Arial"/>
          <w:lang w:val="en-IN"/>
        </w:rPr>
      </w:pPr>
      <w:r w:rsidRPr="00320117">
        <w:rPr>
          <w:rFonts w:ascii="Arial" w:hAnsi="Arial" w:cs="Arial"/>
          <w:lang w:val="en-IN"/>
        </w:rPr>
        <w:t xml:space="preserve">Quraishi, T., Ulusi, H., Muhid, A., Hakimi, M. and Olusi, M.R., 2024. Empowering students through digital literacy: A case study of successful integration in a higher education curriculum. </w:t>
      </w:r>
      <w:r w:rsidRPr="00320117">
        <w:rPr>
          <w:rFonts w:ascii="Arial" w:hAnsi="Arial" w:cs="Arial"/>
          <w:i/>
          <w:iCs/>
          <w:lang w:val="en-IN"/>
        </w:rPr>
        <w:t>Journal of Digital Learning and Distance Education</w:t>
      </w:r>
      <w:r w:rsidRPr="00320117">
        <w:rPr>
          <w:rFonts w:ascii="Arial" w:hAnsi="Arial" w:cs="Arial"/>
          <w:lang w:val="en-IN"/>
        </w:rPr>
        <w:t xml:space="preserve">, </w:t>
      </w:r>
      <w:r w:rsidRPr="00320117">
        <w:rPr>
          <w:rFonts w:ascii="Arial" w:hAnsi="Arial" w:cs="Arial"/>
          <w:i/>
          <w:iCs/>
          <w:lang w:val="en-IN"/>
        </w:rPr>
        <w:t>2</w:t>
      </w:r>
      <w:r w:rsidRPr="00320117">
        <w:rPr>
          <w:rFonts w:ascii="Arial" w:hAnsi="Arial" w:cs="Arial"/>
          <w:lang w:val="en-IN"/>
        </w:rPr>
        <w:t>(9), pp.667-681.</w:t>
      </w:r>
    </w:p>
    <w:p w14:paraId="5BECE464" w14:textId="77777777" w:rsidR="00320117" w:rsidRPr="00E91A42" w:rsidRDefault="00320117" w:rsidP="00320117">
      <w:r w:rsidRPr="006F79B9">
        <w:rPr>
          <w:rFonts w:ascii="Arial" w:hAnsi="Arial" w:cs="Arial"/>
          <w:lang w:val="en-IN"/>
        </w:rPr>
        <w:lastRenderedPageBreak/>
        <w:t xml:space="preserve">Scheel, L., Vladova, G. and Ullrich, A., 2022. The influence of digital competences, self-organization, and independent learning abilities on students’ acceptance of digital learning. </w:t>
      </w:r>
      <w:r w:rsidRPr="006F79B9">
        <w:rPr>
          <w:rFonts w:ascii="Arial" w:hAnsi="Arial" w:cs="Arial"/>
          <w:i/>
          <w:iCs/>
          <w:lang w:val="en-IN"/>
        </w:rPr>
        <w:t>International journal of educational technology in higher education</w:t>
      </w:r>
      <w:r w:rsidRPr="006F79B9">
        <w:rPr>
          <w:rFonts w:ascii="Arial" w:hAnsi="Arial" w:cs="Arial"/>
          <w:lang w:val="en-IN"/>
        </w:rPr>
        <w:t xml:space="preserve">, </w:t>
      </w:r>
      <w:r w:rsidRPr="006F79B9">
        <w:rPr>
          <w:rFonts w:ascii="Arial" w:hAnsi="Arial" w:cs="Arial"/>
          <w:i/>
          <w:iCs/>
          <w:lang w:val="en-IN"/>
        </w:rPr>
        <w:t>19</w:t>
      </w:r>
      <w:r w:rsidRPr="006F79B9">
        <w:rPr>
          <w:rFonts w:ascii="Arial" w:hAnsi="Arial" w:cs="Arial"/>
          <w:lang w:val="en-IN"/>
        </w:rPr>
        <w:t>(1), p.44.</w:t>
      </w:r>
    </w:p>
    <w:p w14:paraId="2A02B9E7" w14:textId="77777777" w:rsidR="00320117" w:rsidRPr="008322BB" w:rsidRDefault="00320117" w:rsidP="00320117">
      <w:pPr>
        <w:rPr>
          <w:rFonts w:ascii="Arial" w:hAnsi="Arial" w:cs="Arial"/>
          <w:lang w:val="en-IN"/>
        </w:rPr>
      </w:pPr>
      <w:r w:rsidRPr="006F79B9">
        <w:rPr>
          <w:rFonts w:ascii="Arial" w:hAnsi="Arial" w:cs="Arial"/>
          <w:lang w:val="en-IN"/>
        </w:rPr>
        <w:t xml:space="preserve">Zakir, S., Hoque, M.E., Susanto, P., Nisaa, V., Alam, M.K., Khatimah, H. and Mulyani, E., 2025, June. Digital literacy and academic performance: the mediating roles of digital informal learning, self-efficacy, and students’ digital competence. In </w:t>
      </w:r>
      <w:r w:rsidRPr="006F79B9">
        <w:rPr>
          <w:rFonts w:ascii="Arial" w:hAnsi="Arial" w:cs="Arial"/>
          <w:i/>
          <w:iCs/>
          <w:lang w:val="en-IN"/>
        </w:rPr>
        <w:t>Frontiers in Education</w:t>
      </w:r>
      <w:r w:rsidRPr="006F79B9">
        <w:rPr>
          <w:rFonts w:ascii="Arial" w:hAnsi="Arial" w:cs="Arial"/>
          <w:lang w:val="en-IN"/>
        </w:rPr>
        <w:t xml:space="preserve"> (Vol. 10, p. 1590274). Frontiers Media SA.</w:t>
      </w:r>
    </w:p>
    <w:bookmarkEnd w:id="2"/>
    <w:p w14:paraId="09AF6B30" w14:textId="271E1BCF" w:rsidR="00C963C3" w:rsidRPr="009F24C9" w:rsidRDefault="00C963C3" w:rsidP="00C963C3">
      <w:pPr>
        <w:rPr>
          <w:rFonts w:ascii="Arial" w:hAnsi="Arial" w:cs="Arial"/>
        </w:rPr>
      </w:pPr>
    </w:p>
    <w:p w14:paraId="0238A94E" w14:textId="77777777" w:rsidR="00B668ED" w:rsidRDefault="00B668ED" w:rsidP="00C963C3">
      <w:pPr>
        <w:pStyle w:val="Heading1"/>
        <w:sectPr w:rsidR="00B668ED">
          <w:pgSz w:w="11906" w:h="16838"/>
          <w:pgMar w:top="1440" w:right="1440" w:bottom="1440" w:left="1440" w:header="708" w:footer="708" w:gutter="0"/>
          <w:cols w:space="708"/>
          <w:docGrid w:linePitch="360"/>
        </w:sectPr>
      </w:pPr>
    </w:p>
    <w:p w14:paraId="5560AC2C" w14:textId="72EA282A" w:rsidR="00C963C3" w:rsidRDefault="00C963C3" w:rsidP="009018AE">
      <w:pPr>
        <w:pStyle w:val="Heading1"/>
        <w:rPr>
          <w:rFonts w:ascii="Arial" w:hAnsi="Arial" w:cs="Arial"/>
        </w:rPr>
      </w:pPr>
      <w:bookmarkStart w:id="3" w:name="_Toc218876935"/>
      <w:r w:rsidRPr="009F24C9">
        <w:rPr>
          <w:rFonts w:ascii="Arial" w:hAnsi="Arial" w:cs="Arial"/>
        </w:rPr>
        <w:lastRenderedPageBreak/>
        <w:t>Component 3 – Academic Poster</w:t>
      </w:r>
      <w:bookmarkEnd w:id="3"/>
    </w:p>
    <w:p w14:paraId="2ECE0F19" w14:textId="77777777" w:rsidR="00B462C4" w:rsidRPr="00B462C4" w:rsidRDefault="00B462C4" w:rsidP="00B462C4"/>
    <w:p w14:paraId="03AB617A" w14:textId="5FF0A8F4" w:rsidR="00EA129A" w:rsidRPr="009F24C9" w:rsidRDefault="00EA129A" w:rsidP="00EA129A">
      <w:pPr>
        <w:jc w:val="center"/>
        <w:rPr>
          <w:rFonts w:ascii="Arial" w:hAnsi="Arial" w:cs="Arial"/>
        </w:rPr>
      </w:pPr>
      <w:r w:rsidRPr="00EA129A">
        <w:rPr>
          <w:rFonts w:ascii="Arial" w:hAnsi="Arial" w:cs="Arial"/>
          <w:noProof/>
        </w:rPr>
        <w:drawing>
          <wp:inline distT="0" distB="0" distL="0" distR="0" wp14:anchorId="2E8E7E18" wp14:editId="0AF1A850">
            <wp:extent cx="3955123" cy="5296359"/>
            <wp:effectExtent l="0" t="0" r="7620" b="0"/>
            <wp:docPr id="34932987" name="Picture 1" descr="A poster of a student suc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2987" name="Picture 1" descr="A poster of a student success&#10;&#10;Description automatically generated"/>
                    <pic:cNvPicPr/>
                  </pic:nvPicPr>
                  <pic:blipFill>
                    <a:blip r:embed="rId15"/>
                    <a:stretch>
                      <a:fillRect/>
                    </a:stretch>
                  </pic:blipFill>
                  <pic:spPr>
                    <a:xfrm>
                      <a:off x="0" y="0"/>
                      <a:ext cx="3955123" cy="5296359"/>
                    </a:xfrm>
                    <a:prstGeom prst="rect">
                      <a:avLst/>
                    </a:prstGeom>
                  </pic:spPr>
                </pic:pic>
              </a:graphicData>
            </a:graphic>
          </wp:inline>
        </w:drawing>
      </w:r>
    </w:p>
    <w:p w14:paraId="1A76B89A" w14:textId="77777777" w:rsidR="00C963C3" w:rsidRPr="009F24C9" w:rsidRDefault="00C963C3" w:rsidP="00C963C3">
      <w:pPr>
        <w:rPr>
          <w:rFonts w:ascii="Arial" w:hAnsi="Arial" w:cs="Arial"/>
          <w:b/>
          <w:bCs/>
        </w:rPr>
      </w:pPr>
      <w:r w:rsidRPr="009F24C9">
        <w:rPr>
          <w:rFonts w:ascii="Arial" w:hAnsi="Arial" w:cs="Arial"/>
          <w:b/>
          <w:bCs/>
        </w:rPr>
        <w:t>Reference List – Component 3</w:t>
      </w:r>
    </w:p>
    <w:p w14:paraId="425AF0D7" w14:textId="7CB2B175" w:rsidR="00EA129A" w:rsidRPr="00EA129A" w:rsidRDefault="00EA129A" w:rsidP="00EA129A">
      <w:pPr>
        <w:rPr>
          <w:rFonts w:ascii="Arial" w:hAnsi="Arial" w:cs="Arial"/>
        </w:rPr>
      </w:pPr>
      <w:r w:rsidRPr="00EA129A">
        <w:rPr>
          <w:rFonts w:ascii="Arial" w:hAnsi="Arial" w:cs="Arial"/>
        </w:rPr>
        <w:t>Cottrell, S.</w:t>
      </w:r>
      <w:r>
        <w:rPr>
          <w:rFonts w:ascii="Arial" w:hAnsi="Arial" w:cs="Arial"/>
        </w:rPr>
        <w:t xml:space="preserve">, </w:t>
      </w:r>
      <w:r w:rsidRPr="00EA129A">
        <w:rPr>
          <w:rFonts w:ascii="Arial" w:hAnsi="Arial" w:cs="Arial"/>
        </w:rPr>
        <w:t>2019. The study skills handbook. 5th edn. Macmillan Education UK.</w:t>
      </w:r>
    </w:p>
    <w:p w14:paraId="74DD946F" w14:textId="0BAF5004" w:rsidR="00EA129A" w:rsidRPr="00EA129A" w:rsidRDefault="00EA129A" w:rsidP="00EA129A">
      <w:pPr>
        <w:rPr>
          <w:rFonts w:ascii="Arial" w:hAnsi="Arial" w:cs="Arial"/>
        </w:rPr>
      </w:pPr>
      <w:r w:rsidRPr="00EA129A">
        <w:rPr>
          <w:rFonts w:ascii="Arial" w:hAnsi="Arial" w:cs="Arial"/>
        </w:rPr>
        <w:t>Scheel, L., Vladova, G. &amp; Ullrich, A.</w:t>
      </w:r>
      <w:r>
        <w:rPr>
          <w:rFonts w:ascii="Arial" w:hAnsi="Arial" w:cs="Arial"/>
        </w:rPr>
        <w:t xml:space="preserve">, </w:t>
      </w:r>
      <w:r w:rsidRPr="00EA129A">
        <w:rPr>
          <w:rFonts w:ascii="Arial" w:hAnsi="Arial" w:cs="Arial"/>
        </w:rPr>
        <w:t>2022</w:t>
      </w:r>
      <w:r>
        <w:rPr>
          <w:rFonts w:ascii="Arial" w:hAnsi="Arial" w:cs="Arial"/>
        </w:rPr>
        <w:t>.</w:t>
      </w:r>
      <w:r w:rsidRPr="00EA129A">
        <w:rPr>
          <w:rFonts w:ascii="Arial" w:hAnsi="Arial" w:cs="Arial"/>
        </w:rPr>
        <w:t xml:space="preserve"> ‘The influence of digital competences, self-organization, and independent learning abilities on students’ acceptance of digital learning’, International Journal of Educational Technology in Higher Education, 19, p. 44. doi:10.1186/s41239-022-00350-w.</w:t>
      </w:r>
    </w:p>
    <w:p w14:paraId="0716BBD8" w14:textId="6AE1C40A" w:rsidR="00C963C3" w:rsidRPr="00EA129A" w:rsidRDefault="00EA129A" w:rsidP="00EA129A">
      <w:pPr>
        <w:rPr>
          <w:rFonts w:ascii="Arial" w:hAnsi="Arial" w:cs="Arial"/>
        </w:rPr>
      </w:pPr>
      <w:r w:rsidRPr="00EA129A">
        <w:rPr>
          <w:rFonts w:ascii="Arial" w:hAnsi="Arial" w:cs="Arial"/>
        </w:rPr>
        <w:t xml:space="preserve">Zakir, S. </w:t>
      </w:r>
      <w:r w:rsidR="00E76922" w:rsidRPr="00E76922">
        <w:rPr>
          <w:rFonts w:ascii="Arial" w:hAnsi="Arial" w:cs="Arial"/>
          <w:i/>
          <w:iCs/>
        </w:rPr>
        <w:t>et al</w:t>
      </w:r>
      <w:r w:rsidRPr="00EA129A">
        <w:rPr>
          <w:rFonts w:ascii="Arial" w:hAnsi="Arial" w:cs="Arial"/>
        </w:rPr>
        <w:t>.</w:t>
      </w:r>
      <w:r>
        <w:rPr>
          <w:rFonts w:ascii="Arial" w:hAnsi="Arial" w:cs="Arial"/>
        </w:rPr>
        <w:t xml:space="preserve">, </w:t>
      </w:r>
      <w:r w:rsidRPr="00EA129A">
        <w:rPr>
          <w:rFonts w:ascii="Arial" w:hAnsi="Arial" w:cs="Arial"/>
        </w:rPr>
        <w:t>2025</w:t>
      </w:r>
      <w:r>
        <w:rPr>
          <w:rFonts w:ascii="Arial" w:hAnsi="Arial" w:cs="Arial"/>
        </w:rPr>
        <w:t>.</w:t>
      </w:r>
      <w:r w:rsidRPr="00EA129A">
        <w:rPr>
          <w:rFonts w:ascii="Arial" w:hAnsi="Arial" w:cs="Arial"/>
        </w:rPr>
        <w:t xml:space="preserve"> ‘Digital literacy and academic performance: the mediating roles of digital informal learning, self-efficacy, and students’ digital competence’, Frontiers in Education, 10, p. 1590274. doi:10.3389/feduc.2025.1590274.</w:t>
      </w:r>
    </w:p>
    <w:p w14:paraId="177D6731" w14:textId="3BA718A1" w:rsidR="00C963C3" w:rsidRPr="00E6780D" w:rsidRDefault="00C963C3" w:rsidP="00C963C3">
      <w:pPr>
        <w:ind w:left="720"/>
      </w:pPr>
    </w:p>
    <w:sectPr w:rsidR="00C963C3" w:rsidRPr="00E6780D" w:rsidSect="00305A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F36C2" w14:textId="77777777" w:rsidR="000659F8" w:rsidRDefault="000659F8" w:rsidP="006D4055">
      <w:pPr>
        <w:spacing w:after="0" w:line="240" w:lineRule="auto"/>
      </w:pPr>
      <w:r>
        <w:separator/>
      </w:r>
    </w:p>
  </w:endnote>
  <w:endnote w:type="continuationSeparator" w:id="0">
    <w:p w14:paraId="083443A5" w14:textId="77777777" w:rsidR="000659F8" w:rsidRDefault="000659F8"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555389"/>
      <w:docPartObj>
        <w:docPartGallery w:val="Page Numbers (Bottom of Page)"/>
        <w:docPartUnique/>
      </w:docPartObj>
    </w:sdtPr>
    <w:sdtContent>
      <w:p w14:paraId="70EF58F2" w14:textId="16195A58" w:rsidR="008D7EC8" w:rsidRDefault="008D7EC8">
        <w:pPr>
          <w:pStyle w:val="Footer"/>
          <w:jc w:val="center"/>
        </w:pPr>
        <w:r>
          <w:fldChar w:fldCharType="begin"/>
        </w:r>
        <w:r>
          <w:instrText>PAGE   \* MERGEFORMAT</w:instrText>
        </w:r>
        <w:r>
          <w:fldChar w:fldCharType="separate"/>
        </w:r>
        <w:r>
          <w:t>2</w:t>
        </w:r>
        <w:r>
          <w:fldChar w:fldCharType="end"/>
        </w:r>
      </w:p>
    </w:sdtContent>
  </w:sdt>
  <w:p w14:paraId="6F7732CE" w14:textId="77777777" w:rsidR="008D7EC8" w:rsidRDefault="008D7E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776861"/>
      <w:docPartObj>
        <w:docPartGallery w:val="Page Numbers (Bottom of Page)"/>
        <w:docPartUnique/>
      </w:docPartObj>
    </w:sdtPr>
    <w:sdtContent>
      <w:p w14:paraId="059EF296" w14:textId="011881B2" w:rsidR="00FD6577" w:rsidRDefault="00FD6577">
        <w:pPr>
          <w:pStyle w:val="Footer"/>
          <w:jc w:val="center"/>
        </w:pPr>
        <w:r>
          <w:fldChar w:fldCharType="begin"/>
        </w:r>
        <w:r>
          <w:instrText>PAGE   \* MERGEFORMAT</w:instrText>
        </w:r>
        <w:r>
          <w:fldChar w:fldCharType="separate"/>
        </w:r>
        <w:r>
          <w:t>2</w:t>
        </w:r>
        <w:r>
          <w:fldChar w:fldCharType="end"/>
        </w:r>
      </w:p>
    </w:sdtContent>
  </w:sdt>
  <w:p w14:paraId="1D1A47C6" w14:textId="6D24AA02" w:rsidR="00B61AE2" w:rsidRDefault="00B61AE2" w:rsidP="005C332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E9A61" w14:textId="77777777" w:rsidR="006B46ED" w:rsidRDefault="006B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CBBD3" w14:textId="77777777" w:rsidR="000659F8" w:rsidRDefault="000659F8" w:rsidP="006D4055">
      <w:pPr>
        <w:spacing w:after="0" w:line="240" w:lineRule="auto"/>
      </w:pPr>
      <w:r>
        <w:separator/>
      </w:r>
    </w:p>
  </w:footnote>
  <w:footnote w:type="continuationSeparator" w:id="0">
    <w:p w14:paraId="0BF8B09C" w14:textId="77777777" w:rsidR="000659F8" w:rsidRDefault="000659F8" w:rsidP="006D4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53DF" w14:textId="77777777" w:rsidR="006B46ED" w:rsidRDefault="006B4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224EC" w14:textId="77777777" w:rsidR="006B46ED" w:rsidRDefault="006B46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EB8AB" w14:textId="77777777" w:rsidR="006B46ED" w:rsidRDefault="006B4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0E9D"/>
    <w:rsid w:val="00021CFE"/>
    <w:rsid w:val="00024EE3"/>
    <w:rsid w:val="00041224"/>
    <w:rsid w:val="00055C53"/>
    <w:rsid w:val="000659F8"/>
    <w:rsid w:val="00066577"/>
    <w:rsid w:val="000722DC"/>
    <w:rsid w:val="000B5D92"/>
    <w:rsid w:val="00174CB7"/>
    <w:rsid w:val="0019149B"/>
    <w:rsid w:val="00196433"/>
    <w:rsid w:val="001A6ACA"/>
    <w:rsid w:val="001B1F94"/>
    <w:rsid w:val="001B4940"/>
    <w:rsid w:val="001B671C"/>
    <w:rsid w:val="001C2A83"/>
    <w:rsid w:val="001F211C"/>
    <w:rsid w:val="001F22F1"/>
    <w:rsid w:val="00200B9E"/>
    <w:rsid w:val="00212696"/>
    <w:rsid w:val="002B0625"/>
    <w:rsid w:val="002C0597"/>
    <w:rsid w:val="002C63BD"/>
    <w:rsid w:val="002D1900"/>
    <w:rsid w:val="00305A0F"/>
    <w:rsid w:val="00307CD3"/>
    <w:rsid w:val="00320117"/>
    <w:rsid w:val="003374C3"/>
    <w:rsid w:val="00371F18"/>
    <w:rsid w:val="00372106"/>
    <w:rsid w:val="003A5F3B"/>
    <w:rsid w:val="003B1399"/>
    <w:rsid w:val="003B37AA"/>
    <w:rsid w:val="003B4CDE"/>
    <w:rsid w:val="003C3B5F"/>
    <w:rsid w:val="003F3986"/>
    <w:rsid w:val="00422F30"/>
    <w:rsid w:val="00430F35"/>
    <w:rsid w:val="00433A7D"/>
    <w:rsid w:val="00434A22"/>
    <w:rsid w:val="00457B66"/>
    <w:rsid w:val="00464FEE"/>
    <w:rsid w:val="00465973"/>
    <w:rsid w:val="00467A0F"/>
    <w:rsid w:val="004859ED"/>
    <w:rsid w:val="004A2C38"/>
    <w:rsid w:val="004A4503"/>
    <w:rsid w:val="004B3716"/>
    <w:rsid w:val="00515C84"/>
    <w:rsid w:val="005202CD"/>
    <w:rsid w:val="0057185D"/>
    <w:rsid w:val="00576F10"/>
    <w:rsid w:val="005A427A"/>
    <w:rsid w:val="005A53FF"/>
    <w:rsid w:val="005C3328"/>
    <w:rsid w:val="005C62D5"/>
    <w:rsid w:val="005F42F4"/>
    <w:rsid w:val="00651D27"/>
    <w:rsid w:val="0066549B"/>
    <w:rsid w:val="00671320"/>
    <w:rsid w:val="00692819"/>
    <w:rsid w:val="006B3C7C"/>
    <w:rsid w:val="006B46ED"/>
    <w:rsid w:val="006D4055"/>
    <w:rsid w:val="006F18EA"/>
    <w:rsid w:val="007421E0"/>
    <w:rsid w:val="00742574"/>
    <w:rsid w:val="007441BD"/>
    <w:rsid w:val="007533FC"/>
    <w:rsid w:val="00753E19"/>
    <w:rsid w:val="00754E67"/>
    <w:rsid w:val="00756C0A"/>
    <w:rsid w:val="007938E2"/>
    <w:rsid w:val="007946CC"/>
    <w:rsid w:val="007F52F2"/>
    <w:rsid w:val="00813EB3"/>
    <w:rsid w:val="00822BB5"/>
    <w:rsid w:val="00824C4C"/>
    <w:rsid w:val="008322BB"/>
    <w:rsid w:val="00842AC9"/>
    <w:rsid w:val="00895E11"/>
    <w:rsid w:val="00896A8B"/>
    <w:rsid w:val="008D7EC8"/>
    <w:rsid w:val="008E3749"/>
    <w:rsid w:val="008E423F"/>
    <w:rsid w:val="009018AE"/>
    <w:rsid w:val="00926BAB"/>
    <w:rsid w:val="00932CF1"/>
    <w:rsid w:val="00960F01"/>
    <w:rsid w:val="0097469F"/>
    <w:rsid w:val="00977EC3"/>
    <w:rsid w:val="009A25CF"/>
    <w:rsid w:val="009A41CE"/>
    <w:rsid w:val="009F24C9"/>
    <w:rsid w:val="009F532A"/>
    <w:rsid w:val="00A103BF"/>
    <w:rsid w:val="00A10ADE"/>
    <w:rsid w:val="00A418F0"/>
    <w:rsid w:val="00A7339D"/>
    <w:rsid w:val="00A85354"/>
    <w:rsid w:val="00AE5EB6"/>
    <w:rsid w:val="00AE5F7B"/>
    <w:rsid w:val="00B462C4"/>
    <w:rsid w:val="00B61AE2"/>
    <w:rsid w:val="00B668ED"/>
    <w:rsid w:val="00BA34E0"/>
    <w:rsid w:val="00BA41CF"/>
    <w:rsid w:val="00BA552F"/>
    <w:rsid w:val="00C20161"/>
    <w:rsid w:val="00C3194A"/>
    <w:rsid w:val="00C963C3"/>
    <w:rsid w:val="00CA18E4"/>
    <w:rsid w:val="00CA5B19"/>
    <w:rsid w:val="00CC1FDE"/>
    <w:rsid w:val="00D07C56"/>
    <w:rsid w:val="00D13658"/>
    <w:rsid w:val="00D14056"/>
    <w:rsid w:val="00D27561"/>
    <w:rsid w:val="00D730A2"/>
    <w:rsid w:val="00D8134F"/>
    <w:rsid w:val="00D92E5E"/>
    <w:rsid w:val="00D95C9F"/>
    <w:rsid w:val="00DA5B7A"/>
    <w:rsid w:val="00DB3AE7"/>
    <w:rsid w:val="00DC17B2"/>
    <w:rsid w:val="00DC566F"/>
    <w:rsid w:val="00DE1F3C"/>
    <w:rsid w:val="00DE22B3"/>
    <w:rsid w:val="00E33A33"/>
    <w:rsid w:val="00E611AB"/>
    <w:rsid w:val="00E6780D"/>
    <w:rsid w:val="00E76922"/>
    <w:rsid w:val="00E91A42"/>
    <w:rsid w:val="00EA129A"/>
    <w:rsid w:val="00EC1E33"/>
    <w:rsid w:val="00EC2CD8"/>
    <w:rsid w:val="00ED2CA1"/>
    <w:rsid w:val="00EE1896"/>
    <w:rsid w:val="00EF669D"/>
    <w:rsid w:val="00F44CED"/>
    <w:rsid w:val="00F80DBD"/>
    <w:rsid w:val="00FB014D"/>
    <w:rsid w:val="00FD0843"/>
    <w:rsid w:val="00FD6577"/>
    <w:rsid w:val="00FE770D"/>
    <w:rsid w:val="00FF28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0117"/>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72276">
      <w:bodyDiv w:val="1"/>
      <w:marLeft w:val="0"/>
      <w:marRight w:val="0"/>
      <w:marTop w:val="0"/>
      <w:marBottom w:val="0"/>
      <w:divBdr>
        <w:top w:val="none" w:sz="0" w:space="0" w:color="auto"/>
        <w:left w:val="none" w:sz="0" w:space="0" w:color="auto"/>
        <w:bottom w:val="none" w:sz="0" w:space="0" w:color="auto"/>
        <w:right w:val="none" w:sz="0" w:space="0" w:color="auto"/>
      </w:divBdr>
      <w:divsChild>
        <w:div w:id="1790195719">
          <w:marLeft w:val="0"/>
          <w:marRight w:val="0"/>
          <w:marTop w:val="0"/>
          <w:marBottom w:val="0"/>
          <w:divBdr>
            <w:top w:val="none" w:sz="0" w:space="0" w:color="auto"/>
            <w:left w:val="none" w:sz="0" w:space="0" w:color="auto"/>
            <w:bottom w:val="none" w:sz="0" w:space="0" w:color="auto"/>
            <w:right w:val="none" w:sz="0" w:space="0" w:color="auto"/>
          </w:divBdr>
        </w:div>
      </w:divsChild>
    </w:div>
    <w:div w:id="356277806">
      <w:bodyDiv w:val="1"/>
      <w:marLeft w:val="0"/>
      <w:marRight w:val="0"/>
      <w:marTop w:val="0"/>
      <w:marBottom w:val="0"/>
      <w:divBdr>
        <w:top w:val="none" w:sz="0" w:space="0" w:color="auto"/>
        <w:left w:val="none" w:sz="0" w:space="0" w:color="auto"/>
        <w:bottom w:val="none" w:sz="0" w:space="0" w:color="auto"/>
        <w:right w:val="none" w:sz="0" w:space="0" w:color="auto"/>
      </w:divBdr>
      <w:divsChild>
        <w:div w:id="518353491">
          <w:marLeft w:val="0"/>
          <w:marRight w:val="0"/>
          <w:marTop w:val="0"/>
          <w:marBottom w:val="0"/>
          <w:divBdr>
            <w:top w:val="none" w:sz="0" w:space="0" w:color="auto"/>
            <w:left w:val="none" w:sz="0" w:space="0" w:color="auto"/>
            <w:bottom w:val="none" w:sz="0" w:space="0" w:color="auto"/>
            <w:right w:val="none" w:sz="0" w:space="0" w:color="auto"/>
          </w:divBdr>
        </w:div>
      </w:divsChild>
    </w:div>
    <w:div w:id="493499741">
      <w:bodyDiv w:val="1"/>
      <w:marLeft w:val="0"/>
      <w:marRight w:val="0"/>
      <w:marTop w:val="0"/>
      <w:marBottom w:val="0"/>
      <w:divBdr>
        <w:top w:val="none" w:sz="0" w:space="0" w:color="auto"/>
        <w:left w:val="none" w:sz="0" w:space="0" w:color="auto"/>
        <w:bottom w:val="none" w:sz="0" w:space="0" w:color="auto"/>
        <w:right w:val="none" w:sz="0" w:space="0" w:color="auto"/>
      </w:divBdr>
    </w:div>
    <w:div w:id="733817347">
      <w:bodyDiv w:val="1"/>
      <w:marLeft w:val="0"/>
      <w:marRight w:val="0"/>
      <w:marTop w:val="0"/>
      <w:marBottom w:val="0"/>
      <w:divBdr>
        <w:top w:val="none" w:sz="0" w:space="0" w:color="auto"/>
        <w:left w:val="none" w:sz="0" w:space="0" w:color="auto"/>
        <w:bottom w:val="none" w:sz="0" w:space="0" w:color="auto"/>
        <w:right w:val="none" w:sz="0" w:space="0" w:color="auto"/>
      </w:divBdr>
      <w:divsChild>
        <w:div w:id="452090223">
          <w:marLeft w:val="0"/>
          <w:marRight w:val="0"/>
          <w:marTop w:val="0"/>
          <w:marBottom w:val="0"/>
          <w:divBdr>
            <w:top w:val="none" w:sz="0" w:space="0" w:color="auto"/>
            <w:left w:val="none" w:sz="0" w:space="0" w:color="auto"/>
            <w:bottom w:val="none" w:sz="0" w:space="0" w:color="auto"/>
            <w:right w:val="none" w:sz="0" w:space="0" w:color="auto"/>
          </w:divBdr>
        </w:div>
      </w:divsChild>
    </w:div>
    <w:div w:id="1097364594">
      <w:bodyDiv w:val="1"/>
      <w:marLeft w:val="0"/>
      <w:marRight w:val="0"/>
      <w:marTop w:val="0"/>
      <w:marBottom w:val="0"/>
      <w:divBdr>
        <w:top w:val="none" w:sz="0" w:space="0" w:color="auto"/>
        <w:left w:val="none" w:sz="0" w:space="0" w:color="auto"/>
        <w:bottom w:val="none" w:sz="0" w:space="0" w:color="auto"/>
        <w:right w:val="none" w:sz="0" w:space="0" w:color="auto"/>
      </w:divBdr>
      <w:divsChild>
        <w:div w:id="1829053594">
          <w:marLeft w:val="0"/>
          <w:marRight w:val="0"/>
          <w:marTop w:val="0"/>
          <w:marBottom w:val="0"/>
          <w:divBdr>
            <w:top w:val="none" w:sz="0" w:space="0" w:color="auto"/>
            <w:left w:val="none" w:sz="0" w:space="0" w:color="auto"/>
            <w:bottom w:val="none" w:sz="0" w:space="0" w:color="auto"/>
            <w:right w:val="none" w:sz="0" w:space="0" w:color="auto"/>
          </w:divBdr>
        </w:div>
      </w:divsChild>
    </w:div>
    <w:div w:id="1246115552">
      <w:bodyDiv w:val="1"/>
      <w:marLeft w:val="0"/>
      <w:marRight w:val="0"/>
      <w:marTop w:val="0"/>
      <w:marBottom w:val="0"/>
      <w:divBdr>
        <w:top w:val="none" w:sz="0" w:space="0" w:color="auto"/>
        <w:left w:val="none" w:sz="0" w:space="0" w:color="auto"/>
        <w:bottom w:val="none" w:sz="0" w:space="0" w:color="auto"/>
        <w:right w:val="none" w:sz="0" w:space="0" w:color="auto"/>
      </w:divBdr>
    </w:div>
    <w:div w:id="1383020046">
      <w:bodyDiv w:val="1"/>
      <w:marLeft w:val="0"/>
      <w:marRight w:val="0"/>
      <w:marTop w:val="0"/>
      <w:marBottom w:val="0"/>
      <w:divBdr>
        <w:top w:val="none" w:sz="0" w:space="0" w:color="auto"/>
        <w:left w:val="none" w:sz="0" w:space="0" w:color="auto"/>
        <w:bottom w:val="none" w:sz="0" w:space="0" w:color="auto"/>
        <w:right w:val="none" w:sz="0" w:space="0" w:color="auto"/>
      </w:divBdr>
      <w:divsChild>
        <w:div w:id="261231676">
          <w:marLeft w:val="0"/>
          <w:marRight w:val="0"/>
          <w:marTop w:val="0"/>
          <w:marBottom w:val="0"/>
          <w:divBdr>
            <w:top w:val="none" w:sz="0" w:space="0" w:color="auto"/>
            <w:left w:val="none" w:sz="0" w:space="0" w:color="auto"/>
            <w:bottom w:val="none" w:sz="0" w:space="0" w:color="auto"/>
            <w:right w:val="none" w:sz="0" w:space="0" w:color="auto"/>
          </w:divBdr>
        </w:div>
      </w:divsChild>
    </w:div>
    <w:div w:id="1703356513">
      <w:bodyDiv w:val="1"/>
      <w:marLeft w:val="0"/>
      <w:marRight w:val="0"/>
      <w:marTop w:val="0"/>
      <w:marBottom w:val="0"/>
      <w:divBdr>
        <w:top w:val="none" w:sz="0" w:space="0" w:color="auto"/>
        <w:left w:val="none" w:sz="0" w:space="0" w:color="auto"/>
        <w:bottom w:val="none" w:sz="0" w:space="0" w:color="auto"/>
        <w:right w:val="none" w:sz="0" w:space="0" w:color="auto"/>
      </w:divBdr>
      <w:divsChild>
        <w:div w:id="1351372618">
          <w:marLeft w:val="0"/>
          <w:marRight w:val="0"/>
          <w:marTop w:val="0"/>
          <w:marBottom w:val="0"/>
          <w:divBdr>
            <w:top w:val="none" w:sz="0" w:space="0" w:color="auto"/>
            <w:left w:val="none" w:sz="0" w:space="0" w:color="auto"/>
            <w:bottom w:val="none" w:sz="0" w:space="0" w:color="auto"/>
            <w:right w:val="none" w:sz="0" w:space="0" w:color="auto"/>
          </w:divBdr>
        </w:div>
      </w:divsChild>
    </w:div>
    <w:div w:id="2000958176">
      <w:bodyDiv w:val="1"/>
      <w:marLeft w:val="0"/>
      <w:marRight w:val="0"/>
      <w:marTop w:val="0"/>
      <w:marBottom w:val="0"/>
      <w:divBdr>
        <w:top w:val="none" w:sz="0" w:space="0" w:color="auto"/>
        <w:left w:val="none" w:sz="0" w:space="0" w:color="auto"/>
        <w:bottom w:val="none" w:sz="0" w:space="0" w:color="auto"/>
        <w:right w:val="none" w:sz="0" w:space="0" w:color="auto"/>
      </w:divBdr>
      <w:divsChild>
        <w:div w:id="1932083411">
          <w:marLeft w:val="0"/>
          <w:marRight w:val="0"/>
          <w:marTop w:val="0"/>
          <w:marBottom w:val="0"/>
          <w:divBdr>
            <w:top w:val="none" w:sz="0" w:space="0" w:color="auto"/>
            <w:left w:val="none" w:sz="0" w:space="0" w:color="auto"/>
            <w:bottom w:val="none" w:sz="0" w:space="0" w:color="auto"/>
            <w:right w:val="none" w:sz="0" w:space="0" w:color="auto"/>
          </w:divBdr>
        </w:div>
      </w:divsChild>
    </w:div>
    <w:div w:id="2053848601">
      <w:bodyDiv w:val="1"/>
      <w:marLeft w:val="0"/>
      <w:marRight w:val="0"/>
      <w:marTop w:val="0"/>
      <w:marBottom w:val="0"/>
      <w:divBdr>
        <w:top w:val="none" w:sz="0" w:space="0" w:color="auto"/>
        <w:left w:val="none" w:sz="0" w:space="0" w:color="auto"/>
        <w:bottom w:val="none" w:sz="0" w:space="0" w:color="auto"/>
        <w:right w:val="none" w:sz="0" w:space="0" w:color="auto"/>
      </w:divBdr>
      <w:divsChild>
        <w:div w:id="785541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36A1F-F5CA-4C20-936A-F19A686F8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2621</Words>
  <Characters>14941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Carmen Tutu</cp:lastModifiedBy>
  <cp:revision>80</cp:revision>
  <dcterms:created xsi:type="dcterms:W3CDTF">2026-02-12T22:13:00Z</dcterms:created>
  <dcterms:modified xsi:type="dcterms:W3CDTF">2026-02-26T23:41:00Z</dcterms:modified>
</cp:coreProperties>
</file>