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07C3" w:rsidRDefault="000007C3" w:rsidP="007A2054">
      <w:pPr>
        <w:jc w:val="center"/>
        <w:rPr>
          <w:rFonts w:eastAsia="Times New Roman" w:cstheme="minorHAnsi"/>
          <w:b/>
          <w:sz w:val="40"/>
          <w:szCs w:val="40"/>
          <w:lang w:eastAsia="en-AU"/>
        </w:rPr>
      </w:pPr>
    </w:p>
    <w:p w:rsidR="007A2054" w:rsidRPr="00D40069" w:rsidRDefault="006A3FE4" w:rsidP="007A2054">
      <w:pPr>
        <w:jc w:val="center"/>
        <w:rPr>
          <w:rFonts w:eastAsia="Times New Roman" w:cstheme="minorHAnsi"/>
          <w:b/>
          <w:sz w:val="40"/>
          <w:szCs w:val="40"/>
          <w:lang w:eastAsia="en-AU"/>
        </w:rPr>
      </w:pPr>
      <w:r w:rsidRPr="00D40069">
        <w:rPr>
          <w:rFonts w:eastAsia="Times New Roman" w:cstheme="minorHAnsi"/>
          <w:b/>
          <w:sz w:val="40"/>
          <w:szCs w:val="40"/>
          <w:lang w:eastAsia="en-AU"/>
        </w:rPr>
        <w:t>Sterile Packaging Complaints</w:t>
      </w:r>
      <w:r w:rsidR="005C567E">
        <w:rPr>
          <w:rFonts w:eastAsia="Times New Roman" w:cstheme="minorHAnsi"/>
          <w:b/>
          <w:sz w:val="40"/>
          <w:szCs w:val="40"/>
          <w:lang w:eastAsia="en-AU"/>
        </w:rPr>
        <w:t xml:space="preserve"> Root Cause Investigation</w:t>
      </w:r>
    </w:p>
    <w:p w:rsidR="007A2054" w:rsidRPr="00D40069" w:rsidRDefault="007A2054" w:rsidP="007A2054">
      <w:pPr>
        <w:spacing w:after="200" w:line="276" w:lineRule="auto"/>
        <w:jc w:val="center"/>
        <w:rPr>
          <w:rFonts w:eastAsia="Calibri" w:cstheme="minorHAnsi"/>
          <w:sz w:val="28"/>
          <w:szCs w:val="28"/>
          <w:lang w:eastAsia="en-AU"/>
        </w:rPr>
      </w:pPr>
    </w:p>
    <w:p w:rsidR="007A2054" w:rsidRPr="00D40069" w:rsidRDefault="007A2054" w:rsidP="007A2054">
      <w:pPr>
        <w:spacing w:after="200" w:line="276" w:lineRule="auto"/>
        <w:jc w:val="center"/>
        <w:rPr>
          <w:rFonts w:eastAsia="Calibri" w:cstheme="minorHAnsi"/>
          <w:sz w:val="28"/>
          <w:szCs w:val="28"/>
          <w:lang w:eastAsia="en-AU"/>
        </w:rPr>
      </w:pPr>
    </w:p>
    <w:p w:rsidR="007A2054" w:rsidRPr="00D40069" w:rsidRDefault="007A2054" w:rsidP="007A2054">
      <w:pPr>
        <w:spacing w:after="200" w:line="276" w:lineRule="auto"/>
        <w:jc w:val="center"/>
        <w:rPr>
          <w:rFonts w:eastAsia="Calibri" w:cstheme="minorHAnsi"/>
          <w:sz w:val="36"/>
          <w:szCs w:val="28"/>
          <w:lang w:eastAsia="en-AU"/>
        </w:rPr>
      </w:pPr>
    </w:p>
    <w:p w:rsidR="007A2054" w:rsidRPr="00D40069" w:rsidRDefault="00EF34D2" w:rsidP="007A2054">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Student</w:t>
      </w:r>
      <w:r w:rsidR="007A2054" w:rsidRPr="00D40069">
        <w:rPr>
          <w:rFonts w:eastAsia="Calibri" w:cstheme="minorHAnsi"/>
          <w:sz w:val="36"/>
          <w:szCs w:val="28"/>
          <w:lang w:eastAsia="en-AU"/>
        </w:rPr>
        <w:t>:</w:t>
      </w:r>
      <w:r w:rsidR="007A2054" w:rsidRPr="00D40069">
        <w:rPr>
          <w:rFonts w:eastAsia="Calibri" w:cstheme="minorHAnsi"/>
          <w:sz w:val="36"/>
          <w:szCs w:val="28"/>
          <w:lang w:eastAsia="en-AU"/>
        </w:rPr>
        <w:tab/>
      </w:r>
      <w:r w:rsidRPr="00D40069">
        <w:rPr>
          <w:rFonts w:eastAsia="Calibri" w:cstheme="minorHAnsi"/>
          <w:sz w:val="36"/>
          <w:szCs w:val="28"/>
          <w:lang w:eastAsia="en-AU"/>
        </w:rPr>
        <w:t>Amy Evans</w:t>
      </w:r>
    </w:p>
    <w:p w:rsidR="007A2054" w:rsidRPr="00D40069" w:rsidRDefault="006D1DFE" w:rsidP="007A2054">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 xml:space="preserve">Lecturer:  </w:t>
      </w:r>
      <w:r w:rsidR="006A3FE4" w:rsidRPr="00D40069">
        <w:rPr>
          <w:rFonts w:eastAsia="Calibri" w:cstheme="minorHAnsi"/>
          <w:sz w:val="36"/>
          <w:szCs w:val="28"/>
          <w:lang w:eastAsia="en-AU"/>
        </w:rPr>
        <w:t>Richard Morgan</w:t>
      </w:r>
    </w:p>
    <w:p w:rsidR="007A2054" w:rsidRPr="00D40069" w:rsidRDefault="007A2054" w:rsidP="007A2054">
      <w:pPr>
        <w:spacing w:after="200" w:line="276" w:lineRule="auto"/>
        <w:jc w:val="center"/>
        <w:rPr>
          <w:rFonts w:eastAsia="Calibri" w:cstheme="minorHAnsi"/>
          <w:sz w:val="36"/>
          <w:szCs w:val="28"/>
          <w:lang w:eastAsia="en-AU"/>
        </w:rPr>
      </w:pPr>
    </w:p>
    <w:p w:rsidR="007A2054" w:rsidRPr="00D40069" w:rsidRDefault="007A2054" w:rsidP="00EF34D2">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 xml:space="preserve">Unit: </w:t>
      </w:r>
      <w:r w:rsidR="006A3FE4" w:rsidRPr="00D40069">
        <w:rPr>
          <w:rFonts w:eastAsia="Calibri" w:cstheme="minorHAnsi"/>
          <w:sz w:val="36"/>
          <w:szCs w:val="28"/>
          <w:lang w:eastAsia="en-AU"/>
        </w:rPr>
        <w:t>Quality &amp; Business Improvements</w:t>
      </w:r>
    </w:p>
    <w:p w:rsidR="006A3FE4" w:rsidRPr="00D40069" w:rsidRDefault="00EF34D2" w:rsidP="006A3FE4">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Module</w:t>
      </w:r>
      <w:r w:rsidR="006A3FE4" w:rsidRPr="00D40069">
        <w:rPr>
          <w:rFonts w:eastAsia="Calibri" w:cstheme="minorHAnsi"/>
          <w:sz w:val="36"/>
          <w:szCs w:val="28"/>
          <w:lang w:eastAsia="en-AU"/>
        </w:rPr>
        <w:t xml:space="preserve"> Code: ACEA4001</w:t>
      </w:r>
    </w:p>
    <w:p w:rsidR="007A2054" w:rsidRPr="00D40069" w:rsidRDefault="00EF34D2" w:rsidP="00EF34D2">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 xml:space="preserve">Course: </w:t>
      </w:r>
      <w:r w:rsidR="00DC488D" w:rsidRPr="00D40069">
        <w:rPr>
          <w:rFonts w:cstheme="minorHAnsi"/>
          <w:color w:val="333333"/>
          <w:sz w:val="36"/>
          <w:szCs w:val="28"/>
          <w:shd w:val="clear" w:color="auto" w:fill="FFFFFF"/>
        </w:rPr>
        <w:t>Advanced Manufacturing Operations</w:t>
      </w:r>
      <w:r w:rsidR="00DC488D" w:rsidRPr="00D40069">
        <w:rPr>
          <w:rFonts w:ascii="Helvetica" w:hAnsi="Helvetica"/>
          <w:color w:val="333333"/>
          <w:sz w:val="25"/>
          <w:szCs w:val="21"/>
          <w:shd w:val="clear" w:color="auto" w:fill="FFFFFF"/>
        </w:rPr>
        <w:t>.</w:t>
      </w:r>
    </w:p>
    <w:p w:rsidR="007A2054" w:rsidRPr="00D40069" w:rsidRDefault="007A2054" w:rsidP="00EF34D2">
      <w:pPr>
        <w:spacing w:after="200" w:line="276" w:lineRule="auto"/>
        <w:jc w:val="center"/>
        <w:rPr>
          <w:rFonts w:eastAsia="Calibri" w:cstheme="minorHAnsi"/>
          <w:sz w:val="36"/>
          <w:szCs w:val="28"/>
          <w:lang w:eastAsia="en-AU"/>
        </w:rPr>
      </w:pPr>
    </w:p>
    <w:p w:rsidR="007A2054" w:rsidRPr="00D40069" w:rsidRDefault="00EF34D2" w:rsidP="00EF34D2">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Submission deadline</w:t>
      </w:r>
      <w:r w:rsidR="007A2054" w:rsidRPr="00D40069">
        <w:rPr>
          <w:rFonts w:eastAsia="Calibri" w:cstheme="minorHAnsi"/>
          <w:sz w:val="36"/>
          <w:szCs w:val="28"/>
          <w:lang w:eastAsia="en-AU"/>
        </w:rPr>
        <w:t xml:space="preserve">: </w:t>
      </w:r>
      <w:r w:rsidR="006A3FE4" w:rsidRPr="00D40069">
        <w:rPr>
          <w:rFonts w:eastAsia="Calibri" w:cstheme="minorHAnsi"/>
          <w:sz w:val="36"/>
          <w:szCs w:val="28"/>
          <w:lang w:eastAsia="en-AU"/>
        </w:rPr>
        <w:t>15</w:t>
      </w:r>
      <w:r w:rsidR="006A3FE4" w:rsidRPr="00D40069">
        <w:rPr>
          <w:rFonts w:eastAsia="Calibri" w:cstheme="minorHAnsi"/>
          <w:sz w:val="36"/>
          <w:szCs w:val="28"/>
          <w:vertAlign w:val="superscript"/>
          <w:lang w:eastAsia="en-AU"/>
        </w:rPr>
        <w:t>th</w:t>
      </w:r>
      <w:r w:rsidR="006A3FE4" w:rsidRPr="00D40069">
        <w:rPr>
          <w:rFonts w:eastAsia="Calibri" w:cstheme="minorHAnsi"/>
          <w:sz w:val="36"/>
          <w:szCs w:val="28"/>
          <w:lang w:eastAsia="en-AU"/>
        </w:rPr>
        <w:t xml:space="preserve"> June 2020</w:t>
      </w:r>
    </w:p>
    <w:p w:rsidR="007A2054" w:rsidRPr="00D40069" w:rsidRDefault="007A2054">
      <w:r w:rsidRPr="00D40069">
        <w:br w:type="page"/>
      </w:r>
    </w:p>
    <w:p w:rsidR="007A2054" w:rsidRPr="00D40069" w:rsidRDefault="007A2054"/>
    <w:p w:rsidR="00735388" w:rsidRPr="00D40069" w:rsidRDefault="00735388" w:rsidP="00E155FA"/>
    <w:sdt>
      <w:sdtPr>
        <w:rPr>
          <w:rFonts w:asciiTheme="minorHAnsi" w:eastAsiaTheme="minorHAnsi" w:hAnsiTheme="minorHAnsi" w:cstheme="minorBidi"/>
          <w:color w:val="auto"/>
          <w:sz w:val="22"/>
          <w:szCs w:val="22"/>
          <w:lang w:val="en-GB"/>
        </w:rPr>
        <w:id w:val="-1320340720"/>
        <w:docPartObj>
          <w:docPartGallery w:val="Table of Contents"/>
          <w:docPartUnique/>
        </w:docPartObj>
      </w:sdtPr>
      <w:sdtEndPr>
        <w:rPr>
          <w:b/>
          <w:bCs/>
        </w:rPr>
      </w:sdtEndPr>
      <w:sdtContent>
        <w:p w:rsidR="00735388" w:rsidRPr="00D40069" w:rsidRDefault="00735388">
          <w:pPr>
            <w:pStyle w:val="TOCHeading"/>
            <w:rPr>
              <w:rStyle w:val="Heading1Char"/>
              <w:rFonts w:asciiTheme="minorHAnsi" w:hAnsiTheme="minorHAnsi"/>
              <w:lang w:val="en-GB"/>
            </w:rPr>
          </w:pPr>
          <w:r w:rsidRPr="00D40069">
            <w:rPr>
              <w:rStyle w:val="Heading1Char"/>
              <w:rFonts w:asciiTheme="minorHAnsi" w:hAnsiTheme="minorHAnsi"/>
              <w:lang w:val="en-GB"/>
            </w:rPr>
            <w:t>Contents</w:t>
          </w:r>
        </w:p>
        <w:p w:rsidR="00E14596" w:rsidRDefault="00735388">
          <w:pPr>
            <w:pStyle w:val="TOC1"/>
            <w:tabs>
              <w:tab w:val="right" w:leader="dot" w:pos="9016"/>
            </w:tabs>
            <w:rPr>
              <w:rFonts w:eastAsiaTheme="minorEastAsia"/>
              <w:noProof/>
              <w:lang w:eastAsia="en-GB"/>
            </w:rPr>
          </w:pPr>
          <w:r w:rsidRPr="00D40069">
            <w:fldChar w:fldCharType="begin"/>
          </w:r>
          <w:r w:rsidRPr="00D40069">
            <w:instrText xml:space="preserve"> TOC \o "1-3" \h \z \u </w:instrText>
          </w:r>
          <w:r w:rsidRPr="00D40069">
            <w:fldChar w:fldCharType="separate"/>
          </w:r>
          <w:hyperlink w:anchor="_Toc38554131" w:history="1">
            <w:r w:rsidR="00E14596" w:rsidRPr="008E7FFA">
              <w:rPr>
                <w:rStyle w:val="Hyperlink"/>
                <w:noProof/>
              </w:rPr>
              <w:t>Problem Statement</w:t>
            </w:r>
            <w:r w:rsidR="00E14596">
              <w:rPr>
                <w:noProof/>
                <w:webHidden/>
              </w:rPr>
              <w:tab/>
            </w:r>
            <w:r w:rsidR="00E14596">
              <w:rPr>
                <w:noProof/>
                <w:webHidden/>
              </w:rPr>
              <w:fldChar w:fldCharType="begin"/>
            </w:r>
            <w:r w:rsidR="00E14596">
              <w:rPr>
                <w:noProof/>
                <w:webHidden/>
              </w:rPr>
              <w:instrText xml:space="preserve"> PAGEREF _Toc38554131 \h </w:instrText>
            </w:r>
            <w:r w:rsidR="00E14596">
              <w:rPr>
                <w:noProof/>
                <w:webHidden/>
              </w:rPr>
            </w:r>
            <w:r w:rsidR="00E14596">
              <w:rPr>
                <w:noProof/>
                <w:webHidden/>
              </w:rPr>
              <w:fldChar w:fldCharType="separate"/>
            </w:r>
            <w:r w:rsidR="00E14596">
              <w:rPr>
                <w:noProof/>
                <w:webHidden/>
              </w:rPr>
              <w:t>3</w:t>
            </w:r>
            <w:r w:rsidR="00E14596">
              <w:rPr>
                <w:noProof/>
                <w:webHidden/>
              </w:rPr>
              <w:fldChar w:fldCharType="end"/>
            </w:r>
          </w:hyperlink>
        </w:p>
        <w:p w:rsidR="00E14596" w:rsidRDefault="0001463B">
          <w:pPr>
            <w:pStyle w:val="TOC1"/>
            <w:tabs>
              <w:tab w:val="right" w:leader="dot" w:pos="9016"/>
            </w:tabs>
            <w:rPr>
              <w:rFonts w:eastAsiaTheme="minorEastAsia"/>
              <w:noProof/>
              <w:lang w:eastAsia="en-GB"/>
            </w:rPr>
          </w:pPr>
          <w:hyperlink w:anchor="_Toc38554132" w:history="1">
            <w:r w:rsidR="00E14596" w:rsidRPr="008E7FFA">
              <w:rPr>
                <w:rStyle w:val="Hyperlink"/>
                <w:noProof/>
              </w:rPr>
              <w:t>Data Collection</w:t>
            </w:r>
            <w:r w:rsidR="00E14596">
              <w:rPr>
                <w:noProof/>
                <w:webHidden/>
              </w:rPr>
              <w:tab/>
            </w:r>
            <w:r w:rsidR="00E14596">
              <w:rPr>
                <w:noProof/>
                <w:webHidden/>
              </w:rPr>
              <w:fldChar w:fldCharType="begin"/>
            </w:r>
            <w:r w:rsidR="00E14596">
              <w:rPr>
                <w:noProof/>
                <w:webHidden/>
              </w:rPr>
              <w:instrText xml:space="preserve"> PAGEREF _Toc38554132 \h </w:instrText>
            </w:r>
            <w:r w:rsidR="00E14596">
              <w:rPr>
                <w:noProof/>
                <w:webHidden/>
              </w:rPr>
            </w:r>
            <w:r w:rsidR="00E14596">
              <w:rPr>
                <w:noProof/>
                <w:webHidden/>
              </w:rPr>
              <w:fldChar w:fldCharType="separate"/>
            </w:r>
            <w:r w:rsidR="00E14596">
              <w:rPr>
                <w:noProof/>
                <w:webHidden/>
              </w:rPr>
              <w:t>4</w:t>
            </w:r>
            <w:r w:rsidR="00E14596">
              <w:rPr>
                <w:noProof/>
                <w:webHidden/>
              </w:rPr>
              <w:fldChar w:fldCharType="end"/>
            </w:r>
          </w:hyperlink>
        </w:p>
        <w:p w:rsidR="00E14596" w:rsidRDefault="0001463B">
          <w:pPr>
            <w:pStyle w:val="TOC1"/>
            <w:tabs>
              <w:tab w:val="right" w:leader="dot" w:pos="9016"/>
            </w:tabs>
            <w:rPr>
              <w:rFonts w:eastAsiaTheme="minorEastAsia"/>
              <w:noProof/>
              <w:lang w:eastAsia="en-GB"/>
            </w:rPr>
          </w:pPr>
          <w:hyperlink w:anchor="_Toc38554133" w:history="1">
            <w:r w:rsidR="00E14596" w:rsidRPr="008E7FFA">
              <w:rPr>
                <w:rStyle w:val="Hyperlink"/>
                <w:noProof/>
              </w:rPr>
              <w:t>Data Analysis</w:t>
            </w:r>
            <w:r w:rsidR="00E14596">
              <w:rPr>
                <w:noProof/>
                <w:webHidden/>
              </w:rPr>
              <w:tab/>
            </w:r>
            <w:r w:rsidR="00E14596">
              <w:rPr>
                <w:noProof/>
                <w:webHidden/>
              </w:rPr>
              <w:fldChar w:fldCharType="begin"/>
            </w:r>
            <w:r w:rsidR="00E14596">
              <w:rPr>
                <w:noProof/>
                <w:webHidden/>
              </w:rPr>
              <w:instrText xml:space="preserve"> PAGEREF _Toc38554133 \h </w:instrText>
            </w:r>
            <w:r w:rsidR="00E14596">
              <w:rPr>
                <w:noProof/>
                <w:webHidden/>
              </w:rPr>
            </w:r>
            <w:r w:rsidR="00E14596">
              <w:rPr>
                <w:noProof/>
                <w:webHidden/>
              </w:rPr>
              <w:fldChar w:fldCharType="separate"/>
            </w:r>
            <w:r w:rsidR="00E14596">
              <w:rPr>
                <w:noProof/>
                <w:webHidden/>
              </w:rPr>
              <w:t>5</w:t>
            </w:r>
            <w:r w:rsidR="00E14596">
              <w:rPr>
                <w:noProof/>
                <w:webHidden/>
              </w:rPr>
              <w:fldChar w:fldCharType="end"/>
            </w:r>
          </w:hyperlink>
        </w:p>
        <w:p w:rsidR="00E14596" w:rsidRDefault="0001463B">
          <w:pPr>
            <w:pStyle w:val="TOC1"/>
            <w:tabs>
              <w:tab w:val="right" w:leader="dot" w:pos="9016"/>
            </w:tabs>
            <w:rPr>
              <w:rFonts w:eastAsiaTheme="minorEastAsia"/>
              <w:noProof/>
              <w:lang w:eastAsia="en-GB"/>
            </w:rPr>
          </w:pPr>
          <w:hyperlink w:anchor="_Toc38554134" w:history="1">
            <w:r w:rsidR="00E14596" w:rsidRPr="008E7FFA">
              <w:rPr>
                <w:rStyle w:val="Hyperlink"/>
                <w:noProof/>
              </w:rPr>
              <w:t>Root Cause Analysis</w:t>
            </w:r>
            <w:r w:rsidR="00E14596">
              <w:rPr>
                <w:noProof/>
                <w:webHidden/>
              </w:rPr>
              <w:tab/>
            </w:r>
            <w:r w:rsidR="00E14596">
              <w:rPr>
                <w:noProof/>
                <w:webHidden/>
              </w:rPr>
              <w:fldChar w:fldCharType="begin"/>
            </w:r>
            <w:r w:rsidR="00E14596">
              <w:rPr>
                <w:noProof/>
                <w:webHidden/>
              </w:rPr>
              <w:instrText xml:space="preserve"> PAGEREF _Toc38554134 \h </w:instrText>
            </w:r>
            <w:r w:rsidR="00E14596">
              <w:rPr>
                <w:noProof/>
                <w:webHidden/>
              </w:rPr>
            </w:r>
            <w:r w:rsidR="00E14596">
              <w:rPr>
                <w:noProof/>
                <w:webHidden/>
              </w:rPr>
              <w:fldChar w:fldCharType="separate"/>
            </w:r>
            <w:r w:rsidR="00E14596">
              <w:rPr>
                <w:noProof/>
                <w:webHidden/>
              </w:rPr>
              <w:t>7</w:t>
            </w:r>
            <w:r w:rsidR="00E14596">
              <w:rPr>
                <w:noProof/>
                <w:webHidden/>
              </w:rPr>
              <w:fldChar w:fldCharType="end"/>
            </w:r>
          </w:hyperlink>
        </w:p>
        <w:p w:rsidR="00E14596" w:rsidRDefault="0001463B">
          <w:pPr>
            <w:pStyle w:val="TOC2"/>
            <w:tabs>
              <w:tab w:val="right" w:leader="dot" w:pos="9016"/>
            </w:tabs>
            <w:rPr>
              <w:rFonts w:eastAsiaTheme="minorEastAsia"/>
              <w:noProof/>
              <w:lang w:eastAsia="en-GB"/>
            </w:rPr>
          </w:pPr>
          <w:hyperlink w:anchor="_Toc38554135" w:history="1">
            <w:r w:rsidR="00E14596" w:rsidRPr="008E7FFA">
              <w:rPr>
                <w:rStyle w:val="Hyperlink"/>
                <w:noProof/>
              </w:rPr>
              <w:t>Investigation Plan</w:t>
            </w:r>
            <w:r w:rsidR="00E14596">
              <w:rPr>
                <w:noProof/>
                <w:webHidden/>
              </w:rPr>
              <w:tab/>
            </w:r>
            <w:r w:rsidR="00E14596">
              <w:rPr>
                <w:noProof/>
                <w:webHidden/>
              </w:rPr>
              <w:fldChar w:fldCharType="begin"/>
            </w:r>
            <w:r w:rsidR="00E14596">
              <w:rPr>
                <w:noProof/>
                <w:webHidden/>
              </w:rPr>
              <w:instrText xml:space="preserve"> PAGEREF _Toc38554135 \h </w:instrText>
            </w:r>
            <w:r w:rsidR="00E14596">
              <w:rPr>
                <w:noProof/>
                <w:webHidden/>
              </w:rPr>
            </w:r>
            <w:r w:rsidR="00E14596">
              <w:rPr>
                <w:noProof/>
                <w:webHidden/>
              </w:rPr>
              <w:fldChar w:fldCharType="separate"/>
            </w:r>
            <w:r w:rsidR="00E14596">
              <w:rPr>
                <w:noProof/>
                <w:webHidden/>
              </w:rPr>
              <w:t>7</w:t>
            </w:r>
            <w:r w:rsidR="00E14596">
              <w:rPr>
                <w:noProof/>
                <w:webHidden/>
              </w:rPr>
              <w:fldChar w:fldCharType="end"/>
            </w:r>
          </w:hyperlink>
        </w:p>
        <w:p w:rsidR="00E14596" w:rsidRDefault="0001463B">
          <w:pPr>
            <w:pStyle w:val="TOC2"/>
            <w:tabs>
              <w:tab w:val="right" w:leader="dot" w:pos="9016"/>
            </w:tabs>
            <w:rPr>
              <w:rFonts w:eastAsiaTheme="minorEastAsia"/>
              <w:noProof/>
              <w:lang w:eastAsia="en-GB"/>
            </w:rPr>
          </w:pPr>
          <w:hyperlink w:anchor="_Toc38554136" w:history="1">
            <w:r w:rsidR="00E14596" w:rsidRPr="008E7FFA">
              <w:rPr>
                <w:rStyle w:val="Hyperlink"/>
                <w:noProof/>
              </w:rPr>
              <w:t>Investigation Results</w:t>
            </w:r>
            <w:r w:rsidR="00E14596">
              <w:rPr>
                <w:noProof/>
                <w:webHidden/>
              </w:rPr>
              <w:tab/>
            </w:r>
            <w:r w:rsidR="00E14596">
              <w:rPr>
                <w:noProof/>
                <w:webHidden/>
              </w:rPr>
              <w:fldChar w:fldCharType="begin"/>
            </w:r>
            <w:r w:rsidR="00E14596">
              <w:rPr>
                <w:noProof/>
                <w:webHidden/>
              </w:rPr>
              <w:instrText xml:space="preserve"> PAGEREF _Toc38554136 \h </w:instrText>
            </w:r>
            <w:r w:rsidR="00E14596">
              <w:rPr>
                <w:noProof/>
                <w:webHidden/>
              </w:rPr>
            </w:r>
            <w:r w:rsidR="00E14596">
              <w:rPr>
                <w:noProof/>
                <w:webHidden/>
              </w:rPr>
              <w:fldChar w:fldCharType="separate"/>
            </w:r>
            <w:r w:rsidR="00E14596">
              <w:rPr>
                <w:noProof/>
                <w:webHidden/>
              </w:rPr>
              <w:t>7</w:t>
            </w:r>
            <w:r w:rsidR="00E14596">
              <w:rPr>
                <w:noProof/>
                <w:webHidden/>
              </w:rPr>
              <w:fldChar w:fldCharType="end"/>
            </w:r>
          </w:hyperlink>
        </w:p>
        <w:p w:rsidR="00E14596" w:rsidRDefault="0001463B">
          <w:pPr>
            <w:pStyle w:val="TOC2"/>
            <w:tabs>
              <w:tab w:val="right" w:leader="dot" w:pos="9016"/>
            </w:tabs>
            <w:rPr>
              <w:rFonts w:eastAsiaTheme="minorEastAsia"/>
              <w:noProof/>
              <w:lang w:eastAsia="en-GB"/>
            </w:rPr>
          </w:pPr>
          <w:hyperlink w:anchor="_Toc38554137" w:history="1">
            <w:r w:rsidR="00E14596" w:rsidRPr="008E7FFA">
              <w:rPr>
                <w:rStyle w:val="Hyperlink"/>
                <w:noProof/>
              </w:rPr>
              <w:t>Root Cause</w:t>
            </w:r>
            <w:r w:rsidR="00E14596">
              <w:rPr>
                <w:noProof/>
                <w:webHidden/>
              </w:rPr>
              <w:tab/>
            </w:r>
            <w:r w:rsidR="00E14596">
              <w:rPr>
                <w:noProof/>
                <w:webHidden/>
              </w:rPr>
              <w:fldChar w:fldCharType="begin"/>
            </w:r>
            <w:r w:rsidR="00E14596">
              <w:rPr>
                <w:noProof/>
                <w:webHidden/>
              </w:rPr>
              <w:instrText xml:space="preserve"> PAGEREF _Toc38554137 \h </w:instrText>
            </w:r>
            <w:r w:rsidR="00E14596">
              <w:rPr>
                <w:noProof/>
                <w:webHidden/>
              </w:rPr>
            </w:r>
            <w:r w:rsidR="00E14596">
              <w:rPr>
                <w:noProof/>
                <w:webHidden/>
              </w:rPr>
              <w:fldChar w:fldCharType="separate"/>
            </w:r>
            <w:r w:rsidR="00E14596">
              <w:rPr>
                <w:noProof/>
                <w:webHidden/>
              </w:rPr>
              <w:t>8</w:t>
            </w:r>
            <w:r w:rsidR="00E14596">
              <w:rPr>
                <w:noProof/>
                <w:webHidden/>
              </w:rPr>
              <w:fldChar w:fldCharType="end"/>
            </w:r>
          </w:hyperlink>
        </w:p>
        <w:p w:rsidR="00E14596" w:rsidRDefault="0001463B">
          <w:pPr>
            <w:pStyle w:val="TOC1"/>
            <w:tabs>
              <w:tab w:val="right" w:leader="dot" w:pos="9016"/>
            </w:tabs>
            <w:rPr>
              <w:rFonts w:eastAsiaTheme="minorEastAsia"/>
              <w:noProof/>
              <w:lang w:eastAsia="en-GB"/>
            </w:rPr>
          </w:pPr>
          <w:hyperlink w:anchor="_Toc38554138" w:history="1">
            <w:r w:rsidR="00E14596" w:rsidRPr="008E7FFA">
              <w:rPr>
                <w:rStyle w:val="Hyperlink"/>
                <w:noProof/>
              </w:rPr>
              <w:t>Action Plan</w:t>
            </w:r>
            <w:r w:rsidR="00E14596">
              <w:rPr>
                <w:noProof/>
                <w:webHidden/>
              </w:rPr>
              <w:tab/>
            </w:r>
            <w:r w:rsidR="00E14596">
              <w:rPr>
                <w:noProof/>
                <w:webHidden/>
              </w:rPr>
              <w:fldChar w:fldCharType="begin"/>
            </w:r>
            <w:r w:rsidR="00E14596">
              <w:rPr>
                <w:noProof/>
                <w:webHidden/>
              </w:rPr>
              <w:instrText xml:space="preserve"> PAGEREF _Toc38554138 \h </w:instrText>
            </w:r>
            <w:r w:rsidR="00E14596">
              <w:rPr>
                <w:noProof/>
                <w:webHidden/>
              </w:rPr>
            </w:r>
            <w:r w:rsidR="00E14596">
              <w:rPr>
                <w:noProof/>
                <w:webHidden/>
              </w:rPr>
              <w:fldChar w:fldCharType="separate"/>
            </w:r>
            <w:r w:rsidR="00E14596">
              <w:rPr>
                <w:noProof/>
                <w:webHidden/>
              </w:rPr>
              <w:t>9</w:t>
            </w:r>
            <w:r w:rsidR="00E14596">
              <w:rPr>
                <w:noProof/>
                <w:webHidden/>
              </w:rPr>
              <w:fldChar w:fldCharType="end"/>
            </w:r>
          </w:hyperlink>
        </w:p>
        <w:p w:rsidR="00E14596" w:rsidRDefault="0001463B">
          <w:pPr>
            <w:pStyle w:val="TOC2"/>
            <w:tabs>
              <w:tab w:val="right" w:leader="dot" w:pos="9016"/>
            </w:tabs>
            <w:rPr>
              <w:rFonts w:eastAsiaTheme="minorEastAsia"/>
              <w:noProof/>
              <w:lang w:eastAsia="en-GB"/>
            </w:rPr>
          </w:pPr>
          <w:hyperlink w:anchor="_Toc38554139" w:history="1">
            <w:r w:rsidR="00E14596" w:rsidRPr="008E7FFA">
              <w:rPr>
                <w:rStyle w:val="Hyperlink"/>
                <w:noProof/>
              </w:rPr>
              <w:t>Implementation Plan</w:t>
            </w:r>
            <w:r w:rsidR="00E14596">
              <w:rPr>
                <w:noProof/>
                <w:webHidden/>
              </w:rPr>
              <w:tab/>
            </w:r>
            <w:r w:rsidR="00E14596">
              <w:rPr>
                <w:noProof/>
                <w:webHidden/>
              </w:rPr>
              <w:fldChar w:fldCharType="begin"/>
            </w:r>
            <w:r w:rsidR="00E14596">
              <w:rPr>
                <w:noProof/>
                <w:webHidden/>
              </w:rPr>
              <w:instrText xml:space="preserve"> PAGEREF _Toc38554139 \h </w:instrText>
            </w:r>
            <w:r w:rsidR="00E14596">
              <w:rPr>
                <w:noProof/>
                <w:webHidden/>
              </w:rPr>
            </w:r>
            <w:r w:rsidR="00E14596">
              <w:rPr>
                <w:noProof/>
                <w:webHidden/>
              </w:rPr>
              <w:fldChar w:fldCharType="separate"/>
            </w:r>
            <w:r w:rsidR="00E14596">
              <w:rPr>
                <w:noProof/>
                <w:webHidden/>
              </w:rPr>
              <w:t>9</w:t>
            </w:r>
            <w:r w:rsidR="00E14596">
              <w:rPr>
                <w:noProof/>
                <w:webHidden/>
              </w:rPr>
              <w:fldChar w:fldCharType="end"/>
            </w:r>
          </w:hyperlink>
        </w:p>
        <w:p w:rsidR="00E14596" w:rsidRDefault="0001463B">
          <w:pPr>
            <w:pStyle w:val="TOC2"/>
            <w:tabs>
              <w:tab w:val="right" w:leader="dot" w:pos="9016"/>
            </w:tabs>
            <w:rPr>
              <w:rFonts w:eastAsiaTheme="minorEastAsia"/>
              <w:noProof/>
              <w:lang w:eastAsia="en-GB"/>
            </w:rPr>
          </w:pPr>
          <w:hyperlink w:anchor="_Toc38554140" w:history="1">
            <w:r w:rsidR="00E14596" w:rsidRPr="008E7FFA">
              <w:rPr>
                <w:rStyle w:val="Hyperlink"/>
                <w:noProof/>
              </w:rPr>
              <w:t>Implementation Results</w:t>
            </w:r>
            <w:r w:rsidR="00E14596">
              <w:rPr>
                <w:noProof/>
                <w:webHidden/>
              </w:rPr>
              <w:tab/>
            </w:r>
            <w:r w:rsidR="00E14596">
              <w:rPr>
                <w:noProof/>
                <w:webHidden/>
              </w:rPr>
              <w:fldChar w:fldCharType="begin"/>
            </w:r>
            <w:r w:rsidR="00E14596">
              <w:rPr>
                <w:noProof/>
                <w:webHidden/>
              </w:rPr>
              <w:instrText xml:space="preserve"> PAGEREF _Toc38554140 \h </w:instrText>
            </w:r>
            <w:r w:rsidR="00E14596">
              <w:rPr>
                <w:noProof/>
                <w:webHidden/>
              </w:rPr>
            </w:r>
            <w:r w:rsidR="00E14596">
              <w:rPr>
                <w:noProof/>
                <w:webHidden/>
              </w:rPr>
              <w:fldChar w:fldCharType="separate"/>
            </w:r>
            <w:r w:rsidR="00E14596">
              <w:rPr>
                <w:noProof/>
                <w:webHidden/>
              </w:rPr>
              <w:t>10</w:t>
            </w:r>
            <w:r w:rsidR="00E14596">
              <w:rPr>
                <w:noProof/>
                <w:webHidden/>
              </w:rPr>
              <w:fldChar w:fldCharType="end"/>
            </w:r>
          </w:hyperlink>
        </w:p>
        <w:p w:rsidR="00E14596" w:rsidRDefault="0001463B">
          <w:pPr>
            <w:pStyle w:val="TOC2"/>
            <w:tabs>
              <w:tab w:val="right" w:leader="dot" w:pos="9016"/>
            </w:tabs>
            <w:rPr>
              <w:rFonts w:eastAsiaTheme="minorEastAsia"/>
              <w:noProof/>
              <w:lang w:eastAsia="en-GB"/>
            </w:rPr>
          </w:pPr>
          <w:hyperlink w:anchor="_Toc38554141" w:history="1">
            <w:r w:rsidR="00E14596" w:rsidRPr="008E7FFA">
              <w:rPr>
                <w:rStyle w:val="Hyperlink"/>
                <w:noProof/>
              </w:rPr>
              <w:t>Verification of Effectiveness Plan</w:t>
            </w:r>
            <w:r w:rsidR="00E14596">
              <w:rPr>
                <w:noProof/>
                <w:webHidden/>
              </w:rPr>
              <w:tab/>
            </w:r>
            <w:r w:rsidR="00E14596">
              <w:rPr>
                <w:noProof/>
                <w:webHidden/>
              </w:rPr>
              <w:fldChar w:fldCharType="begin"/>
            </w:r>
            <w:r w:rsidR="00E14596">
              <w:rPr>
                <w:noProof/>
                <w:webHidden/>
              </w:rPr>
              <w:instrText xml:space="preserve"> PAGEREF _Toc38554141 \h </w:instrText>
            </w:r>
            <w:r w:rsidR="00E14596">
              <w:rPr>
                <w:noProof/>
                <w:webHidden/>
              </w:rPr>
            </w:r>
            <w:r w:rsidR="00E14596">
              <w:rPr>
                <w:noProof/>
                <w:webHidden/>
              </w:rPr>
              <w:fldChar w:fldCharType="separate"/>
            </w:r>
            <w:r w:rsidR="00E14596">
              <w:rPr>
                <w:noProof/>
                <w:webHidden/>
              </w:rPr>
              <w:t>10</w:t>
            </w:r>
            <w:r w:rsidR="00E14596">
              <w:rPr>
                <w:noProof/>
                <w:webHidden/>
              </w:rPr>
              <w:fldChar w:fldCharType="end"/>
            </w:r>
          </w:hyperlink>
        </w:p>
        <w:p w:rsidR="00E14596" w:rsidRDefault="0001463B">
          <w:pPr>
            <w:pStyle w:val="TOC2"/>
            <w:tabs>
              <w:tab w:val="right" w:leader="dot" w:pos="9016"/>
            </w:tabs>
            <w:rPr>
              <w:rFonts w:eastAsiaTheme="minorEastAsia"/>
              <w:noProof/>
              <w:lang w:eastAsia="en-GB"/>
            </w:rPr>
          </w:pPr>
          <w:hyperlink w:anchor="_Toc38554142" w:history="1">
            <w:r w:rsidR="00E14596" w:rsidRPr="008E7FFA">
              <w:rPr>
                <w:rStyle w:val="Hyperlink"/>
                <w:noProof/>
              </w:rPr>
              <w:t>Verification of Effectiveness Results</w:t>
            </w:r>
            <w:r w:rsidR="00E14596">
              <w:rPr>
                <w:noProof/>
                <w:webHidden/>
              </w:rPr>
              <w:tab/>
            </w:r>
            <w:r w:rsidR="00E14596">
              <w:rPr>
                <w:noProof/>
                <w:webHidden/>
              </w:rPr>
              <w:fldChar w:fldCharType="begin"/>
            </w:r>
            <w:r w:rsidR="00E14596">
              <w:rPr>
                <w:noProof/>
                <w:webHidden/>
              </w:rPr>
              <w:instrText xml:space="preserve"> PAGEREF _Toc38554142 \h </w:instrText>
            </w:r>
            <w:r w:rsidR="00E14596">
              <w:rPr>
                <w:noProof/>
                <w:webHidden/>
              </w:rPr>
            </w:r>
            <w:r w:rsidR="00E14596">
              <w:rPr>
                <w:noProof/>
                <w:webHidden/>
              </w:rPr>
              <w:fldChar w:fldCharType="separate"/>
            </w:r>
            <w:r w:rsidR="00E14596">
              <w:rPr>
                <w:noProof/>
                <w:webHidden/>
              </w:rPr>
              <w:t>11</w:t>
            </w:r>
            <w:r w:rsidR="00E14596">
              <w:rPr>
                <w:noProof/>
                <w:webHidden/>
              </w:rPr>
              <w:fldChar w:fldCharType="end"/>
            </w:r>
          </w:hyperlink>
        </w:p>
        <w:p w:rsidR="00E14596" w:rsidRDefault="0001463B">
          <w:pPr>
            <w:pStyle w:val="TOC1"/>
            <w:tabs>
              <w:tab w:val="right" w:leader="dot" w:pos="9016"/>
            </w:tabs>
            <w:rPr>
              <w:rFonts w:eastAsiaTheme="minorEastAsia"/>
              <w:noProof/>
              <w:lang w:eastAsia="en-GB"/>
            </w:rPr>
          </w:pPr>
          <w:hyperlink w:anchor="_Toc38554143" w:history="1">
            <w:r w:rsidR="00E14596" w:rsidRPr="008E7FFA">
              <w:rPr>
                <w:rStyle w:val="Hyperlink"/>
                <w:noProof/>
              </w:rPr>
              <w:t>Conclusion</w:t>
            </w:r>
            <w:r w:rsidR="00E14596">
              <w:rPr>
                <w:noProof/>
                <w:webHidden/>
              </w:rPr>
              <w:tab/>
            </w:r>
            <w:r w:rsidR="00E14596">
              <w:rPr>
                <w:noProof/>
                <w:webHidden/>
              </w:rPr>
              <w:fldChar w:fldCharType="begin"/>
            </w:r>
            <w:r w:rsidR="00E14596">
              <w:rPr>
                <w:noProof/>
                <w:webHidden/>
              </w:rPr>
              <w:instrText xml:space="preserve"> PAGEREF _Toc38554143 \h </w:instrText>
            </w:r>
            <w:r w:rsidR="00E14596">
              <w:rPr>
                <w:noProof/>
                <w:webHidden/>
              </w:rPr>
            </w:r>
            <w:r w:rsidR="00E14596">
              <w:rPr>
                <w:noProof/>
                <w:webHidden/>
              </w:rPr>
              <w:fldChar w:fldCharType="separate"/>
            </w:r>
            <w:r w:rsidR="00E14596">
              <w:rPr>
                <w:noProof/>
                <w:webHidden/>
              </w:rPr>
              <w:t>11</w:t>
            </w:r>
            <w:r w:rsidR="00E14596">
              <w:rPr>
                <w:noProof/>
                <w:webHidden/>
              </w:rPr>
              <w:fldChar w:fldCharType="end"/>
            </w:r>
          </w:hyperlink>
        </w:p>
        <w:p w:rsidR="00E14596" w:rsidRDefault="0001463B">
          <w:pPr>
            <w:pStyle w:val="TOC1"/>
            <w:tabs>
              <w:tab w:val="right" w:leader="dot" w:pos="9016"/>
            </w:tabs>
            <w:rPr>
              <w:rFonts w:eastAsiaTheme="minorEastAsia"/>
              <w:noProof/>
              <w:lang w:eastAsia="en-GB"/>
            </w:rPr>
          </w:pPr>
          <w:hyperlink w:anchor="_Toc38554144" w:history="1">
            <w:r w:rsidR="00E14596" w:rsidRPr="008E7FFA">
              <w:rPr>
                <w:rStyle w:val="Hyperlink"/>
                <w:noProof/>
              </w:rPr>
              <w:t>APPENDIX A</w:t>
            </w:r>
            <w:r w:rsidR="00E14596">
              <w:rPr>
                <w:noProof/>
                <w:webHidden/>
              </w:rPr>
              <w:tab/>
            </w:r>
            <w:r w:rsidR="00E14596">
              <w:rPr>
                <w:noProof/>
                <w:webHidden/>
              </w:rPr>
              <w:fldChar w:fldCharType="begin"/>
            </w:r>
            <w:r w:rsidR="00E14596">
              <w:rPr>
                <w:noProof/>
                <w:webHidden/>
              </w:rPr>
              <w:instrText xml:space="preserve"> PAGEREF _Toc38554144 \h </w:instrText>
            </w:r>
            <w:r w:rsidR="00E14596">
              <w:rPr>
                <w:noProof/>
                <w:webHidden/>
              </w:rPr>
            </w:r>
            <w:r w:rsidR="00E14596">
              <w:rPr>
                <w:noProof/>
                <w:webHidden/>
              </w:rPr>
              <w:fldChar w:fldCharType="separate"/>
            </w:r>
            <w:r w:rsidR="00E14596">
              <w:rPr>
                <w:noProof/>
                <w:webHidden/>
              </w:rPr>
              <w:t>12</w:t>
            </w:r>
            <w:r w:rsidR="00E14596">
              <w:rPr>
                <w:noProof/>
                <w:webHidden/>
              </w:rPr>
              <w:fldChar w:fldCharType="end"/>
            </w:r>
          </w:hyperlink>
        </w:p>
        <w:p w:rsidR="00E14596" w:rsidRDefault="0001463B">
          <w:pPr>
            <w:pStyle w:val="TOC1"/>
            <w:tabs>
              <w:tab w:val="right" w:leader="dot" w:pos="9016"/>
            </w:tabs>
            <w:rPr>
              <w:rFonts w:eastAsiaTheme="minorEastAsia"/>
              <w:noProof/>
              <w:lang w:eastAsia="en-GB"/>
            </w:rPr>
          </w:pPr>
          <w:hyperlink w:anchor="_Toc38554145" w:history="1">
            <w:r w:rsidR="00E14596" w:rsidRPr="008E7FFA">
              <w:rPr>
                <w:rStyle w:val="Hyperlink"/>
                <w:noProof/>
              </w:rPr>
              <w:t>APPENDIX B</w:t>
            </w:r>
            <w:r w:rsidR="00E14596">
              <w:rPr>
                <w:noProof/>
                <w:webHidden/>
              </w:rPr>
              <w:tab/>
            </w:r>
            <w:r w:rsidR="00E14596">
              <w:rPr>
                <w:noProof/>
                <w:webHidden/>
              </w:rPr>
              <w:fldChar w:fldCharType="begin"/>
            </w:r>
            <w:r w:rsidR="00E14596">
              <w:rPr>
                <w:noProof/>
                <w:webHidden/>
              </w:rPr>
              <w:instrText xml:space="preserve"> PAGEREF _Toc38554145 \h </w:instrText>
            </w:r>
            <w:r w:rsidR="00E14596">
              <w:rPr>
                <w:noProof/>
                <w:webHidden/>
              </w:rPr>
            </w:r>
            <w:r w:rsidR="00E14596">
              <w:rPr>
                <w:noProof/>
                <w:webHidden/>
              </w:rPr>
              <w:fldChar w:fldCharType="separate"/>
            </w:r>
            <w:r w:rsidR="00E14596">
              <w:rPr>
                <w:noProof/>
                <w:webHidden/>
              </w:rPr>
              <w:t>17</w:t>
            </w:r>
            <w:r w:rsidR="00E14596">
              <w:rPr>
                <w:noProof/>
                <w:webHidden/>
              </w:rPr>
              <w:fldChar w:fldCharType="end"/>
            </w:r>
          </w:hyperlink>
        </w:p>
        <w:p w:rsidR="00735388" w:rsidRPr="00D40069" w:rsidRDefault="00735388">
          <w:r w:rsidRPr="00D40069">
            <w:rPr>
              <w:b/>
              <w:bCs/>
            </w:rPr>
            <w:fldChar w:fldCharType="end"/>
          </w:r>
        </w:p>
      </w:sdtContent>
    </w:sdt>
    <w:p w:rsidR="007A2054" w:rsidRPr="00D40069" w:rsidRDefault="007A2054">
      <w:bookmarkStart w:id="0" w:name="_Toc30518293"/>
      <w:r w:rsidRPr="00D40069">
        <w:rPr>
          <w:b/>
        </w:rPr>
        <w:br w:type="page"/>
      </w:r>
    </w:p>
    <w:p w:rsidR="00BC3CFB" w:rsidRPr="00D40069" w:rsidRDefault="0033029D" w:rsidP="00BC3CFB">
      <w:pPr>
        <w:pStyle w:val="Heading1"/>
      </w:pPr>
      <w:bookmarkStart w:id="1" w:name="_Toc38554131"/>
      <w:bookmarkEnd w:id="0"/>
      <w:r w:rsidRPr="00D40069">
        <w:lastRenderedPageBreak/>
        <w:t>Problem Statement</w:t>
      </w:r>
      <w:bookmarkEnd w:id="1"/>
    </w:p>
    <w:p w:rsidR="00522131" w:rsidRPr="00D40069" w:rsidRDefault="00DC523A" w:rsidP="00660D0C">
      <w:pPr>
        <w:tabs>
          <w:tab w:val="left" w:pos="-720"/>
          <w:tab w:val="left" w:pos="0"/>
        </w:tabs>
        <w:suppressAutoHyphens/>
        <w:spacing w:after="240" w:line="276" w:lineRule="auto"/>
        <w:rPr>
          <w:rFonts w:cstheme="minorHAnsi"/>
          <w:szCs w:val="20"/>
        </w:rPr>
      </w:pPr>
      <w:r w:rsidRPr="00D40069">
        <w:rPr>
          <w:rFonts w:cstheme="minorHAnsi"/>
          <w:szCs w:val="20"/>
        </w:rPr>
        <w:t xml:space="preserve">At Zimmer Biomet </w:t>
      </w:r>
      <w:r w:rsidR="006012A8" w:rsidRPr="00D40069">
        <w:rPr>
          <w:rFonts w:cstheme="minorHAnsi"/>
          <w:szCs w:val="20"/>
        </w:rPr>
        <w:t>our products are packed utilising a double-barrier and them sterilised using gamma. Taperloc (hips) product packaging consists of a polyamide/polyethylene composite pre-formed</w:t>
      </w:r>
      <w:r w:rsidR="002D70A5" w:rsidRPr="00D40069">
        <w:rPr>
          <w:rFonts w:cstheme="minorHAnsi"/>
          <w:szCs w:val="20"/>
        </w:rPr>
        <w:t xml:space="preserve"> pouch which is vacuum sealed and then placed into an outer pre-formed blister. The sealed inner pouch containing the device is placed in</w:t>
      </w:r>
      <w:r w:rsidR="00522131" w:rsidRPr="00D40069">
        <w:rPr>
          <w:rFonts w:cstheme="minorHAnsi"/>
          <w:szCs w:val="20"/>
        </w:rPr>
        <w:t>to</w:t>
      </w:r>
      <w:r w:rsidR="002D70A5" w:rsidRPr="00D40069">
        <w:rPr>
          <w:rFonts w:cstheme="minorHAnsi"/>
          <w:szCs w:val="20"/>
        </w:rPr>
        <w:t xml:space="preserve"> the blister cavity together with protective Alveolite foam pads to provide protection against shock and prevent the inner pouc</w:t>
      </w:r>
      <w:r w:rsidR="00522131" w:rsidRPr="00D40069">
        <w:rPr>
          <w:rFonts w:cstheme="minorHAnsi"/>
          <w:szCs w:val="20"/>
        </w:rPr>
        <w:t>h moving within the blister. A</w:t>
      </w:r>
      <w:r w:rsidR="002D70A5" w:rsidRPr="00D40069">
        <w:rPr>
          <w:rFonts w:cstheme="minorHAnsi"/>
          <w:szCs w:val="20"/>
        </w:rPr>
        <w:t xml:space="preserve"> Tyvek lid is then heat-sealed to the blister to provide a second sterile barrier.</w:t>
      </w:r>
      <w:r w:rsidR="00522131" w:rsidRPr="00D40069">
        <w:rPr>
          <w:rFonts w:cstheme="minorHAnsi"/>
          <w:szCs w:val="20"/>
        </w:rPr>
        <w:t xml:space="preserve"> The sealed blister is placed within a substantial out</w:t>
      </w:r>
      <w:r w:rsidR="00096E0B" w:rsidRPr="00D40069">
        <w:rPr>
          <w:rFonts w:cstheme="minorHAnsi"/>
          <w:szCs w:val="20"/>
        </w:rPr>
        <w:t xml:space="preserve">er carton (with labels and instructions) </w:t>
      </w:r>
      <w:r w:rsidR="00522131" w:rsidRPr="00D40069">
        <w:rPr>
          <w:rFonts w:cstheme="minorHAnsi"/>
          <w:szCs w:val="20"/>
        </w:rPr>
        <w:t xml:space="preserve">consisting of an inner box designed to accept the sealed blister and prevent movement, and an outer sleeve. The carton is shrink wrapped with transparent </w:t>
      </w:r>
      <w:r w:rsidR="00096E0B" w:rsidRPr="00D40069">
        <w:rPr>
          <w:rFonts w:cstheme="minorHAnsi"/>
          <w:szCs w:val="20"/>
        </w:rPr>
        <w:t xml:space="preserve">shrink film </w:t>
      </w:r>
      <w:r w:rsidR="00522131" w:rsidRPr="00D40069">
        <w:rPr>
          <w:rFonts w:cstheme="minorHAnsi"/>
          <w:szCs w:val="20"/>
        </w:rPr>
        <w:t>to protect from dust. Finished ca</w:t>
      </w:r>
      <w:r w:rsidR="00096E0B" w:rsidRPr="00D40069">
        <w:rPr>
          <w:rFonts w:cstheme="minorHAnsi"/>
          <w:szCs w:val="20"/>
        </w:rPr>
        <w:t>rtons are then sent for sterilis</w:t>
      </w:r>
      <w:r w:rsidR="00522131" w:rsidRPr="00D40069">
        <w:rPr>
          <w:rFonts w:cstheme="minorHAnsi"/>
          <w:szCs w:val="20"/>
        </w:rPr>
        <w:t>ation.</w:t>
      </w:r>
    </w:p>
    <w:p w:rsidR="00096E0B" w:rsidRPr="00D40069" w:rsidRDefault="00096E0B" w:rsidP="00096E0B">
      <w:pPr>
        <w:pStyle w:val="Caption"/>
        <w:rPr>
          <w:rFonts w:cstheme="minorHAnsi"/>
          <w:b/>
          <w:color w:val="auto"/>
          <w:spacing w:val="-3"/>
          <w:sz w:val="24"/>
          <w:szCs w:val="20"/>
        </w:rPr>
      </w:pPr>
      <w:r w:rsidRPr="00D40069">
        <w:rPr>
          <w:b/>
          <w:color w:val="auto"/>
          <w:sz w:val="20"/>
        </w:rPr>
        <w:t xml:space="preserve">Figure </w:t>
      </w:r>
      <w:r w:rsidRPr="00D40069">
        <w:rPr>
          <w:b/>
          <w:color w:val="auto"/>
          <w:sz w:val="20"/>
        </w:rPr>
        <w:fldChar w:fldCharType="begin"/>
      </w:r>
      <w:r w:rsidRPr="00D40069">
        <w:rPr>
          <w:b/>
          <w:color w:val="auto"/>
          <w:sz w:val="20"/>
        </w:rPr>
        <w:instrText xml:space="preserve"> SEQ Figure \* ARABIC </w:instrText>
      </w:r>
      <w:r w:rsidRPr="00D40069">
        <w:rPr>
          <w:b/>
          <w:color w:val="auto"/>
          <w:sz w:val="20"/>
        </w:rPr>
        <w:fldChar w:fldCharType="separate"/>
      </w:r>
      <w:r w:rsidRPr="00D40069">
        <w:rPr>
          <w:b/>
          <w:color w:val="auto"/>
          <w:sz w:val="20"/>
        </w:rPr>
        <w:t>1</w:t>
      </w:r>
      <w:r w:rsidRPr="00D40069">
        <w:rPr>
          <w:b/>
          <w:color w:val="auto"/>
          <w:sz w:val="20"/>
        </w:rPr>
        <w:fldChar w:fldCharType="end"/>
      </w:r>
      <w:r w:rsidR="005636E0" w:rsidRPr="00D40069">
        <w:rPr>
          <w:b/>
          <w:color w:val="auto"/>
          <w:sz w:val="20"/>
        </w:rPr>
        <w:t xml:space="preserve"> &amp; 2</w:t>
      </w:r>
      <w:r w:rsidRPr="00D40069">
        <w:rPr>
          <w:b/>
          <w:color w:val="auto"/>
          <w:sz w:val="20"/>
        </w:rPr>
        <w:t xml:space="preserve"> - Product sealed in pouch</w:t>
      </w:r>
      <w:r w:rsidR="005636E0" w:rsidRPr="00D40069">
        <w:rPr>
          <w:b/>
          <w:color w:val="auto"/>
          <w:sz w:val="20"/>
        </w:rPr>
        <w:t xml:space="preserve"> and placed into blister with foams</w:t>
      </w:r>
    </w:p>
    <w:p w:rsidR="00096E0B" w:rsidRPr="00D40069" w:rsidRDefault="00096E0B" w:rsidP="00660D0C">
      <w:pPr>
        <w:pStyle w:val="ListParagraph"/>
        <w:tabs>
          <w:tab w:val="left" w:pos="-720"/>
          <w:tab w:val="left" w:pos="0"/>
        </w:tabs>
        <w:suppressAutoHyphens/>
        <w:spacing w:after="240" w:line="276" w:lineRule="auto"/>
        <w:ind w:left="360"/>
        <w:jc w:val="center"/>
        <w:rPr>
          <w:rFonts w:asciiTheme="minorHAnsi" w:hAnsiTheme="minorHAnsi" w:cstheme="minorHAnsi"/>
          <w:sz w:val="22"/>
          <w:szCs w:val="20"/>
          <w:lang w:val="en-GB"/>
        </w:rPr>
      </w:pPr>
      <w:r w:rsidRPr="00D40069">
        <w:rPr>
          <w:rFonts w:cs="Arial"/>
          <w:noProof/>
          <w:lang w:val="en-GB" w:eastAsia="en-GB"/>
        </w:rPr>
        <w:drawing>
          <wp:inline distT="0" distB="0" distL="0" distR="0" wp14:anchorId="5736BED0" wp14:editId="6A431C68">
            <wp:extent cx="1733550" cy="1300163"/>
            <wp:effectExtent l="19050" t="19050" r="19050"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uch.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58791" cy="1319094"/>
                    </a:xfrm>
                    <a:prstGeom prst="rect">
                      <a:avLst/>
                    </a:prstGeom>
                    <a:ln w="12700">
                      <a:solidFill>
                        <a:schemeClr val="tx1"/>
                      </a:solidFill>
                    </a:ln>
                  </pic:spPr>
                </pic:pic>
              </a:graphicData>
            </a:graphic>
          </wp:inline>
        </w:drawing>
      </w:r>
      <w:r w:rsidR="005636E0" w:rsidRPr="00D40069">
        <w:rPr>
          <w:noProof/>
          <w:lang w:val="en-GB" w:eastAsia="en-GB"/>
        </w:rPr>
        <w:drawing>
          <wp:inline distT="0" distB="0" distL="0" distR="0" wp14:anchorId="0C227AA9" wp14:editId="21C8695B">
            <wp:extent cx="1755128" cy="1321804"/>
            <wp:effectExtent l="0" t="0" r="0" b="0"/>
            <wp:docPr id="1344" name="Picture 1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5977" cy="1352568"/>
                    </a:xfrm>
                    <a:prstGeom prst="rect">
                      <a:avLst/>
                    </a:prstGeom>
                    <a:noFill/>
                  </pic:spPr>
                </pic:pic>
              </a:graphicData>
            </a:graphic>
          </wp:inline>
        </w:drawing>
      </w:r>
    </w:p>
    <w:p w:rsidR="005636E0" w:rsidRPr="00D40069" w:rsidRDefault="005636E0" w:rsidP="005636E0">
      <w:pPr>
        <w:pStyle w:val="Caption"/>
        <w:rPr>
          <w:b/>
          <w:color w:val="auto"/>
          <w:sz w:val="20"/>
        </w:rPr>
      </w:pPr>
    </w:p>
    <w:p w:rsidR="005636E0" w:rsidRPr="00D40069" w:rsidRDefault="005636E0" w:rsidP="005636E0">
      <w:pPr>
        <w:pStyle w:val="Caption"/>
        <w:rPr>
          <w:b/>
          <w:color w:val="auto"/>
          <w:sz w:val="20"/>
        </w:rPr>
      </w:pPr>
      <w:r w:rsidRPr="00D40069">
        <w:rPr>
          <w:b/>
          <w:color w:val="auto"/>
          <w:sz w:val="20"/>
        </w:rPr>
        <w:t>Figure 3 &amp; 4 - Product placed into carton with labels and instructions</w:t>
      </w:r>
    </w:p>
    <w:p w:rsidR="005636E0" w:rsidRPr="00D40069" w:rsidRDefault="005636E0" w:rsidP="00660D0C">
      <w:pPr>
        <w:jc w:val="center"/>
      </w:pPr>
      <w:r w:rsidRPr="00D40069">
        <w:rPr>
          <w:noProof/>
          <w:lang w:eastAsia="en-GB"/>
        </w:rPr>
        <w:drawing>
          <wp:inline distT="0" distB="0" distL="0" distR="0" wp14:anchorId="4B7BF283">
            <wp:extent cx="1785464" cy="1341885"/>
            <wp:effectExtent l="0" t="0" r="5715" b="0"/>
            <wp:docPr id="1345" name="Picture 1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73908" cy="1408356"/>
                    </a:xfrm>
                    <a:prstGeom prst="rect">
                      <a:avLst/>
                    </a:prstGeom>
                    <a:noFill/>
                  </pic:spPr>
                </pic:pic>
              </a:graphicData>
            </a:graphic>
          </wp:inline>
        </w:drawing>
      </w:r>
      <w:r w:rsidRPr="00D40069">
        <w:rPr>
          <w:noProof/>
          <w:lang w:eastAsia="en-GB"/>
        </w:rPr>
        <w:drawing>
          <wp:inline distT="0" distB="0" distL="0" distR="0" wp14:anchorId="2AB4F0A8">
            <wp:extent cx="1760590" cy="1325176"/>
            <wp:effectExtent l="0" t="0" r="0" b="8890"/>
            <wp:docPr id="1346" name="Picture 1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19018" cy="1369154"/>
                    </a:xfrm>
                    <a:prstGeom prst="rect">
                      <a:avLst/>
                    </a:prstGeom>
                    <a:noFill/>
                  </pic:spPr>
                </pic:pic>
              </a:graphicData>
            </a:graphic>
          </wp:inline>
        </w:drawing>
      </w:r>
    </w:p>
    <w:p w:rsidR="00C419B1" w:rsidRPr="00D40069" w:rsidRDefault="00C419B1" w:rsidP="00C419B1">
      <w:pPr>
        <w:pStyle w:val="Caption"/>
        <w:rPr>
          <w:b/>
          <w:color w:val="auto"/>
          <w:sz w:val="20"/>
        </w:rPr>
      </w:pPr>
      <w:r w:rsidRPr="00D40069">
        <w:rPr>
          <w:b/>
          <w:color w:val="auto"/>
          <w:sz w:val="20"/>
        </w:rPr>
        <w:t>Figure 5 – Product packed in carton and shrink wrapped</w:t>
      </w:r>
    </w:p>
    <w:p w:rsidR="00C419B1" w:rsidRPr="00D40069" w:rsidRDefault="00C419B1" w:rsidP="00C419B1">
      <w:pPr>
        <w:jc w:val="center"/>
      </w:pPr>
      <w:r w:rsidRPr="00D40069">
        <w:rPr>
          <w:rFonts w:ascii="Arial" w:hAnsi="Arial" w:cs="Arial"/>
          <w:noProof/>
          <w:lang w:eastAsia="en-GB"/>
        </w:rPr>
        <w:drawing>
          <wp:inline distT="0" distB="0" distL="0" distR="0" wp14:anchorId="38BF0B19" wp14:editId="14198771">
            <wp:extent cx="1841801" cy="1381351"/>
            <wp:effectExtent l="19050" t="19050" r="25400"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ull Pack.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59316" cy="1394487"/>
                    </a:xfrm>
                    <a:prstGeom prst="rect">
                      <a:avLst/>
                    </a:prstGeom>
                    <a:ln w="12700">
                      <a:solidFill>
                        <a:schemeClr val="tx1"/>
                      </a:solidFill>
                    </a:ln>
                  </pic:spPr>
                </pic:pic>
              </a:graphicData>
            </a:graphic>
          </wp:inline>
        </w:drawing>
      </w:r>
    </w:p>
    <w:p w:rsidR="00741AAF" w:rsidRPr="00B3555F" w:rsidRDefault="00254904" w:rsidP="00B3555F">
      <w:pPr>
        <w:tabs>
          <w:tab w:val="left" w:pos="-720"/>
          <w:tab w:val="left" w:pos="0"/>
        </w:tabs>
        <w:suppressAutoHyphens/>
        <w:spacing w:after="240" w:line="276" w:lineRule="auto"/>
        <w:rPr>
          <w:rFonts w:cstheme="minorHAnsi"/>
          <w:szCs w:val="20"/>
        </w:rPr>
      </w:pPr>
      <w:r w:rsidRPr="00D40069">
        <w:rPr>
          <w:rFonts w:cstheme="minorHAnsi"/>
          <w:szCs w:val="20"/>
        </w:rPr>
        <w:t xml:space="preserve">In </w:t>
      </w:r>
      <w:r w:rsidR="00741AAF" w:rsidRPr="00D40069">
        <w:rPr>
          <w:rFonts w:cstheme="minorHAnsi"/>
          <w:szCs w:val="20"/>
        </w:rPr>
        <w:t>2018</w:t>
      </w:r>
      <w:r w:rsidR="007B4914" w:rsidRPr="00D40069">
        <w:rPr>
          <w:rFonts w:cstheme="minorHAnsi"/>
          <w:szCs w:val="20"/>
        </w:rPr>
        <w:t xml:space="preserve"> I was given 13 complaints to review as part of an issue evaluation</w:t>
      </w:r>
      <w:r w:rsidR="00741AAF" w:rsidRPr="00D40069">
        <w:rPr>
          <w:rFonts w:cstheme="minorHAnsi"/>
          <w:szCs w:val="20"/>
        </w:rPr>
        <w:t xml:space="preserve"> </w:t>
      </w:r>
      <w:r w:rsidR="007B4914" w:rsidRPr="00D40069">
        <w:rPr>
          <w:rFonts w:cstheme="minorHAnsi"/>
          <w:szCs w:val="20"/>
        </w:rPr>
        <w:t>due to</w:t>
      </w:r>
      <w:r w:rsidR="00741AAF" w:rsidRPr="00D40069">
        <w:rPr>
          <w:rFonts w:cstheme="minorHAnsi"/>
          <w:szCs w:val="20"/>
        </w:rPr>
        <w:t xml:space="preserve"> </w:t>
      </w:r>
      <w:r w:rsidR="00E10086" w:rsidRPr="00D40069">
        <w:rPr>
          <w:rFonts w:cstheme="minorHAnsi"/>
          <w:szCs w:val="20"/>
        </w:rPr>
        <w:t>an increase of</w:t>
      </w:r>
      <w:r w:rsidR="00741AAF" w:rsidRPr="00D40069">
        <w:rPr>
          <w:rFonts w:cstheme="minorHAnsi"/>
          <w:szCs w:val="20"/>
        </w:rPr>
        <w:t xml:space="preserve"> complaint</w:t>
      </w:r>
      <w:r w:rsidR="00C209B3" w:rsidRPr="00D40069">
        <w:rPr>
          <w:rFonts w:cstheme="minorHAnsi"/>
          <w:szCs w:val="20"/>
        </w:rPr>
        <w:t xml:space="preserve">s from customers where </w:t>
      </w:r>
      <w:r w:rsidR="00741AAF" w:rsidRPr="00D40069">
        <w:rPr>
          <w:rFonts w:cstheme="minorHAnsi"/>
          <w:szCs w:val="20"/>
        </w:rPr>
        <w:t>potential d</w:t>
      </w:r>
      <w:r w:rsidR="007B4914" w:rsidRPr="00D40069">
        <w:rPr>
          <w:rFonts w:cstheme="minorHAnsi"/>
          <w:szCs w:val="20"/>
        </w:rPr>
        <w:t>ebris / foreign particles were</w:t>
      </w:r>
      <w:r w:rsidR="00C209B3" w:rsidRPr="00D40069">
        <w:rPr>
          <w:rFonts w:cstheme="minorHAnsi"/>
          <w:szCs w:val="20"/>
        </w:rPr>
        <w:t xml:space="preserve"> found in</w:t>
      </w:r>
      <w:r w:rsidR="00741AAF" w:rsidRPr="00D40069">
        <w:rPr>
          <w:rFonts w:cstheme="minorHAnsi"/>
          <w:szCs w:val="20"/>
        </w:rPr>
        <w:t xml:space="preserve"> the primary and/or secondary packaging. These complaints were for Taperloc product and a Corrective Action Preventive Action (CAPA)</w:t>
      </w:r>
      <w:r w:rsidR="00C209B3" w:rsidRPr="00D40069">
        <w:rPr>
          <w:rFonts w:cstheme="minorHAnsi"/>
          <w:szCs w:val="20"/>
        </w:rPr>
        <w:t xml:space="preserve"> was raised and I was asked to investigate.</w:t>
      </w:r>
    </w:p>
    <w:p w:rsidR="00921949" w:rsidRPr="00D40069" w:rsidRDefault="004559BF" w:rsidP="00E155FA">
      <w:pPr>
        <w:pStyle w:val="Heading1"/>
      </w:pPr>
      <w:bookmarkStart w:id="2" w:name="_Toc38554132"/>
      <w:r w:rsidRPr="00D40069">
        <w:lastRenderedPageBreak/>
        <w:t>Data Collection</w:t>
      </w:r>
      <w:bookmarkEnd w:id="2"/>
    </w:p>
    <w:p w:rsidR="007B4914" w:rsidRPr="00D40069" w:rsidRDefault="00225921" w:rsidP="00C41C8C">
      <w:pPr>
        <w:tabs>
          <w:tab w:val="left" w:pos="-720"/>
          <w:tab w:val="left" w:pos="0"/>
        </w:tabs>
        <w:suppressAutoHyphens/>
        <w:spacing w:after="240" w:line="276" w:lineRule="auto"/>
        <w:rPr>
          <w:rFonts w:cstheme="minorHAnsi"/>
          <w:szCs w:val="20"/>
        </w:rPr>
      </w:pPr>
      <w:r w:rsidRPr="00D40069">
        <w:rPr>
          <w:rFonts w:cstheme="minorHAnsi"/>
          <w:szCs w:val="20"/>
        </w:rPr>
        <w:t>I completed a full rev</w:t>
      </w:r>
      <w:r w:rsidR="00D40069" w:rsidRPr="00D40069">
        <w:rPr>
          <w:rFonts w:cstheme="minorHAnsi"/>
          <w:szCs w:val="20"/>
        </w:rPr>
        <w:t>iew of the</w:t>
      </w:r>
      <w:r w:rsidR="003B2829" w:rsidRPr="00D40069">
        <w:rPr>
          <w:rFonts w:cstheme="minorHAnsi"/>
          <w:szCs w:val="20"/>
        </w:rPr>
        <w:t xml:space="preserve"> 13 complaint reports and whilst the general complaint category was grouped under “Debris in Package” it is clear from the photographs supplied with the complaints that they could be further classified according to the type of particle. This opinion was canvassed amongst Operations, Quality and Engineering and we agreed the following descriptors: -</w:t>
      </w:r>
    </w:p>
    <w:p w:rsidR="00D40069" w:rsidRPr="00D40069" w:rsidRDefault="00D40069" w:rsidP="00D40069">
      <w:pPr>
        <w:pStyle w:val="Caption"/>
        <w:rPr>
          <w:b/>
          <w:color w:val="auto"/>
          <w:sz w:val="20"/>
        </w:rPr>
      </w:pPr>
      <w:r w:rsidRPr="00D40069">
        <w:rPr>
          <w:b/>
          <w:color w:val="auto"/>
          <w:sz w:val="20"/>
        </w:rPr>
        <w:t>Table 1 – Complaints Category</w:t>
      </w:r>
    </w:p>
    <w:tbl>
      <w:tblPr>
        <w:tblW w:w="9356" w:type="dxa"/>
        <w:tblInd w:w="-15" w:type="dxa"/>
        <w:tblLook w:val="04A0" w:firstRow="1" w:lastRow="0" w:firstColumn="1" w:lastColumn="0" w:noHBand="0" w:noVBand="1"/>
      </w:tblPr>
      <w:tblGrid>
        <w:gridCol w:w="1400"/>
        <w:gridCol w:w="2286"/>
        <w:gridCol w:w="1276"/>
        <w:gridCol w:w="2126"/>
        <w:gridCol w:w="2268"/>
      </w:tblGrid>
      <w:tr w:rsidR="00223640" w:rsidRPr="00D40069" w:rsidTr="00722253">
        <w:trPr>
          <w:trHeight w:val="329"/>
        </w:trPr>
        <w:tc>
          <w:tcPr>
            <w:tcW w:w="1400" w:type="dxa"/>
            <w:tcBorders>
              <w:top w:val="single" w:sz="12" w:space="0" w:color="auto"/>
              <w:left w:val="single" w:sz="12" w:space="0" w:color="auto"/>
              <w:bottom w:val="single" w:sz="4" w:space="0" w:color="auto"/>
              <w:right w:val="single" w:sz="4"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Complaint</w:t>
            </w:r>
          </w:p>
        </w:tc>
        <w:tc>
          <w:tcPr>
            <w:tcW w:w="2286" w:type="dxa"/>
            <w:tcBorders>
              <w:top w:val="single" w:sz="12"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Complaint ID</w:t>
            </w:r>
          </w:p>
        </w:tc>
        <w:tc>
          <w:tcPr>
            <w:tcW w:w="1276" w:type="dxa"/>
            <w:tcBorders>
              <w:top w:val="single" w:sz="12"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Quantity</w:t>
            </w:r>
          </w:p>
        </w:tc>
        <w:tc>
          <w:tcPr>
            <w:tcW w:w="2126" w:type="dxa"/>
            <w:tcBorders>
              <w:top w:val="single" w:sz="12"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Packaging Operator</w:t>
            </w:r>
          </w:p>
        </w:tc>
        <w:tc>
          <w:tcPr>
            <w:tcW w:w="2268" w:type="dxa"/>
            <w:tcBorders>
              <w:top w:val="single" w:sz="12" w:space="0" w:color="auto"/>
              <w:left w:val="single" w:sz="4" w:space="0" w:color="auto"/>
              <w:bottom w:val="single" w:sz="4" w:space="0" w:color="auto"/>
              <w:right w:val="single" w:sz="12"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Descriptor</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CMP-0405188</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2</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CMP-0263124</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2</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Metal Particulate</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3</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CMP-0311183</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3</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4</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CMP-0398840</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Operator4</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5</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CMP-0407954</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5</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vMerge w:val="restart"/>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6</w:t>
            </w:r>
          </w:p>
        </w:tc>
        <w:tc>
          <w:tcPr>
            <w:tcW w:w="2286" w:type="dxa"/>
            <w:vMerge w:val="restart"/>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CMP-0409383</w:t>
            </w:r>
          </w:p>
        </w:tc>
        <w:tc>
          <w:tcPr>
            <w:tcW w:w="127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6</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5</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5</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6</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7</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8</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5</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7</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CMP-0410782</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9</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8</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CMP-0409283</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10</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9</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CMP-0404034</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14</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val="restart"/>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10</w:t>
            </w:r>
          </w:p>
        </w:tc>
        <w:tc>
          <w:tcPr>
            <w:tcW w:w="2286" w:type="dxa"/>
            <w:vMerge w:val="restart"/>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CMP-0410774</w:t>
            </w:r>
          </w:p>
        </w:tc>
        <w:tc>
          <w:tcPr>
            <w:tcW w:w="127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2</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11</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12</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11</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CMP-0409338</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9</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12</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CMP-0407939</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3</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val="restart"/>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13</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CMP-0410736</w:t>
            </w:r>
          </w:p>
        </w:tc>
        <w:tc>
          <w:tcPr>
            <w:tcW w:w="127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2</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13</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vMerge/>
            <w:tcBorders>
              <w:top w:val="single" w:sz="4" w:space="0" w:color="auto"/>
              <w:left w:val="single" w:sz="12" w:space="0" w:color="auto"/>
              <w:bottom w:val="single" w:sz="12" w:space="0" w:color="000000"/>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tcBorders>
              <w:top w:val="single" w:sz="4" w:space="0" w:color="auto"/>
              <w:left w:val="single" w:sz="4" w:space="0" w:color="auto"/>
              <w:bottom w:val="single" w:sz="12"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CMP-0410736</w:t>
            </w:r>
          </w:p>
        </w:tc>
        <w:tc>
          <w:tcPr>
            <w:tcW w:w="1276" w:type="dxa"/>
            <w:vMerge/>
            <w:tcBorders>
              <w:top w:val="single" w:sz="4" w:space="0" w:color="auto"/>
              <w:left w:val="single" w:sz="4" w:space="0" w:color="auto"/>
              <w:bottom w:val="single" w:sz="12" w:space="0" w:color="000000"/>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12"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9</w:t>
            </w:r>
          </w:p>
        </w:tc>
        <w:tc>
          <w:tcPr>
            <w:tcW w:w="2268" w:type="dxa"/>
            <w:tcBorders>
              <w:top w:val="single" w:sz="4" w:space="0" w:color="auto"/>
              <w:left w:val="single" w:sz="4" w:space="0" w:color="auto"/>
              <w:bottom w:val="single" w:sz="12"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bl>
    <w:p w:rsidR="003B2829" w:rsidRPr="00D40069" w:rsidRDefault="003B2829" w:rsidP="00C41C8C">
      <w:pPr>
        <w:tabs>
          <w:tab w:val="left" w:pos="-720"/>
          <w:tab w:val="left" w:pos="0"/>
        </w:tabs>
        <w:suppressAutoHyphens/>
        <w:spacing w:after="240" w:line="276" w:lineRule="auto"/>
        <w:rPr>
          <w:rFonts w:cstheme="minorHAnsi"/>
          <w:szCs w:val="20"/>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D40069" w:rsidRPr="00D40069" w:rsidRDefault="00D40069" w:rsidP="00D40069">
      <w:pPr>
        <w:rPr>
          <w:rFonts w:cs="Arial"/>
        </w:rPr>
      </w:pPr>
      <w:r w:rsidRPr="00D40069">
        <w:rPr>
          <w:rFonts w:cs="Arial"/>
        </w:rPr>
        <w:lastRenderedPageBreak/>
        <w:t xml:space="preserve">Examples of each of the defect types are </w:t>
      </w:r>
      <w:r w:rsidR="009E4963">
        <w:rPr>
          <w:rFonts w:cs="Arial"/>
        </w:rPr>
        <w:t>shown in photographs</w:t>
      </w:r>
      <w:r w:rsidRPr="00D40069">
        <w:rPr>
          <w:rFonts w:cs="Arial"/>
        </w:rPr>
        <w:t xml:space="preserve"> below: -</w:t>
      </w:r>
    </w:p>
    <w:p w:rsidR="00D40069" w:rsidRPr="00D40069" w:rsidRDefault="00B3555F" w:rsidP="00D40069">
      <w:pPr>
        <w:rPr>
          <w:rFonts w:cs="Arial"/>
        </w:rPr>
      </w:pPr>
      <w:r w:rsidRPr="00D40069">
        <w:rPr>
          <w:b/>
          <w:sz w:val="20"/>
        </w:rPr>
        <w:t xml:space="preserve">Figure </w:t>
      </w:r>
      <w:r>
        <w:rPr>
          <w:b/>
          <w:sz w:val="20"/>
        </w:rPr>
        <w:t>6</w:t>
      </w:r>
      <w:r w:rsidRPr="00D40069">
        <w:rPr>
          <w:b/>
          <w:sz w:val="20"/>
        </w:rPr>
        <w:t xml:space="preserve"> – </w:t>
      </w:r>
      <w:r>
        <w:rPr>
          <w:b/>
          <w:sz w:val="20"/>
        </w:rPr>
        <w:t>Foam</w:t>
      </w:r>
      <w:r>
        <w:rPr>
          <w:rFonts w:cs="Arial"/>
        </w:rPr>
        <w:tab/>
      </w:r>
      <w:r>
        <w:rPr>
          <w:rFonts w:cs="Arial"/>
        </w:rPr>
        <w:tab/>
      </w:r>
      <w:r>
        <w:rPr>
          <w:rFonts w:cs="Arial"/>
        </w:rPr>
        <w:tab/>
      </w:r>
      <w:r>
        <w:rPr>
          <w:rFonts w:cs="Arial"/>
        </w:rPr>
        <w:tab/>
      </w:r>
      <w:r>
        <w:rPr>
          <w:rFonts w:cs="Arial"/>
        </w:rPr>
        <w:tab/>
      </w:r>
      <w:r w:rsidRPr="00D40069">
        <w:rPr>
          <w:b/>
          <w:sz w:val="20"/>
        </w:rPr>
        <w:t xml:space="preserve">Figure </w:t>
      </w:r>
      <w:r>
        <w:rPr>
          <w:b/>
          <w:sz w:val="20"/>
        </w:rPr>
        <w:t>7</w:t>
      </w:r>
      <w:r w:rsidRPr="00D40069">
        <w:rPr>
          <w:b/>
          <w:sz w:val="20"/>
        </w:rPr>
        <w:t xml:space="preserve"> – </w:t>
      </w:r>
      <w:r>
        <w:rPr>
          <w:b/>
          <w:sz w:val="20"/>
        </w:rPr>
        <w:t>Hair</w:t>
      </w:r>
    </w:p>
    <w:p w:rsidR="00722253" w:rsidRPr="00722253" w:rsidRDefault="00D40069" w:rsidP="00D40069">
      <w:pPr>
        <w:rPr>
          <w:rFonts w:cs="Arial"/>
        </w:rPr>
      </w:pPr>
      <w:r w:rsidRPr="00D40069">
        <w:rPr>
          <w:noProof/>
          <w:lang w:eastAsia="en-GB"/>
        </w:rPr>
        <w:drawing>
          <wp:inline distT="0" distB="0" distL="0" distR="0" wp14:anchorId="673A84E7" wp14:editId="4B098322">
            <wp:extent cx="2680677" cy="1816053"/>
            <wp:effectExtent l="19050" t="19050" r="24765" b="133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0430" cy="1856533"/>
                    </a:xfrm>
                    <a:prstGeom prst="rect">
                      <a:avLst/>
                    </a:prstGeom>
                    <a:noFill/>
                    <a:ln w="12700">
                      <a:solidFill>
                        <a:sysClr val="windowText" lastClr="000000"/>
                      </a:solidFill>
                    </a:ln>
                  </pic:spPr>
                </pic:pic>
              </a:graphicData>
            </a:graphic>
          </wp:inline>
        </w:drawing>
      </w:r>
      <w:r w:rsidRPr="00D40069">
        <w:rPr>
          <w:rFonts w:cs="Arial"/>
        </w:rPr>
        <w:tab/>
      </w:r>
      <w:r w:rsidRPr="00D40069">
        <w:rPr>
          <w:noProof/>
          <w:lang w:eastAsia="en-GB"/>
        </w:rPr>
        <w:drawing>
          <wp:inline distT="0" distB="0" distL="0" distR="0" wp14:anchorId="46F89ACC" wp14:editId="4A577015">
            <wp:extent cx="2718063" cy="1804963"/>
            <wp:effectExtent l="19050" t="19050" r="25400" b="2413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69363" cy="1839030"/>
                    </a:xfrm>
                    <a:prstGeom prst="rect">
                      <a:avLst/>
                    </a:prstGeom>
                    <a:ln w="12700">
                      <a:solidFill>
                        <a:sysClr val="windowText" lastClr="000000"/>
                      </a:solidFill>
                    </a:ln>
                  </pic:spPr>
                </pic:pic>
              </a:graphicData>
            </a:graphic>
          </wp:inline>
        </w:drawing>
      </w:r>
    </w:p>
    <w:p w:rsidR="00D40069" w:rsidRPr="00D40069" w:rsidRDefault="00B3555F" w:rsidP="00D40069">
      <w:pPr>
        <w:rPr>
          <w:rFonts w:cs="Arial"/>
        </w:rPr>
      </w:pPr>
      <w:r w:rsidRPr="00D40069">
        <w:rPr>
          <w:b/>
          <w:sz w:val="20"/>
        </w:rPr>
        <w:t xml:space="preserve">Figure </w:t>
      </w:r>
      <w:r>
        <w:rPr>
          <w:b/>
          <w:sz w:val="20"/>
        </w:rPr>
        <w:t>8</w:t>
      </w:r>
      <w:r w:rsidRPr="00D40069">
        <w:rPr>
          <w:b/>
          <w:sz w:val="20"/>
        </w:rPr>
        <w:t xml:space="preserve"> – </w:t>
      </w:r>
      <w:r>
        <w:rPr>
          <w:b/>
          <w:sz w:val="20"/>
        </w:rPr>
        <w:t>Fibre</w:t>
      </w:r>
      <w:r>
        <w:rPr>
          <w:rFonts w:cs="Arial"/>
        </w:rPr>
        <w:tab/>
      </w:r>
      <w:r>
        <w:rPr>
          <w:rFonts w:cs="Arial"/>
        </w:rPr>
        <w:tab/>
      </w:r>
      <w:r>
        <w:rPr>
          <w:rFonts w:cs="Arial"/>
        </w:rPr>
        <w:tab/>
      </w:r>
      <w:r>
        <w:rPr>
          <w:rFonts w:cs="Arial"/>
        </w:rPr>
        <w:tab/>
      </w:r>
      <w:r>
        <w:rPr>
          <w:rFonts w:cs="Arial"/>
        </w:rPr>
        <w:tab/>
      </w:r>
      <w:r w:rsidRPr="00D40069">
        <w:rPr>
          <w:b/>
          <w:sz w:val="20"/>
        </w:rPr>
        <w:t xml:space="preserve">Figure </w:t>
      </w:r>
      <w:r>
        <w:rPr>
          <w:b/>
          <w:sz w:val="20"/>
        </w:rPr>
        <w:t>9</w:t>
      </w:r>
      <w:r w:rsidRPr="00D40069">
        <w:rPr>
          <w:b/>
          <w:sz w:val="20"/>
        </w:rPr>
        <w:t xml:space="preserve"> – </w:t>
      </w:r>
      <w:r>
        <w:rPr>
          <w:b/>
          <w:sz w:val="20"/>
        </w:rPr>
        <w:t>Metal</w:t>
      </w:r>
    </w:p>
    <w:p w:rsidR="008B368E" w:rsidRPr="009507BB" w:rsidRDefault="00D40069" w:rsidP="009507BB">
      <w:pPr>
        <w:rPr>
          <w:rFonts w:cs="Arial"/>
        </w:rPr>
      </w:pPr>
      <w:r w:rsidRPr="00D40069">
        <w:rPr>
          <w:noProof/>
          <w:lang w:eastAsia="en-GB"/>
        </w:rPr>
        <w:drawing>
          <wp:inline distT="0" distB="0" distL="0" distR="0" wp14:anchorId="1773A5A8" wp14:editId="4AA6D135">
            <wp:extent cx="2727203" cy="1820985"/>
            <wp:effectExtent l="19050" t="19050" r="16510" b="273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1424" cy="1883897"/>
                    </a:xfrm>
                    <a:prstGeom prst="rect">
                      <a:avLst/>
                    </a:prstGeom>
                    <a:noFill/>
                    <a:ln w="12700">
                      <a:solidFill>
                        <a:sysClr val="windowText" lastClr="000000"/>
                      </a:solidFill>
                    </a:ln>
                  </pic:spPr>
                </pic:pic>
              </a:graphicData>
            </a:graphic>
          </wp:inline>
        </w:drawing>
      </w:r>
      <w:r w:rsidR="00722253">
        <w:rPr>
          <w:rFonts w:cs="Arial"/>
        </w:rPr>
        <w:t xml:space="preserve"> </w:t>
      </w:r>
      <w:r w:rsidRPr="00D40069">
        <w:rPr>
          <w:noProof/>
          <w:lang w:eastAsia="en-GB"/>
        </w:rPr>
        <w:drawing>
          <wp:inline distT="0" distB="0" distL="0" distR="0" wp14:anchorId="7CB4BA6A" wp14:editId="3C605E62">
            <wp:extent cx="2768858" cy="1819606"/>
            <wp:effectExtent l="19050" t="19050" r="12700" b="285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MP-0263124 Photo 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94120" cy="1901924"/>
                    </a:xfrm>
                    <a:prstGeom prst="rect">
                      <a:avLst/>
                    </a:prstGeom>
                    <a:ln w="12700">
                      <a:solidFill>
                        <a:sysClr val="windowText" lastClr="000000"/>
                      </a:solidFill>
                    </a:ln>
                  </pic:spPr>
                </pic:pic>
              </a:graphicData>
            </a:graphic>
          </wp:inline>
        </w:drawing>
      </w:r>
    </w:p>
    <w:p w:rsidR="005E30C1" w:rsidRPr="00F80D3B" w:rsidRDefault="006842B6" w:rsidP="00F80D3B">
      <w:pPr>
        <w:tabs>
          <w:tab w:val="left" w:pos="-720"/>
          <w:tab w:val="left" w:pos="0"/>
        </w:tabs>
        <w:suppressAutoHyphens/>
        <w:spacing w:after="240" w:line="276" w:lineRule="auto"/>
        <w:rPr>
          <w:rFonts w:cstheme="minorHAnsi"/>
          <w:szCs w:val="20"/>
        </w:rPr>
      </w:pPr>
      <w:r>
        <w:rPr>
          <w:rFonts w:cstheme="minorHAnsi"/>
          <w:szCs w:val="20"/>
        </w:rPr>
        <w:t>I then widened the scope and</w:t>
      </w:r>
      <w:r w:rsidRPr="00D40069">
        <w:rPr>
          <w:rFonts w:cstheme="minorHAnsi"/>
          <w:szCs w:val="20"/>
        </w:rPr>
        <w:t xml:space="preserve"> review</w:t>
      </w:r>
      <w:r>
        <w:rPr>
          <w:rFonts w:cstheme="minorHAnsi"/>
          <w:szCs w:val="20"/>
        </w:rPr>
        <w:t xml:space="preserve">ed </w:t>
      </w:r>
      <w:r w:rsidRPr="00D40069">
        <w:rPr>
          <w:rFonts w:cstheme="minorHAnsi"/>
          <w:szCs w:val="20"/>
        </w:rPr>
        <w:t xml:space="preserve">complaints and </w:t>
      </w:r>
      <w:r>
        <w:rPr>
          <w:rFonts w:cstheme="minorHAnsi"/>
          <w:szCs w:val="20"/>
        </w:rPr>
        <w:t xml:space="preserve">manufactured parts </w:t>
      </w:r>
      <w:r w:rsidRPr="00D40069">
        <w:rPr>
          <w:rFonts w:cstheme="minorHAnsi"/>
          <w:szCs w:val="20"/>
        </w:rPr>
        <w:t>for Taperloc product. The number of complaints received was determine</w:t>
      </w:r>
      <w:r>
        <w:rPr>
          <w:rFonts w:cstheme="minorHAnsi"/>
          <w:szCs w:val="20"/>
        </w:rPr>
        <w:t>d using a search of ‘</w:t>
      </w:r>
      <w:r w:rsidRPr="00D40069">
        <w:rPr>
          <w:rFonts w:cstheme="minorHAnsi"/>
          <w:szCs w:val="20"/>
        </w:rPr>
        <w:t>Debris in</w:t>
      </w:r>
      <w:r>
        <w:rPr>
          <w:rFonts w:cstheme="minorHAnsi"/>
          <w:szCs w:val="20"/>
        </w:rPr>
        <w:t xml:space="preserve"> package’, ‘Taperloc Family’ with</w:t>
      </w:r>
      <w:r w:rsidRPr="00D40069">
        <w:rPr>
          <w:rFonts w:cstheme="minorHAnsi"/>
          <w:szCs w:val="20"/>
        </w:rPr>
        <w:t xml:space="preserve"> a date range of 2013-2018. The number of pieces </w:t>
      </w:r>
      <w:r>
        <w:rPr>
          <w:rFonts w:cstheme="minorHAnsi"/>
          <w:szCs w:val="20"/>
        </w:rPr>
        <w:t>manufactured</w:t>
      </w:r>
      <w:r w:rsidRPr="00D40069">
        <w:rPr>
          <w:rFonts w:cstheme="minorHAnsi"/>
          <w:szCs w:val="20"/>
        </w:rPr>
        <w:t xml:space="preserve"> was determined using </w:t>
      </w:r>
      <w:r w:rsidR="00122901">
        <w:rPr>
          <w:rFonts w:cstheme="minorHAnsi"/>
          <w:szCs w:val="20"/>
        </w:rPr>
        <w:t>a search criteria</w:t>
      </w:r>
      <w:r>
        <w:rPr>
          <w:rFonts w:cstheme="minorHAnsi"/>
          <w:szCs w:val="20"/>
        </w:rPr>
        <w:t xml:space="preserve"> of all pieces manufactured</w:t>
      </w:r>
      <w:r w:rsidRPr="00D40069">
        <w:rPr>
          <w:rFonts w:cstheme="minorHAnsi"/>
          <w:szCs w:val="20"/>
        </w:rPr>
        <w:t xml:space="preserve"> for the ‘Taperloc Family’ from 2013-2018 </w:t>
      </w:r>
    </w:p>
    <w:p w:rsidR="003816AC" w:rsidRPr="00D40069" w:rsidRDefault="004559BF" w:rsidP="00E155FA">
      <w:pPr>
        <w:pStyle w:val="Heading1"/>
      </w:pPr>
      <w:bookmarkStart w:id="3" w:name="_Toc38554133"/>
      <w:r w:rsidRPr="00D40069">
        <w:t>Data Analysis</w:t>
      </w:r>
      <w:bookmarkEnd w:id="3"/>
    </w:p>
    <w:p w:rsidR="00CC7E25" w:rsidRPr="00D40069" w:rsidRDefault="00CC7E25" w:rsidP="00CC7E25">
      <w:pPr>
        <w:tabs>
          <w:tab w:val="left" w:pos="-720"/>
          <w:tab w:val="left" w:pos="0"/>
        </w:tabs>
        <w:suppressAutoHyphens/>
        <w:spacing w:after="240" w:line="276" w:lineRule="auto"/>
        <w:rPr>
          <w:rFonts w:cstheme="minorHAnsi"/>
          <w:szCs w:val="20"/>
        </w:rPr>
      </w:pPr>
      <w:r w:rsidRPr="00D40069">
        <w:rPr>
          <w:rFonts w:cstheme="minorHAnsi"/>
          <w:szCs w:val="20"/>
        </w:rPr>
        <w:t xml:space="preserve">As detailed in </w:t>
      </w:r>
      <w:r w:rsidR="00E26A23">
        <w:rPr>
          <w:rFonts w:cstheme="minorHAnsi"/>
          <w:szCs w:val="20"/>
        </w:rPr>
        <w:t xml:space="preserve">our Process Failure Modes Analysis for sterile packaging </w:t>
      </w:r>
      <w:r w:rsidRPr="00D40069">
        <w:rPr>
          <w:rFonts w:cstheme="minorHAnsi"/>
          <w:szCs w:val="20"/>
        </w:rPr>
        <w:t xml:space="preserve">PFMEA00025, Sterile Pack, Revision C </w:t>
      </w:r>
      <w:r>
        <w:rPr>
          <w:rFonts w:cstheme="minorHAnsi"/>
          <w:szCs w:val="20"/>
        </w:rPr>
        <w:t>(</w:t>
      </w:r>
      <w:r w:rsidRPr="00D40069">
        <w:rPr>
          <w:rFonts w:cstheme="minorHAnsi"/>
          <w:szCs w:val="20"/>
        </w:rPr>
        <w:t>Appendix A</w:t>
      </w:r>
      <w:r>
        <w:rPr>
          <w:rFonts w:cstheme="minorHAnsi"/>
          <w:szCs w:val="20"/>
        </w:rPr>
        <w:t>)</w:t>
      </w:r>
      <w:r w:rsidRPr="00D40069">
        <w:rPr>
          <w:rFonts w:cstheme="minorHAnsi"/>
          <w:szCs w:val="20"/>
        </w:rPr>
        <w:t xml:space="preserve"> the score for occurrence rate is 3 (occasional – occurring 1 in 100 - 1000).</w:t>
      </w:r>
    </w:p>
    <w:p w:rsidR="00194884" w:rsidRDefault="00CC7E25" w:rsidP="00CC7E25">
      <w:pPr>
        <w:tabs>
          <w:tab w:val="left" w:pos="-720"/>
          <w:tab w:val="left" w:pos="0"/>
        </w:tabs>
        <w:suppressAutoHyphens/>
        <w:spacing w:after="240" w:line="276" w:lineRule="auto"/>
        <w:rPr>
          <w:rFonts w:cstheme="minorHAnsi"/>
          <w:szCs w:val="20"/>
        </w:rPr>
      </w:pPr>
      <w:r w:rsidRPr="00D40069">
        <w:rPr>
          <w:rFonts w:cstheme="minorHAnsi"/>
          <w:szCs w:val="20"/>
        </w:rPr>
        <w:t>Number of complaints received for Taperloc products for foreign debris in pac</w:t>
      </w:r>
      <w:r w:rsidR="00F80D3B">
        <w:rPr>
          <w:rFonts w:cstheme="minorHAnsi"/>
          <w:szCs w:val="20"/>
        </w:rPr>
        <w:t xml:space="preserve">kaging from 2013 – 2018 is 112 and number of </w:t>
      </w:r>
      <w:r w:rsidRPr="00D40069">
        <w:rPr>
          <w:rFonts w:cstheme="minorHAnsi"/>
          <w:szCs w:val="20"/>
        </w:rPr>
        <w:t>Taperloc products</w:t>
      </w:r>
      <w:r w:rsidR="00F80D3B">
        <w:rPr>
          <w:rFonts w:cstheme="minorHAnsi"/>
          <w:szCs w:val="20"/>
        </w:rPr>
        <w:t xml:space="preserve"> manufactured</w:t>
      </w:r>
      <w:r w:rsidRPr="00D40069">
        <w:rPr>
          <w:rFonts w:cstheme="minorHAnsi"/>
          <w:szCs w:val="20"/>
        </w:rPr>
        <w:t xml:space="preserve"> from 2013 – 2018 is </w:t>
      </w:r>
      <w:r w:rsidR="00F80D3B">
        <w:rPr>
          <w:rFonts w:cstheme="minorHAnsi"/>
          <w:szCs w:val="20"/>
        </w:rPr>
        <w:t>3,808,787</w:t>
      </w:r>
      <w:r w:rsidR="009507BB">
        <w:rPr>
          <w:rFonts w:cstheme="minorHAnsi"/>
          <w:szCs w:val="20"/>
        </w:rPr>
        <w:t xml:space="preserve">. </w:t>
      </w:r>
      <w:r w:rsidRPr="00D40069">
        <w:rPr>
          <w:rFonts w:cstheme="minorHAnsi"/>
          <w:szCs w:val="20"/>
        </w:rPr>
        <w:t>The current ratio of complaints rece</w:t>
      </w:r>
      <w:r w:rsidR="00F80D3B">
        <w:rPr>
          <w:rFonts w:cstheme="minorHAnsi"/>
          <w:szCs w:val="20"/>
        </w:rPr>
        <w:t>ived and parts sold is 1 in 34,007</w:t>
      </w:r>
      <w:r w:rsidRPr="00D40069">
        <w:rPr>
          <w:rFonts w:cstheme="minorHAnsi"/>
          <w:szCs w:val="20"/>
        </w:rPr>
        <w:t>. This is below the occurrence rate accepted on the PFMEA of 3 (1 in 100-1000).</w:t>
      </w:r>
      <w:r w:rsidR="009507BB">
        <w:rPr>
          <w:rFonts w:cstheme="minorHAnsi"/>
          <w:szCs w:val="20"/>
        </w:rPr>
        <w:t xml:space="preserve"> </w:t>
      </w:r>
    </w:p>
    <w:p w:rsidR="00581A87" w:rsidRDefault="00581A87" w:rsidP="00CC7E25">
      <w:pPr>
        <w:tabs>
          <w:tab w:val="left" w:pos="-720"/>
          <w:tab w:val="left" w:pos="0"/>
        </w:tabs>
        <w:suppressAutoHyphens/>
        <w:spacing w:after="240" w:line="276" w:lineRule="auto"/>
        <w:rPr>
          <w:rFonts w:cstheme="minorHAnsi"/>
          <w:szCs w:val="20"/>
        </w:rPr>
      </w:pPr>
      <w:r>
        <w:rPr>
          <w:rFonts w:cstheme="minorHAnsi"/>
          <w:szCs w:val="20"/>
        </w:rPr>
        <w:t xml:space="preserve">Even though this was within acceptable limits with the PFMEA there was a substantial increase in complaints for debris / foreign particle issues see </w:t>
      </w:r>
      <w:r w:rsidRPr="009507BB">
        <w:rPr>
          <w:rFonts w:cstheme="minorHAnsi"/>
          <w:i/>
          <w:szCs w:val="20"/>
        </w:rPr>
        <w:t>Graph 1</w:t>
      </w:r>
      <w:r w:rsidR="009507BB" w:rsidRPr="009507BB">
        <w:rPr>
          <w:rFonts w:cstheme="minorHAnsi"/>
          <w:i/>
          <w:szCs w:val="20"/>
        </w:rPr>
        <w:t xml:space="preserve"> - Complaints for "Debris in Packaging" During 2013 – 2018.</w:t>
      </w:r>
      <w:r w:rsidR="00194884">
        <w:rPr>
          <w:rFonts w:cstheme="minorHAnsi"/>
          <w:i/>
          <w:szCs w:val="20"/>
        </w:rPr>
        <w:t xml:space="preserve"> </w:t>
      </w:r>
      <w:r w:rsidR="00194884" w:rsidRPr="00737048">
        <w:rPr>
          <w:rFonts w:cstheme="minorHAnsi"/>
          <w:szCs w:val="20"/>
        </w:rPr>
        <w:t>The Taperloc part is a critical device as it comes into c</w:t>
      </w:r>
      <w:r w:rsidR="00737048">
        <w:rPr>
          <w:rFonts w:cstheme="minorHAnsi"/>
          <w:szCs w:val="20"/>
        </w:rPr>
        <w:t>ontact with blood so</w:t>
      </w:r>
      <w:r w:rsidR="00194884" w:rsidRPr="00737048">
        <w:rPr>
          <w:rFonts w:cstheme="minorHAnsi"/>
          <w:szCs w:val="20"/>
        </w:rPr>
        <w:t xml:space="preserve"> it is important to physically remov</w:t>
      </w:r>
      <w:r w:rsidR="00737048">
        <w:rPr>
          <w:rFonts w:cstheme="minorHAnsi"/>
          <w:szCs w:val="20"/>
        </w:rPr>
        <w:t>e undesirable surface material. D</w:t>
      </w:r>
      <w:r w:rsidR="00194884" w:rsidRPr="00737048">
        <w:rPr>
          <w:rFonts w:cstheme="minorHAnsi"/>
          <w:szCs w:val="20"/>
        </w:rPr>
        <w:t xml:space="preserve">evices containing significant particulate and/or fibre contamination that come into contact with blood have the potential to cause blockages, thromboses or other adverse reactions. Therefore, it is important that criteria be </w:t>
      </w:r>
      <w:r w:rsidR="00194884" w:rsidRPr="00737048">
        <w:rPr>
          <w:rFonts w:cstheme="minorHAnsi"/>
          <w:szCs w:val="20"/>
        </w:rPr>
        <w:lastRenderedPageBreak/>
        <w:t xml:space="preserve">defined from a cleanliness perspective for the inspection of the packaging materials system and throughout the manufacturing process itself. </w:t>
      </w:r>
    </w:p>
    <w:p w:rsidR="009507BB" w:rsidRPr="00D0455D" w:rsidRDefault="009507BB" w:rsidP="00CC7E25">
      <w:pPr>
        <w:tabs>
          <w:tab w:val="left" w:pos="-720"/>
          <w:tab w:val="left" w:pos="0"/>
        </w:tabs>
        <w:suppressAutoHyphens/>
        <w:spacing w:after="240" w:line="276" w:lineRule="auto"/>
        <w:rPr>
          <w:rFonts w:cstheme="minorHAnsi"/>
          <w:szCs w:val="20"/>
        </w:rPr>
      </w:pPr>
      <w:r w:rsidRPr="00D0455D">
        <w:rPr>
          <w:rFonts w:cstheme="minorHAnsi"/>
          <w:b/>
          <w:szCs w:val="20"/>
        </w:rPr>
        <w:t>Graph 1 - Complaints for "Debris in Packaging" During 2013 – 2018</w:t>
      </w:r>
    </w:p>
    <w:p w:rsidR="00197FBD" w:rsidRPr="00D40069" w:rsidRDefault="00CC7E25" w:rsidP="00CC7E25">
      <w:pPr>
        <w:autoSpaceDE w:val="0"/>
        <w:autoSpaceDN w:val="0"/>
        <w:adjustRightInd w:val="0"/>
        <w:spacing w:line="276" w:lineRule="auto"/>
        <w:jc w:val="center"/>
        <w:rPr>
          <w:rFonts w:cstheme="minorHAnsi"/>
          <w:bCs/>
          <w:szCs w:val="20"/>
        </w:rPr>
      </w:pPr>
      <w:r>
        <w:rPr>
          <w:noProof/>
          <w:lang w:eastAsia="en-GB"/>
        </w:rPr>
        <w:drawing>
          <wp:inline distT="0" distB="0" distL="0" distR="0" wp14:anchorId="4FD3B97E" wp14:editId="2D55DEB2">
            <wp:extent cx="4642339" cy="2540000"/>
            <wp:effectExtent l="0" t="0" r="635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3E1537" w:rsidRDefault="003E1537" w:rsidP="00BE0CBA">
      <w:pPr>
        <w:autoSpaceDE w:val="0"/>
        <w:autoSpaceDN w:val="0"/>
        <w:adjustRightInd w:val="0"/>
        <w:spacing w:after="0" w:line="276" w:lineRule="auto"/>
        <w:rPr>
          <w:rFonts w:cstheme="minorHAnsi"/>
          <w:b/>
          <w:bCs/>
          <w:sz w:val="24"/>
          <w:szCs w:val="23"/>
        </w:rPr>
      </w:pPr>
    </w:p>
    <w:p w:rsidR="009507BB" w:rsidRPr="009507BB" w:rsidRDefault="009507BB" w:rsidP="009507BB">
      <w:pPr>
        <w:autoSpaceDE w:val="0"/>
        <w:autoSpaceDN w:val="0"/>
        <w:adjustRightInd w:val="0"/>
        <w:spacing w:after="0" w:line="276" w:lineRule="auto"/>
        <w:rPr>
          <w:rFonts w:cstheme="minorHAnsi"/>
          <w:bCs/>
        </w:rPr>
      </w:pPr>
      <w:r w:rsidRPr="009507BB">
        <w:rPr>
          <w:rFonts w:cstheme="minorHAnsi"/>
          <w:bCs/>
        </w:rPr>
        <w:t>When reviewing the packaging operator responsible, against the types of debris observed, it is not obvious that there is any correlation between the two.</w:t>
      </w:r>
    </w:p>
    <w:p w:rsidR="00D0455D" w:rsidRDefault="00D0455D" w:rsidP="009507BB">
      <w:pPr>
        <w:autoSpaceDE w:val="0"/>
        <w:autoSpaceDN w:val="0"/>
        <w:adjustRightInd w:val="0"/>
        <w:spacing w:after="0" w:line="276" w:lineRule="auto"/>
        <w:rPr>
          <w:rFonts w:cstheme="minorHAnsi"/>
          <w:bCs/>
        </w:rPr>
      </w:pPr>
    </w:p>
    <w:p w:rsidR="00D0455D" w:rsidRPr="00D40069" w:rsidRDefault="009507BB" w:rsidP="00D0455D">
      <w:pPr>
        <w:tabs>
          <w:tab w:val="left" w:pos="-720"/>
          <w:tab w:val="left" w:pos="0"/>
        </w:tabs>
        <w:suppressAutoHyphens/>
        <w:spacing w:after="240" w:line="276" w:lineRule="auto"/>
        <w:rPr>
          <w:rFonts w:cstheme="minorHAnsi"/>
          <w:szCs w:val="20"/>
        </w:rPr>
      </w:pPr>
      <w:r w:rsidRPr="009507BB">
        <w:rPr>
          <w:rFonts w:cstheme="minorHAnsi"/>
          <w:bCs/>
        </w:rPr>
        <w:t xml:space="preserve">When plotted as a Bar Chart it can be seen </w:t>
      </w:r>
      <w:r w:rsidR="00D0455D">
        <w:rPr>
          <w:rFonts w:cstheme="minorHAnsi"/>
          <w:bCs/>
        </w:rPr>
        <w:t xml:space="preserve">that 4 categories are evident in </w:t>
      </w:r>
      <w:r w:rsidR="00D0455D" w:rsidRPr="00D0455D">
        <w:rPr>
          <w:rFonts w:cstheme="minorHAnsi"/>
          <w:i/>
          <w:szCs w:val="20"/>
        </w:rPr>
        <w:t>Graph 2 – “Debris in Packaging” Vs Complaint Lot Count.</w:t>
      </w:r>
    </w:p>
    <w:p w:rsidR="00D0455D" w:rsidRDefault="00D0455D" w:rsidP="00D0455D">
      <w:pPr>
        <w:tabs>
          <w:tab w:val="left" w:pos="-720"/>
          <w:tab w:val="left" w:pos="0"/>
        </w:tabs>
        <w:suppressAutoHyphens/>
        <w:spacing w:after="240" w:line="276" w:lineRule="auto"/>
        <w:rPr>
          <w:rFonts w:cstheme="minorHAnsi"/>
          <w:b/>
          <w:szCs w:val="20"/>
        </w:rPr>
      </w:pPr>
      <w:r w:rsidRPr="00D0455D">
        <w:rPr>
          <w:rFonts w:cstheme="minorHAnsi"/>
          <w:b/>
          <w:szCs w:val="20"/>
        </w:rPr>
        <w:t>Graph 2 – “Debris in Packaging” Vs Complaint Lot Count</w:t>
      </w:r>
    </w:p>
    <w:p w:rsidR="00D0455D" w:rsidRPr="00D0455D" w:rsidRDefault="00D0455D" w:rsidP="00722253">
      <w:pPr>
        <w:tabs>
          <w:tab w:val="left" w:pos="-720"/>
          <w:tab w:val="left" w:pos="0"/>
        </w:tabs>
        <w:suppressAutoHyphens/>
        <w:spacing w:after="240" w:line="276" w:lineRule="auto"/>
        <w:jc w:val="center"/>
        <w:rPr>
          <w:rFonts w:cstheme="minorHAnsi"/>
          <w:szCs w:val="20"/>
        </w:rPr>
      </w:pPr>
      <w:r>
        <w:rPr>
          <w:noProof/>
          <w:lang w:eastAsia="en-GB"/>
        </w:rPr>
        <w:drawing>
          <wp:inline distT="0" distB="0" distL="0" distR="0" wp14:anchorId="29612F20" wp14:editId="1059A3C9">
            <wp:extent cx="5006340" cy="2804160"/>
            <wp:effectExtent l="0" t="0" r="3810" b="1524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9507BB" w:rsidRPr="009507BB" w:rsidRDefault="009507BB" w:rsidP="009507BB">
      <w:pPr>
        <w:autoSpaceDE w:val="0"/>
        <w:autoSpaceDN w:val="0"/>
        <w:adjustRightInd w:val="0"/>
        <w:spacing w:after="0" w:line="276" w:lineRule="auto"/>
        <w:rPr>
          <w:rFonts w:cstheme="minorHAnsi"/>
          <w:bCs/>
        </w:rPr>
      </w:pPr>
    </w:p>
    <w:p w:rsidR="00E940EA" w:rsidRDefault="00B7112F" w:rsidP="00E940EA">
      <w:pPr>
        <w:pStyle w:val="Heading1"/>
      </w:pPr>
      <w:bookmarkStart w:id="4" w:name="_Toc38554134"/>
      <w:r w:rsidRPr="00D40069">
        <w:lastRenderedPageBreak/>
        <w:t>Root Cause Analysis</w:t>
      </w:r>
      <w:bookmarkEnd w:id="4"/>
    </w:p>
    <w:p w:rsidR="00E940EA" w:rsidRPr="00E940EA" w:rsidRDefault="00E940EA" w:rsidP="00E940EA"/>
    <w:p w:rsidR="00E940EA" w:rsidRDefault="00E940EA" w:rsidP="00E940EA">
      <w:pPr>
        <w:pStyle w:val="Heading2"/>
      </w:pPr>
      <w:bookmarkStart w:id="5" w:name="_Toc38554135"/>
      <w:r>
        <w:t>Investigation Plan</w:t>
      </w:r>
      <w:bookmarkEnd w:id="5"/>
    </w:p>
    <w:p w:rsidR="00E940EA" w:rsidRDefault="00F45A94" w:rsidP="00E940EA">
      <w:r>
        <w:t>The following investigation plan was put in place:</w:t>
      </w:r>
    </w:p>
    <w:p w:rsidR="00055ACC" w:rsidRDefault="0066732B" w:rsidP="00E940EA">
      <w:pPr>
        <w:pStyle w:val="Subtitle"/>
        <w:rPr>
          <w:b w:val="0"/>
        </w:rPr>
      </w:pPr>
      <w:r>
        <w:rPr>
          <w:b w:val="0"/>
        </w:rPr>
        <w:t>Review the supplier non-conformance reports</w:t>
      </w:r>
      <w:r w:rsidR="00430AB9">
        <w:rPr>
          <w:b w:val="0"/>
        </w:rPr>
        <w:t xml:space="preserve"> (SNR)</w:t>
      </w:r>
      <w:r>
        <w:rPr>
          <w:b w:val="0"/>
        </w:rPr>
        <w:t xml:space="preserve"> raised against packaging suppliers</w:t>
      </w:r>
      <w:r w:rsidR="00E940EA" w:rsidRPr="00F45A94">
        <w:rPr>
          <w:b w:val="0"/>
        </w:rPr>
        <w:t xml:space="preserve"> to identify any root cause or corrections that have been made to raw material packaging materials. </w:t>
      </w:r>
    </w:p>
    <w:p w:rsidR="00055ACC" w:rsidRDefault="00055ACC" w:rsidP="00055ACC">
      <w:pPr>
        <w:pStyle w:val="Subtitle"/>
        <w:numPr>
          <w:ilvl w:val="0"/>
          <w:numId w:val="0"/>
        </w:numPr>
        <w:ind w:left="720"/>
        <w:rPr>
          <w:b w:val="0"/>
        </w:rPr>
      </w:pPr>
    </w:p>
    <w:p w:rsidR="00055ACC" w:rsidRDefault="00E940EA" w:rsidP="00E940EA">
      <w:pPr>
        <w:pStyle w:val="Subtitle"/>
        <w:rPr>
          <w:b w:val="0"/>
        </w:rPr>
      </w:pPr>
      <w:r w:rsidRPr="00055ACC">
        <w:rPr>
          <w:b w:val="0"/>
        </w:rPr>
        <w:t xml:space="preserve">Conduct a root cause investigation utilising Ishikawa &amp; 5 Why methodology to determine true root cause of why the debris is present in final packaged units through a process review including associated documents </w:t>
      </w:r>
      <w:r w:rsidR="00055ACC">
        <w:rPr>
          <w:b w:val="0"/>
        </w:rPr>
        <w:t xml:space="preserve">work instruction, Standard operating procedures, form and logs. </w:t>
      </w:r>
    </w:p>
    <w:p w:rsidR="00055ACC" w:rsidRDefault="00055ACC" w:rsidP="00055ACC">
      <w:pPr>
        <w:pStyle w:val="Subtitle"/>
        <w:numPr>
          <w:ilvl w:val="0"/>
          <w:numId w:val="0"/>
        </w:numPr>
        <w:ind w:left="720"/>
        <w:rPr>
          <w:b w:val="0"/>
        </w:rPr>
      </w:pPr>
    </w:p>
    <w:p w:rsidR="00055ACC" w:rsidRDefault="00E940EA" w:rsidP="00055ACC">
      <w:pPr>
        <w:pStyle w:val="Subtitle"/>
        <w:rPr>
          <w:b w:val="0"/>
        </w:rPr>
      </w:pPr>
      <w:r w:rsidRPr="00055ACC">
        <w:rPr>
          <w:b w:val="0"/>
        </w:rPr>
        <w:t xml:space="preserve">Review supplier inspection process, cleanroom material </w:t>
      </w:r>
      <w:r w:rsidR="00F45A94" w:rsidRPr="00055ACC">
        <w:rPr>
          <w:b w:val="0"/>
        </w:rPr>
        <w:t>transfers</w:t>
      </w:r>
      <w:r w:rsidRPr="00055ACC">
        <w:rPr>
          <w:b w:val="0"/>
        </w:rPr>
        <w:t xml:space="preserve"> and in-process inspection procedure and operation for factors that may contribute.</w:t>
      </w:r>
    </w:p>
    <w:p w:rsidR="00055ACC" w:rsidRDefault="00055ACC" w:rsidP="00055ACC">
      <w:pPr>
        <w:pStyle w:val="Subtitle"/>
        <w:numPr>
          <w:ilvl w:val="0"/>
          <w:numId w:val="0"/>
        </w:numPr>
        <w:ind w:left="720"/>
        <w:rPr>
          <w:b w:val="0"/>
        </w:rPr>
      </w:pPr>
    </w:p>
    <w:p w:rsidR="00055ACC" w:rsidRDefault="00E940EA" w:rsidP="00E940EA">
      <w:pPr>
        <w:pStyle w:val="Subtitle"/>
        <w:rPr>
          <w:b w:val="0"/>
        </w:rPr>
      </w:pPr>
      <w:r w:rsidRPr="00055ACC">
        <w:rPr>
          <w:b w:val="0"/>
        </w:rPr>
        <w:t>Review external gowning supply process, gowning procedure and operation.</w:t>
      </w:r>
    </w:p>
    <w:p w:rsidR="00055ACC" w:rsidRDefault="00055ACC" w:rsidP="00055ACC">
      <w:pPr>
        <w:pStyle w:val="Subtitle"/>
        <w:numPr>
          <w:ilvl w:val="0"/>
          <w:numId w:val="0"/>
        </w:numPr>
        <w:ind w:left="720"/>
        <w:rPr>
          <w:b w:val="0"/>
        </w:rPr>
      </w:pPr>
    </w:p>
    <w:p w:rsidR="00E940EA" w:rsidRPr="00055ACC" w:rsidRDefault="00E940EA" w:rsidP="00E940EA">
      <w:pPr>
        <w:pStyle w:val="Subtitle"/>
        <w:rPr>
          <w:b w:val="0"/>
        </w:rPr>
      </w:pPr>
      <w:r w:rsidRPr="00055ACC">
        <w:rPr>
          <w:b w:val="0"/>
        </w:rPr>
        <w:t>Review cleanroom cleaning schedule, procedure and operation.</w:t>
      </w:r>
    </w:p>
    <w:p w:rsidR="00E940EA" w:rsidRDefault="00E940EA" w:rsidP="00937563">
      <w:pPr>
        <w:tabs>
          <w:tab w:val="left" w:pos="-720"/>
          <w:tab w:val="left" w:pos="0"/>
        </w:tabs>
        <w:suppressAutoHyphens/>
        <w:spacing w:after="0" w:line="276" w:lineRule="auto"/>
        <w:rPr>
          <w:rFonts w:cstheme="minorHAnsi"/>
          <w:szCs w:val="20"/>
        </w:rPr>
      </w:pPr>
    </w:p>
    <w:p w:rsidR="00E940EA" w:rsidRDefault="002F2AB8" w:rsidP="002F2AB8">
      <w:pPr>
        <w:pStyle w:val="Heading2"/>
      </w:pPr>
      <w:bookmarkStart w:id="6" w:name="_Toc38554136"/>
      <w:r>
        <w:t>Investigation Results</w:t>
      </w:r>
      <w:bookmarkEnd w:id="6"/>
    </w:p>
    <w:p w:rsidR="002F2AB8" w:rsidRPr="002F2AB8" w:rsidRDefault="00525D00" w:rsidP="002F2AB8">
      <w:pPr>
        <w:tabs>
          <w:tab w:val="left" w:pos="-720"/>
          <w:tab w:val="left" w:pos="0"/>
        </w:tabs>
        <w:suppressAutoHyphens/>
        <w:spacing w:line="276" w:lineRule="auto"/>
        <w:rPr>
          <w:rFonts w:cstheme="minorHAnsi"/>
          <w:szCs w:val="20"/>
        </w:rPr>
      </w:pPr>
      <w:r>
        <w:rPr>
          <w:rFonts w:cstheme="minorHAnsi"/>
          <w:szCs w:val="20"/>
        </w:rPr>
        <w:t xml:space="preserve"> The following investigation results were found: </w:t>
      </w:r>
    </w:p>
    <w:p w:rsidR="00430AB9" w:rsidRDefault="00450E6E" w:rsidP="002F2AB8">
      <w:pPr>
        <w:pStyle w:val="Subtitle"/>
        <w:numPr>
          <w:ilvl w:val="0"/>
          <w:numId w:val="18"/>
        </w:numPr>
        <w:rPr>
          <w:b w:val="0"/>
        </w:rPr>
      </w:pPr>
      <w:r>
        <w:rPr>
          <w:b w:val="0"/>
        </w:rPr>
        <w:t>As previously identified</w:t>
      </w:r>
      <w:r w:rsidR="002F2AB8" w:rsidRPr="00450E6E">
        <w:rPr>
          <w:b w:val="0"/>
        </w:rPr>
        <w:t xml:space="preserve"> complaint volume is low but </w:t>
      </w:r>
      <w:r>
        <w:rPr>
          <w:b w:val="0"/>
        </w:rPr>
        <w:t>an</w:t>
      </w:r>
      <w:r w:rsidR="002F2AB8" w:rsidRPr="00450E6E">
        <w:rPr>
          <w:b w:val="0"/>
        </w:rPr>
        <w:t xml:space="preserve"> increase in rate can be seen in </w:t>
      </w:r>
      <w:r w:rsidRPr="00450E6E">
        <w:rPr>
          <w:b w:val="0"/>
          <w:i/>
          <w:szCs w:val="20"/>
        </w:rPr>
        <w:t xml:space="preserve">Graph 1 - </w:t>
      </w:r>
      <w:r w:rsidRPr="00450E6E">
        <w:rPr>
          <w:rFonts w:eastAsiaTheme="minorHAnsi"/>
          <w:b w:val="0"/>
          <w:i/>
          <w:szCs w:val="20"/>
        </w:rPr>
        <w:t xml:space="preserve">Complaints for "Debris in Packaging" During 2013 </w:t>
      </w:r>
      <w:r w:rsidRPr="00450E6E">
        <w:rPr>
          <w:b w:val="0"/>
          <w:i/>
          <w:szCs w:val="20"/>
        </w:rPr>
        <w:t>–</w:t>
      </w:r>
      <w:r w:rsidRPr="00450E6E">
        <w:rPr>
          <w:rFonts w:eastAsiaTheme="minorHAnsi"/>
          <w:b w:val="0"/>
          <w:i/>
          <w:szCs w:val="20"/>
        </w:rPr>
        <w:t xml:space="preserve"> 2018</w:t>
      </w:r>
      <w:r>
        <w:rPr>
          <w:b w:val="0"/>
        </w:rPr>
        <w:t xml:space="preserve"> on page 6). Three main</w:t>
      </w:r>
      <w:r w:rsidR="002F2AB8" w:rsidRPr="00450E6E">
        <w:rPr>
          <w:b w:val="0"/>
        </w:rPr>
        <w:t xml:space="preserve"> failure modes have been determined from the sum of complaints based on photographic evidence provided; foam, hair and fibre.</w:t>
      </w:r>
    </w:p>
    <w:p w:rsidR="00430AB9" w:rsidRDefault="00430AB9" w:rsidP="00430AB9">
      <w:pPr>
        <w:pStyle w:val="Subtitle"/>
        <w:numPr>
          <w:ilvl w:val="0"/>
          <w:numId w:val="0"/>
        </w:numPr>
        <w:ind w:left="720"/>
        <w:rPr>
          <w:b w:val="0"/>
        </w:rPr>
      </w:pPr>
    </w:p>
    <w:p w:rsidR="002F2AB8" w:rsidRPr="00430AB9" w:rsidRDefault="00430AB9" w:rsidP="002F2AB8">
      <w:pPr>
        <w:pStyle w:val="Subtitle"/>
        <w:numPr>
          <w:ilvl w:val="0"/>
          <w:numId w:val="18"/>
        </w:numPr>
        <w:rPr>
          <w:b w:val="0"/>
        </w:rPr>
      </w:pPr>
      <w:r>
        <w:rPr>
          <w:b w:val="0"/>
          <w:szCs w:val="20"/>
        </w:rPr>
        <w:t>A review of the supplier non-conformance</w:t>
      </w:r>
      <w:r w:rsidR="002F2AB8" w:rsidRPr="00430AB9">
        <w:rPr>
          <w:b w:val="0"/>
          <w:szCs w:val="20"/>
        </w:rPr>
        <w:t xml:space="preserve"> register identified an additional two SNRs that had been raised against </w:t>
      </w:r>
      <w:r>
        <w:rPr>
          <w:b w:val="0"/>
          <w:szCs w:val="20"/>
        </w:rPr>
        <w:t>our foam supplier</w:t>
      </w:r>
      <w:r w:rsidR="002F2AB8" w:rsidRPr="00430AB9">
        <w:rPr>
          <w:b w:val="0"/>
          <w:szCs w:val="20"/>
        </w:rPr>
        <w:t xml:space="preserve">. </w:t>
      </w:r>
      <w:r>
        <w:rPr>
          <w:b w:val="0"/>
          <w:szCs w:val="20"/>
        </w:rPr>
        <w:t>The procedure covering supplier n</w:t>
      </w:r>
      <w:r w:rsidR="002F2AB8" w:rsidRPr="00430AB9">
        <w:rPr>
          <w:b w:val="0"/>
          <w:szCs w:val="20"/>
        </w:rPr>
        <w:t xml:space="preserve">otification reports </w:t>
      </w:r>
      <w:r>
        <w:rPr>
          <w:b w:val="0"/>
          <w:szCs w:val="20"/>
        </w:rPr>
        <w:t>was</w:t>
      </w:r>
      <w:r w:rsidR="002F2AB8" w:rsidRPr="00430AB9">
        <w:rPr>
          <w:b w:val="0"/>
          <w:szCs w:val="20"/>
        </w:rPr>
        <w:t xml:space="preserve"> reviewed, this review identified that on raising 3 SNRs in a </w:t>
      </w:r>
      <w:r w:rsidR="00014807" w:rsidRPr="00430AB9">
        <w:rPr>
          <w:b w:val="0"/>
          <w:szCs w:val="20"/>
        </w:rPr>
        <w:t>3-month</w:t>
      </w:r>
      <w:r w:rsidR="002F2AB8" w:rsidRPr="00430AB9">
        <w:rPr>
          <w:b w:val="0"/>
          <w:szCs w:val="20"/>
        </w:rPr>
        <w:t xml:space="preserve"> period a SCAR (Supplier Corrective Action report) should be considered.  This issue was discussed within the Zimmer Biomet Quality Team, the actions t</w:t>
      </w:r>
      <w:r>
        <w:rPr>
          <w:b w:val="0"/>
          <w:szCs w:val="20"/>
        </w:rPr>
        <w:t>hat were implemented at the supplier</w:t>
      </w:r>
      <w:r w:rsidR="002F2AB8" w:rsidRPr="00430AB9">
        <w:rPr>
          <w:b w:val="0"/>
          <w:szCs w:val="20"/>
        </w:rPr>
        <w:t xml:space="preserve"> </w:t>
      </w:r>
      <w:r w:rsidR="00014807">
        <w:rPr>
          <w:b w:val="0"/>
          <w:szCs w:val="20"/>
        </w:rPr>
        <w:t>in SNRs:</w:t>
      </w:r>
    </w:p>
    <w:p w:rsidR="00014807" w:rsidRDefault="00014807" w:rsidP="00014807">
      <w:pPr>
        <w:pStyle w:val="ListParagraph"/>
        <w:tabs>
          <w:tab w:val="left" w:pos="-720"/>
          <w:tab w:val="left" w:pos="0"/>
        </w:tabs>
        <w:suppressAutoHyphens/>
        <w:spacing w:line="276" w:lineRule="auto"/>
        <w:rPr>
          <w:rFonts w:cstheme="minorHAnsi"/>
          <w:szCs w:val="20"/>
        </w:rPr>
      </w:pPr>
    </w:p>
    <w:p w:rsidR="00014807" w:rsidRDefault="002F2AB8" w:rsidP="002F2AB8">
      <w:pPr>
        <w:pStyle w:val="ListParagraph"/>
        <w:numPr>
          <w:ilvl w:val="0"/>
          <w:numId w:val="19"/>
        </w:numPr>
        <w:tabs>
          <w:tab w:val="left" w:pos="-720"/>
          <w:tab w:val="left" w:pos="0"/>
        </w:tabs>
        <w:suppressAutoHyphens/>
        <w:spacing w:line="276" w:lineRule="auto"/>
        <w:rPr>
          <w:rFonts w:asciiTheme="minorHAnsi" w:hAnsiTheme="minorHAnsi" w:cstheme="minorHAnsi"/>
          <w:sz w:val="22"/>
          <w:szCs w:val="22"/>
        </w:rPr>
      </w:pPr>
      <w:r w:rsidRPr="00014807">
        <w:rPr>
          <w:rFonts w:asciiTheme="minorHAnsi" w:hAnsiTheme="minorHAnsi" w:cstheme="minorHAnsi"/>
          <w:sz w:val="22"/>
          <w:szCs w:val="22"/>
        </w:rPr>
        <w:t>Caution point raised to highlight the issue to operators.</w:t>
      </w:r>
    </w:p>
    <w:p w:rsidR="002F2AB8" w:rsidRPr="00014807" w:rsidRDefault="002F2AB8" w:rsidP="002F2AB8">
      <w:pPr>
        <w:pStyle w:val="ListParagraph"/>
        <w:numPr>
          <w:ilvl w:val="0"/>
          <w:numId w:val="19"/>
        </w:numPr>
        <w:tabs>
          <w:tab w:val="left" w:pos="-720"/>
          <w:tab w:val="left" w:pos="0"/>
        </w:tabs>
        <w:suppressAutoHyphens/>
        <w:spacing w:line="276" w:lineRule="auto"/>
        <w:rPr>
          <w:rFonts w:asciiTheme="minorHAnsi" w:hAnsiTheme="minorHAnsi" w:cstheme="minorHAnsi"/>
          <w:sz w:val="22"/>
          <w:szCs w:val="22"/>
        </w:rPr>
      </w:pPr>
      <w:r w:rsidRPr="00014807">
        <w:rPr>
          <w:rFonts w:asciiTheme="minorHAnsi" w:hAnsiTheme="minorHAnsi" w:cstheme="minorHAnsi"/>
          <w:sz w:val="22"/>
          <w:szCs w:val="22"/>
        </w:rPr>
        <w:t>Implement in process checking and cleaning operation.</w:t>
      </w:r>
    </w:p>
    <w:p w:rsidR="002F2AB8" w:rsidRPr="002F2AB8" w:rsidRDefault="002F2AB8" w:rsidP="002F2AB8">
      <w:pPr>
        <w:tabs>
          <w:tab w:val="left" w:pos="-720"/>
          <w:tab w:val="left" w:pos="0"/>
        </w:tabs>
        <w:suppressAutoHyphens/>
        <w:spacing w:line="276" w:lineRule="auto"/>
        <w:rPr>
          <w:rFonts w:cstheme="minorHAnsi"/>
          <w:szCs w:val="20"/>
        </w:rPr>
      </w:pPr>
    </w:p>
    <w:p w:rsidR="002F2AB8" w:rsidRPr="002F2AB8" w:rsidRDefault="002F2AB8" w:rsidP="00014807">
      <w:pPr>
        <w:tabs>
          <w:tab w:val="left" w:pos="-720"/>
          <w:tab w:val="left" w:pos="0"/>
        </w:tabs>
        <w:suppressAutoHyphens/>
        <w:spacing w:line="276" w:lineRule="auto"/>
        <w:ind w:left="720"/>
        <w:rPr>
          <w:rFonts w:cstheme="minorHAnsi"/>
          <w:szCs w:val="20"/>
        </w:rPr>
      </w:pPr>
      <w:r w:rsidRPr="002F2AB8">
        <w:rPr>
          <w:rFonts w:cstheme="minorHAnsi"/>
          <w:szCs w:val="20"/>
        </w:rPr>
        <w:t xml:space="preserve">It was noted that there were no further actions that could be undertaken by </w:t>
      </w:r>
      <w:r w:rsidR="00014807">
        <w:rPr>
          <w:rFonts w:cstheme="minorHAnsi"/>
          <w:szCs w:val="20"/>
        </w:rPr>
        <w:t>the supplier</w:t>
      </w:r>
      <w:r w:rsidRPr="002F2AB8">
        <w:rPr>
          <w:rFonts w:cstheme="minorHAnsi"/>
          <w:szCs w:val="20"/>
        </w:rPr>
        <w:t xml:space="preserve"> and as such, there would be no benefit in raising a SCAR against them. </w:t>
      </w:r>
    </w:p>
    <w:p w:rsidR="002F2AB8" w:rsidRPr="002F2AB8" w:rsidRDefault="002F2AB8" w:rsidP="002F2AB8">
      <w:pPr>
        <w:tabs>
          <w:tab w:val="left" w:pos="-720"/>
          <w:tab w:val="left" w:pos="0"/>
        </w:tabs>
        <w:suppressAutoHyphens/>
        <w:spacing w:line="276" w:lineRule="auto"/>
        <w:rPr>
          <w:rFonts w:cstheme="minorHAnsi"/>
          <w:szCs w:val="20"/>
        </w:rPr>
      </w:pPr>
    </w:p>
    <w:p w:rsidR="002F2AB8" w:rsidRPr="0073460D" w:rsidRDefault="002F2AB8" w:rsidP="002F2AB8">
      <w:pPr>
        <w:pStyle w:val="Subtitle"/>
        <w:rPr>
          <w:b w:val="0"/>
        </w:rPr>
      </w:pPr>
      <w:r w:rsidRPr="0073460D">
        <w:rPr>
          <w:b w:val="0"/>
        </w:rPr>
        <w:lastRenderedPageBreak/>
        <w:t xml:space="preserve">A 5 why's &amp; Ishikawa exercise </w:t>
      </w:r>
      <w:r w:rsidR="0073460D">
        <w:rPr>
          <w:b w:val="0"/>
        </w:rPr>
        <w:t xml:space="preserve">was </w:t>
      </w:r>
      <w:r w:rsidRPr="0073460D">
        <w:rPr>
          <w:b w:val="0"/>
        </w:rPr>
        <w:t xml:space="preserve">conducted in order to determine root cause(s) for the failure modes. Both the Ishikawa &amp; 5 Why were conducted </w:t>
      </w:r>
      <w:r w:rsidR="0073460D">
        <w:rPr>
          <w:b w:val="0"/>
        </w:rPr>
        <w:t>(Appendix B)</w:t>
      </w:r>
      <w:r w:rsidRPr="0073460D">
        <w:rPr>
          <w:b w:val="0"/>
        </w:rPr>
        <w:t>.  This identified that the main contributing factor to debris within the packaging has been attributed to supplier issues.</w:t>
      </w:r>
      <w:r w:rsidR="0073460D">
        <w:rPr>
          <w:b w:val="0"/>
        </w:rPr>
        <w:t xml:space="preserve"> </w:t>
      </w:r>
      <w:r w:rsidRPr="0073460D">
        <w:rPr>
          <w:b w:val="0"/>
          <w:szCs w:val="20"/>
        </w:rPr>
        <w:t xml:space="preserve">This exercise identified that the most probable root causes could be attributed to incoming packing materials, </w:t>
      </w:r>
      <w:proofErr w:type="spellStart"/>
      <w:r w:rsidRPr="0073460D">
        <w:rPr>
          <w:b w:val="0"/>
          <w:szCs w:val="20"/>
        </w:rPr>
        <w:t>eg</w:t>
      </w:r>
      <w:proofErr w:type="spellEnd"/>
      <w:r w:rsidRPr="0073460D">
        <w:rPr>
          <w:b w:val="0"/>
          <w:szCs w:val="20"/>
        </w:rPr>
        <w:t>. Foam: Stringing, Marks, Loose, Fibre and Hair.</w:t>
      </w:r>
    </w:p>
    <w:p w:rsidR="002F2AB8" w:rsidRPr="002F2AB8" w:rsidRDefault="002F2AB8" w:rsidP="002F2AB8">
      <w:pPr>
        <w:tabs>
          <w:tab w:val="left" w:pos="-720"/>
          <w:tab w:val="left" w:pos="0"/>
        </w:tabs>
        <w:suppressAutoHyphens/>
        <w:spacing w:line="276" w:lineRule="auto"/>
        <w:rPr>
          <w:rFonts w:cstheme="minorHAnsi"/>
          <w:szCs w:val="20"/>
        </w:rPr>
      </w:pPr>
    </w:p>
    <w:p w:rsidR="002F2AB8" w:rsidRPr="0073460D" w:rsidRDefault="002F2AB8" w:rsidP="00014807">
      <w:pPr>
        <w:pStyle w:val="Subtitle"/>
        <w:rPr>
          <w:b w:val="0"/>
        </w:rPr>
      </w:pPr>
      <w:r w:rsidRPr="0073460D">
        <w:rPr>
          <w:b w:val="0"/>
        </w:rPr>
        <w:t xml:space="preserve">The review of supplier inspection process, cleanroom material </w:t>
      </w:r>
      <w:r w:rsidR="00AA7A3E" w:rsidRPr="0073460D">
        <w:rPr>
          <w:b w:val="0"/>
        </w:rPr>
        <w:t>transfers</w:t>
      </w:r>
      <w:r w:rsidRPr="0073460D">
        <w:rPr>
          <w:b w:val="0"/>
        </w:rPr>
        <w:t xml:space="preserve"> and in-process inspection procedu</w:t>
      </w:r>
      <w:r w:rsidR="0073460D">
        <w:rPr>
          <w:b w:val="0"/>
        </w:rPr>
        <w:t>re and operation identified that:</w:t>
      </w:r>
    </w:p>
    <w:p w:rsidR="002F2AB8" w:rsidRPr="002F2AB8" w:rsidRDefault="002F2AB8" w:rsidP="002F2AB8">
      <w:pPr>
        <w:tabs>
          <w:tab w:val="left" w:pos="-720"/>
          <w:tab w:val="left" w:pos="0"/>
        </w:tabs>
        <w:suppressAutoHyphens/>
        <w:spacing w:line="276" w:lineRule="auto"/>
        <w:rPr>
          <w:rFonts w:cstheme="minorHAnsi"/>
          <w:szCs w:val="20"/>
        </w:rPr>
      </w:pPr>
    </w:p>
    <w:p w:rsidR="002F2AB8" w:rsidRDefault="002F2AB8" w:rsidP="0073460D">
      <w:pPr>
        <w:pStyle w:val="ListParagraph"/>
        <w:numPr>
          <w:ilvl w:val="0"/>
          <w:numId w:val="20"/>
        </w:numPr>
        <w:tabs>
          <w:tab w:val="left" w:pos="-720"/>
          <w:tab w:val="left" w:pos="0"/>
        </w:tabs>
        <w:suppressAutoHyphens/>
        <w:spacing w:line="276" w:lineRule="auto"/>
        <w:ind w:left="1080"/>
        <w:rPr>
          <w:rFonts w:asciiTheme="minorHAnsi" w:hAnsiTheme="minorHAnsi" w:cstheme="minorHAnsi"/>
          <w:sz w:val="22"/>
          <w:szCs w:val="22"/>
        </w:rPr>
      </w:pPr>
      <w:r w:rsidRPr="0073460D">
        <w:rPr>
          <w:rFonts w:asciiTheme="minorHAnsi" w:hAnsiTheme="minorHAnsi" w:cstheme="minorHAnsi"/>
          <w:sz w:val="22"/>
          <w:szCs w:val="22"/>
        </w:rPr>
        <w:t xml:space="preserve">Supplier inspection process, whilst improvements could be made as identified within the individual SNRs, these improvements could only expect a </w:t>
      </w:r>
      <w:r w:rsidR="0093606B">
        <w:rPr>
          <w:rFonts w:asciiTheme="minorHAnsi" w:hAnsiTheme="minorHAnsi" w:cstheme="minorHAnsi"/>
          <w:sz w:val="22"/>
          <w:szCs w:val="22"/>
        </w:rPr>
        <w:t>minimal improvement due to the e</w:t>
      </w:r>
      <w:r w:rsidRPr="0073460D">
        <w:rPr>
          <w:rFonts w:asciiTheme="minorHAnsi" w:hAnsiTheme="minorHAnsi" w:cstheme="minorHAnsi"/>
          <w:sz w:val="22"/>
          <w:szCs w:val="22"/>
        </w:rPr>
        <w:t xml:space="preserve">nvironmental conditions present within the manufacturing facility </w:t>
      </w:r>
      <w:r w:rsidR="000130C2" w:rsidRPr="0073460D">
        <w:rPr>
          <w:rFonts w:asciiTheme="minorHAnsi" w:hAnsiTheme="minorHAnsi" w:cstheme="minorHAnsi"/>
          <w:sz w:val="22"/>
          <w:szCs w:val="22"/>
        </w:rPr>
        <w:t>i.e.</w:t>
      </w:r>
      <w:r w:rsidRPr="0073460D">
        <w:rPr>
          <w:rFonts w:asciiTheme="minorHAnsi" w:hAnsiTheme="minorHAnsi" w:cstheme="minorHAnsi"/>
          <w:sz w:val="22"/>
          <w:szCs w:val="22"/>
        </w:rPr>
        <w:t xml:space="preserve"> </w:t>
      </w:r>
      <w:r w:rsidR="0093606B">
        <w:rPr>
          <w:rFonts w:asciiTheme="minorHAnsi" w:hAnsiTheme="minorHAnsi" w:cstheme="minorHAnsi"/>
          <w:sz w:val="22"/>
          <w:szCs w:val="22"/>
        </w:rPr>
        <w:t>supplier</w:t>
      </w:r>
      <w:r w:rsidRPr="0073460D">
        <w:rPr>
          <w:rFonts w:asciiTheme="minorHAnsi" w:hAnsiTheme="minorHAnsi" w:cstheme="minorHAnsi"/>
          <w:sz w:val="22"/>
          <w:szCs w:val="22"/>
        </w:rPr>
        <w:t xml:space="preserve"> does n</w:t>
      </w:r>
      <w:r w:rsidR="0093606B">
        <w:rPr>
          <w:rFonts w:asciiTheme="minorHAnsi" w:hAnsiTheme="minorHAnsi" w:cstheme="minorHAnsi"/>
          <w:sz w:val="22"/>
          <w:szCs w:val="22"/>
        </w:rPr>
        <w:t>ot manufacture in a clean room e</w:t>
      </w:r>
      <w:r w:rsidRPr="0073460D">
        <w:rPr>
          <w:rFonts w:asciiTheme="minorHAnsi" w:hAnsiTheme="minorHAnsi" w:cstheme="minorHAnsi"/>
          <w:sz w:val="22"/>
          <w:szCs w:val="22"/>
        </w:rPr>
        <w:t>nvironment.  The supply of foam may be contaminated prior to receipt.</w:t>
      </w:r>
    </w:p>
    <w:p w:rsidR="0073460D" w:rsidRPr="0073460D" w:rsidRDefault="0073460D" w:rsidP="0073460D">
      <w:pPr>
        <w:pStyle w:val="ListParagraph"/>
        <w:tabs>
          <w:tab w:val="left" w:pos="-720"/>
          <w:tab w:val="left" w:pos="0"/>
        </w:tabs>
        <w:suppressAutoHyphens/>
        <w:spacing w:line="276" w:lineRule="auto"/>
        <w:ind w:left="1080"/>
        <w:rPr>
          <w:rFonts w:asciiTheme="minorHAnsi" w:hAnsiTheme="minorHAnsi" w:cstheme="minorHAnsi"/>
          <w:sz w:val="22"/>
          <w:szCs w:val="22"/>
        </w:rPr>
      </w:pPr>
    </w:p>
    <w:p w:rsidR="0073460D" w:rsidRPr="0073460D" w:rsidRDefault="002F2AB8" w:rsidP="0073460D">
      <w:pPr>
        <w:pStyle w:val="ListParagraph"/>
        <w:numPr>
          <w:ilvl w:val="0"/>
          <w:numId w:val="20"/>
        </w:numPr>
        <w:tabs>
          <w:tab w:val="left" w:pos="-720"/>
          <w:tab w:val="left" w:pos="0"/>
        </w:tabs>
        <w:suppressAutoHyphens/>
        <w:spacing w:line="276" w:lineRule="auto"/>
        <w:ind w:left="1080"/>
        <w:rPr>
          <w:rFonts w:asciiTheme="minorHAnsi" w:hAnsiTheme="minorHAnsi" w:cstheme="minorHAnsi"/>
          <w:sz w:val="22"/>
          <w:szCs w:val="22"/>
        </w:rPr>
      </w:pPr>
      <w:r w:rsidRPr="0073460D">
        <w:rPr>
          <w:rFonts w:asciiTheme="minorHAnsi" w:hAnsiTheme="minorHAnsi" w:cstheme="minorHAnsi"/>
          <w:sz w:val="22"/>
          <w:szCs w:val="22"/>
        </w:rPr>
        <w:t>Cleanroom material transfer, comprises of materials supplied double bagged, with the inner bag removed from the outer bag, b</w:t>
      </w:r>
      <w:r w:rsidR="0093606B">
        <w:rPr>
          <w:rFonts w:asciiTheme="minorHAnsi" w:hAnsiTheme="minorHAnsi" w:cstheme="minorHAnsi"/>
          <w:sz w:val="22"/>
          <w:szCs w:val="22"/>
        </w:rPr>
        <w:t>eing wiped with IPA spray prior</w:t>
      </w:r>
      <w:r w:rsidRPr="0073460D">
        <w:rPr>
          <w:rFonts w:asciiTheme="minorHAnsi" w:hAnsiTheme="minorHAnsi" w:cstheme="minorHAnsi"/>
          <w:sz w:val="22"/>
          <w:szCs w:val="22"/>
        </w:rPr>
        <w:t xml:space="preserve"> to placing into the transfer hatch and as such should not contribute to the contamination issue, the cleanroom material transfer is deemed acceptable.</w:t>
      </w:r>
    </w:p>
    <w:p w:rsidR="0073460D" w:rsidRPr="0073460D" w:rsidRDefault="0073460D" w:rsidP="0073460D">
      <w:pPr>
        <w:pStyle w:val="ListParagraph"/>
        <w:tabs>
          <w:tab w:val="left" w:pos="-720"/>
          <w:tab w:val="left" w:pos="0"/>
        </w:tabs>
        <w:suppressAutoHyphens/>
        <w:spacing w:line="276" w:lineRule="auto"/>
        <w:ind w:left="1080"/>
        <w:rPr>
          <w:rFonts w:asciiTheme="minorHAnsi" w:hAnsiTheme="minorHAnsi" w:cstheme="minorHAnsi"/>
          <w:sz w:val="22"/>
          <w:szCs w:val="22"/>
        </w:rPr>
      </w:pPr>
    </w:p>
    <w:p w:rsidR="002F2AB8" w:rsidRPr="0073460D" w:rsidRDefault="002F2AB8" w:rsidP="0073460D">
      <w:pPr>
        <w:pStyle w:val="ListParagraph"/>
        <w:numPr>
          <w:ilvl w:val="0"/>
          <w:numId w:val="20"/>
        </w:numPr>
        <w:tabs>
          <w:tab w:val="left" w:pos="-720"/>
          <w:tab w:val="left" w:pos="0"/>
        </w:tabs>
        <w:suppressAutoHyphens/>
        <w:spacing w:line="276" w:lineRule="auto"/>
        <w:ind w:left="1080"/>
        <w:rPr>
          <w:rFonts w:asciiTheme="minorHAnsi" w:hAnsiTheme="minorHAnsi" w:cstheme="minorHAnsi"/>
          <w:sz w:val="22"/>
          <w:szCs w:val="22"/>
        </w:rPr>
      </w:pPr>
      <w:r w:rsidRPr="0073460D">
        <w:rPr>
          <w:rFonts w:asciiTheme="minorHAnsi" w:hAnsiTheme="minorHAnsi" w:cstheme="minorHAnsi"/>
          <w:sz w:val="22"/>
          <w:szCs w:val="22"/>
        </w:rPr>
        <w:t xml:space="preserve">A review of the In-process inspection has determined that it is not adequately defined and could potentially contribute to the root causes identified.  It was identified that there had been little consideration given to the in process controls and limits.  </w:t>
      </w:r>
      <w:r w:rsidR="0093606B">
        <w:rPr>
          <w:rFonts w:asciiTheme="minorHAnsi" w:hAnsiTheme="minorHAnsi" w:cstheme="minorHAnsi"/>
          <w:sz w:val="22"/>
          <w:szCs w:val="22"/>
        </w:rPr>
        <w:t xml:space="preserve">The packaging work instruction </w:t>
      </w:r>
      <w:r w:rsidRPr="0073460D">
        <w:rPr>
          <w:rFonts w:asciiTheme="minorHAnsi" w:hAnsiTheme="minorHAnsi" w:cstheme="minorHAnsi"/>
          <w:sz w:val="22"/>
          <w:szCs w:val="22"/>
        </w:rPr>
        <w:t>was reviewed which identified that there is little or no specification applied to the defects listed within.</w:t>
      </w:r>
    </w:p>
    <w:p w:rsidR="002F2AB8" w:rsidRPr="002F2AB8" w:rsidRDefault="002F2AB8" w:rsidP="002F2AB8">
      <w:pPr>
        <w:tabs>
          <w:tab w:val="left" w:pos="-720"/>
          <w:tab w:val="left" w:pos="0"/>
        </w:tabs>
        <w:suppressAutoHyphens/>
        <w:spacing w:line="276" w:lineRule="auto"/>
        <w:rPr>
          <w:rFonts w:cstheme="minorHAnsi"/>
          <w:szCs w:val="20"/>
        </w:rPr>
      </w:pPr>
    </w:p>
    <w:p w:rsidR="00014807" w:rsidRPr="0093606B" w:rsidRDefault="002F2AB8" w:rsidP="002F2AB8">
      <w:pPr>
        <w:pStyle w:val="Subtitle"/>
        <w:rPr>
          <w:b w:val="0"/>
        </w:rPr>
      </w:pPr>
      <w:r w:rsidRPr="0093606B">
        <w:rPr>
          <w:b w:val="0"/>
        </w:rPr>
        <w:t>The review of external gowning supply process, internal gowning procedure and operation determined that the external gowning supply process, gowning procedure a</w:t>
      </w:r>
      <w:r w:rsidR="0093606B">
        <w:rPr>
          <w:b w:val="0"/>
        </w:rPr>
        <w:t>nd operation is robust</w:t>
      </w:r>
      <w:r w:rsidRPr="0093606B">
        <w:rPr>
          <w:b w:val="0"/>
        </w:rPr>
        <w:t>.</w:t>
      </w:r>
    </w:p>
    <w:p w:rsidR="00014807" w:rsidRDefault="00014807" w:rsidP="00014807">
      <w:pPr>
        <w:pStyle w:val="Subtitle"/>
        <w:numPr>
          <w:ilvl w:val="0"/>
          <w:numId w:val="0"/>
        </w:numPr>
        <w:ind w:left="720"/>
      </w:pPr>
    </w:p>
    <w:p w:rsidR="002F2AB8" w:rsidRPr="0093606B" w:rsidRDefault="002F2AB8" w:rsidP="002F2AB8">
      <w:pPr>
        <w:pStyle w:val="Subtitle"/>
        <w:rPr>
          <w:b w:val="0"/>
        </w:rPr>
      </w:pPr>
      <w:r w:rsidRPr="0093606B">
        <w:rPr>
          <w:b w:val="0"/>
          <w:szCs w:val="20"/>
        </w:rPr>
        <w:t xml:space="preserve">Cleanroom cleaning procedure, operation and adherence to schedule is in line with the requirements within </w:t>
      </w:r>
      <w:r w:rsidR="0093606B">
        <w:rPr>
          <w:b w:val="0"/>
          <w:szCs w:val="20"/>
        </w:rPr>
        <w:t>the standard operating procedure</w:t>
      </w:r>
      <w:r w:rsidRPr="0093606B">
        <w:rPr>
          <w:b w:val="0"/>
          <w:szCs w:val="20"/>
        </w:rPr>
        <w:t>, it is unlikely that the internal processes attributed to the issues identified.</w:t>
      </w:r>
    </w:p>
    <w:p w:rsidR="0093606B" w:rsidRDefault="0093606B" w:rsidP="002F2AB8">
      <w:pPr>
        <w:tabs>
          <w:tab w:val="left" w:pos="-720"/>
          <w:tab w:val="left" w:pos="0"/>
        </w:tabs>
        <w:suppressAutoHyphens/>
        <w:spacing w:line="276" w:lineRule="auto"/>
        <w:rPr>
          <w:rFonts w:cstheme="minorHAnsi"/>
          <w:szCs w:val="20"/>
        </w:rPr>
      </w:pPr>
    </w:p>
    <w:p w:rsidR="002F2AB8" w:rsidRPr="002F2AB8" w:rsidRDefault="002F2AB8" w:rsidP="002F2AB8">
      <w:pPr>
        <w:tabs>
          <w:tab w:val="left" w:pos="-720"/>
          <w:tab w:val="left" w:pos="0"/>
        </w:tabs>
        <w:suppressAutoHyphens/>
        <w:spacing w:line="276" w:lineRule="auto"/>
        <w:rPr>
          <w:rFonts w:cstheme="minorHAnsi"/>
          <w:szCs w:val="20"/>
        </w:rPr>
      </w:pPr>
      <w:r w:rsidRPr="002F2AB8">
        <w:rPr>
          <w:rFonts w:cstheme="minorHAnsi"/>
          <w:szCs w:val="20"/>
        </w:rPr>
        <w:t>The conclusion of the investigation has therefore determined the most probable root causes.</w:t>
      </w:r>
    </w:p>
    <w:p w:rsidR="002F2AB8" w:rsidRPr="002F2AB8" w:rsidRDefault="002F2AB8" w:rsidP="002F2AB8">
      <w:pPr>
        <w:pStyle w:val="Heading2"/>
      </w:pPr>
      <w:bookmarkStart w:id="7" w:name="_Toc38554137"/>
      <w:r>
        <w:t>Root Cause</w:t>
      </w:r>
      <w:bookmarkEnd w:id="7"/>
    </w:p>
    <w:p w:rsidR="00937563" w:rsidRPr="00D40069" w:rsidRDefault="00937563" w:rsidP="00937563">
      <w:pPr>
        <w:tabs>
          <w:tab w:val="left" w:pos="-720"/>
          <w:tab w:val="left" w:pos="0"/>
        </w:tabs>
        <w:suppressAutoHyphens/>
        <w:spacing w:after="0" w:line="276" w:lineRule="auto"/>
        <w:rPr>
          <w:rFonts w:cstheme="minorHAnsi"/>
          <w:szCs w:val="20"/>
        </w:rPr>
      </w:pPr>
      <w:r w:rsidRPr="00D40069">
        <w:rPr>
          <w:rFonts w:cstheme="minorHAnsi"/>
          <w:szCs w:val="20"/>
        </w:rPr>
        <w:t>Based on the findings of the root cause investigation it is determined that the most likely root causes for each of the</w:t>
      </w:r>
      <w:r w:rsidR="00525D00">
        <w:rPr>
          <w:rFonts w:cstheme="minorHAnsi"/>
          <w:szCs w:val="20"/>
        </w:rPr>
        <w:t xml:space="preserve"> failure modes are as follows:</w:t>
      </w:r>
    </w:p>
    <w:p w:rsidR="00937563" w:rsidRPr="00D40069" w:rsidRDefault="00937563" w:rsidP="00937563">
      <w:pPr>
        <w:tabs>
          <w:tab w:val="left" w:pos="-720"/>
          <w:tab w:val="left" w:pos="0"/>
        </w:tabs>
        <w:suppressAutoHyphens/>
        <w:spacing w:after="0" w:line="276" w:lineRule="auto"/>
        <w:rPr>
          <w:rFonts w:cstheme="minorHAnsi"/>
          <w:szCs w:val="20"/>
        </w:rPr>
      </w:pPr>
    </w:p>
    <w:p w:rsidR="002D6189" w:rsidRPr="002D6189" w:rsidRDefault="00937563" w:rsidP="000130C2">
      <w:pPr>
        <w:pStyle w:val="Subtitle"/>
        <w:numPr>
          <w:ilvl w:val="0"/>
          <w:numId w:val="22"/>
        </w:numPr>
      </w:pPr>
      <w:r w:rsidRPr="002D6189">
        <w:t>Foam – Stringing as a di</w:t>
      </w:r>
      <w:r w:rsidR="00FE1239" w:rsidRPr="002D6189">
        <w:t>rect result of supplier process</w:t>
      </w:r>
    </w:p>
    <w:p w:rsidR="000130C2" w:rsidRDefault="00937563" w:rsidP="000130C2">
      <w:pPr>
        <w:pStyle w:val="ListParagraph"/>
        <w:tabs>
          <w:tab w:val="left" w:pos="-720"/>
          <w:tab w:val="left" w:pos="0"/>
        </w:tabs>
        <w:suppressAutoHyphens/>
        <w:spacing w:line="276" w:lineRule="auto"/>
        <w:rPr>
          <w:rStyle w:val="SubtleEmphasis"/>
        </w:rPr>
      </w:pPr>
      <w:r w:rsidRPr="002D6189">
        <w:rPr>
          <w:rStyle w:val="SubtleEmphasis"/>
        </w:rPr>
        <w:t>As all foam cutting activities take place at the supplier it is determined that foam stringing is caused as a direct result of supplier processing.</w:t>
      </w:r>
    </w:p>
    <w:p w:rsidR="002D6189" w:rsidRPr="000130C2" w:rsidRDefault="00937563" w:rsidP="000130C2">
      <w:pPr>
        <w:pStyle w:val="Subtitle"/>
      </w:pPr>
      <w:r w:rsidRPr="00D40069">
        <w:lastRenderedPageBreak/>
        <w:t xml:space="preserve">Foam – Red Mark/ Black Mark as a result of the supplier process. </w:t>
      </w:r>
    </w:p>
    <w:p w:rsidR="00937563" w:rsidRPr="00E940EA" w:rsidRDefault="00937563" w:rsidP="00E940EA">
      <w:pPr>
        <w:pStyle w:val="Subtitle"/>
        <w:numPr>
          <w:ilvl w:val="0"/>
          <w:numId w:val="0"/>
        </w:numPr>
        <w:ind w:left="720"/>
        <w:rPr>
          <w:b w:val="0"/>
        </w:rPr>
      </w:pPr>
      <w:r w:rsidRPr="002D6189">
        <w:rPr>
          <w:rStyle w:val="SubtleEmphasis"/>
          <w:b w:val="0"/>
        </w:rPr>
        <w:t>Based on the method of manufacture (non-cleanroom) and identification of debris/marks on incoming material under SNR (Supplier Notification Report), it is determined that the red and black marks are created as a result of the supplier process.</w:t>
      </w:r>
    </w:p>
    <w:p w:rsidR="00937563" w:rsidRPr="00D40069" w:rsidRDefault="00937563" w:rsidP="00937563">
      <w:pPr>
        <w:tabs>
          <w:tab w:val="left" w:pos="-720"/>
          <w:tab w:val="left" w:pos="0"/>
        </w:tabs>
        <w:suppressAutoHyphens/>
        <w:spacing w:after="0" w:line="276" w:lineRule="auto"/>
        <w:rPr>
          <w:rFonts w:cstheme="minorHAnsi"/>
          <w:szCs w:val="20"/>
        </w:rPr>
      </w:pPr>
    </w:p>
    <w:p w:rsidR="002D6189" w:rsidRDefault="002D6189" w:rsidP="00937563">
      <w:pPr>
        <w:pStyle w:val="Subtitle"/>
      </w:pPr>
      <w:r>
        <w:t>Foam – Loose</w:t>
      </w:r>
    </w:p>
    <w:p w:rsidR="002D6189" w:rsidRDefault="002D6189" w:rsidP="002D6189">
      <w:pPr>
        <w:pStyle w:val="Subtitle"/>
        <w:numPr>
          <w:ilvl w:val="0"/>
          <w:numId w:val="0"/>
        </w:numPr>
        <w:ind w:left="720"/>
        <w:rPr>
          <w:b w:val="0"/>
          <w:szCs w:val="20"/>
        </w:rPr>
      </w:pPr>
      <w:r w:rsidRPr="002D6189">
        <w:rPr>
          <w:rStyle w:val="SubtleEmphasis"/>
          <w:b w:val="0"/>
        </w:rPr>
        <w:t>A</w:t>
      </w:r>
      <w:r w:rsidR="00937563" w:rsidRPr="002D6189">
        <w:rPr>
          <w:rStyle w:val="SubtleEmphasis"/>
          <w:b w:val="0"/>
        </w:rPr>
        <w:t>s part of the supplier process, created when the Taperloc part has been sealed in the pouch, where movement causes a scratching effect between the pouch corner and the foam.</w:t>
      </w:r>
      <w:r>
        <w:rPr>
          <w:rStyle w:val="SubtleEmphasis"/>
          <w:b w:val="0"/>
        </w:rPr>
        <w:t xml:space="preserve"> </w:t>
      </w:r>
      <w:r w:rsidR="00937563" w:rsidRPr="002D6189">
        <w:rPr>
          <w:b w:val="0"/>
          <w:szCs w:val="20"/>
        </w:rPr>
        <w:t xml:space="preserve">It has been determined that the identification of small particulates of foam can be </w:t>
      </w:r>
      <w:r>
        <w:rPr>
          <w:b w:val="0"/>
          <w:szCs w:val="20"/>
        </w:rPr>
        <w:t xml:space="preserve">created in the following ways: </w:t>
      </w:r>
    </w:p>
    <w:p w:rsidR="002D6189" w:rsidRDefault="002D6189" w:rsidP="002D6189">
      <w:pPr>
        <w:pStyle w:val="Subtitle"/>
        <w:numPr>
          <w:ilvl w:val="0"/>
          <w:numId w:val="0"/>
        </w:numPr>
        <w:ind w:left="720"/>
        <w:rPr>
          <w:b w:val="0"/>
          <w:szCs w:val="20"/>
        </w:rPr>
      </w:pPr>
    </w:p>
    <w:p w:rsidR="002D6189" w:rsidRPr="002D6189" w:rsidRDefault="00937563" w:rsidP="00937563">
      <w:pPr>
        <w:pStyle w:val="Subtitle"/>
        <w:numPr>
          <w:ilvl w:val="0"/>
          <w:numId w:val="16"/>
        </w:numPr>
        <w:rPr>
          <w:b w:val="0"/>
        </w:rPr>
      </w:pPr>
      <w:r w:rsidRPr="002D6189">
        <w:rPr>
          <w:b w:val="0"/>
          <w:szCs w:val="20"/>
        </w:rPr>
        <w:t>They can be created as part of the supplier process.</w:t>
      </w:r>
    </w:p>
    <w:p w:rsidR="00937563" w:rsidRPr="002D6189" w:rsidRDefault="00937563" w:rsidP="00937563">
      <w:pPr>
        <w:pStyle w:val="Subtitle"/>
        <w:numPr>
          <w:ilvl w:val="0"/>
          <w:numId w:val="16"/>
        </w:numPr>
        <w:rPr>
          <w:b w:val="0"/>
        </w:rPr>
      </w:pPr>
      <w:r w:rsidRPr="002D6189">
        <w:rPr>
          <w:b w:val="0"/>
          <w:szCs w:val="20"/>
        </w:rPr>
        <w:t>They can be created when the Taperloc part has been sealed in the pouch, and in combination with a packaging configuration that allows movement within the blister pack, causes a scratching effect between the pouch corner and the foam.</w:t>
      </w:r>
    </w:p>
    <w:p w:rsidR="00937563" w:rsidRPr="00D40069" w:rsidRDefault="00937563" w:rsidP="00937563">
      <w:pPr>
        <w:tabs>
          <w:tab w:val="left" w:pos="-720"/>
          <w:tab w:val="left" w:pos="0"/>
        </w:tabs>
        <w:suppressAutoHyphens/>
        <w:spacing w:after="0" w:line="276" w:lineRule="auto"/>
        <w:rPr>
          <w:rFonts w:cstheme="minorHAnsi"/>
          <w:szCs w:val="20"/>
        </w:rPr>
      </w:pPr>
    </w:p>
    <w:p w:rsidR="000130C2" w:rsidRDefault="00937563" w:rsidP="00937563">
      <w:pPr>
        <w:pStyle w:val="Subtitle"/>
      </w:pPr>
      <w:r w:rsidRPr="00D40069">
        <w:t>Fibre - hypothesised to be present on incoming foam material.</w:t>
      </w:r>
    </w:p>
    <w:p w:rsidR="000130C2" w:rsidRDefault="00937563" w:rsidP="000130C2">
      <w:pPr>
        <w:pStyle w:val="Subtitle"/>
        <w:numPr>
          <w:ilvl w:val="0"/>
          <w:numId w:val="0"/>
        </w:numPr>
        <w:ind w:left="720"/>
        <w:rPr>
          <w:b w:val="0"/>
          <w:szCs w:val="20"/>
        </w:rPr>
      </w:pPr>
      <w:r w:rsidRPr="000130C2">
        <w:rPr>
          <w:b w:val="0"/>
          <w:szCs w:val="20"/>
        </w:rPr>
        <w:t xml:space="preserve">It can be hypothesised based on the investigation that the fibres are present on incoming foam material. </w:t>
      </w:r>
    </w:p>
    <w:p w:rsidR="000130C2" w:rsidRDefault="000130C2" w:rsidP="000130C2">
      <w:pPr>
        <w:pStyle w:val="Subtitle"/>
        <w:numPr>
          <w:ilvl w:val="0"/>
          <w:numId w:val="0"/>
        </w:numPr>
        <w:ind w:left="720" w:hanging="360"/>
        <w:rPr>
          <w:b w:val="0"/>
          <w:szCs w:val="20"/>
        </w:rPr>
      </w:pPr>
    </w:p>
    <w:p w:rsidR="000130C2" w:rsidRPr="000130C2" w:rsidRDefault="00937563" w:rsidP="00937563">
      <w:pPr>
        <w:pStyle w:val="Subtitle"/>
        <w:rPr>
          <w:b w:val="0"/>
        </w:rPr>
      </w:pPr>
      <w:r w:rsidRPr="00D40069">
        <w:t>Hair - hypothesised to be present on incoming foam material.</w:t>
      </w:r>
    </w:p>
    <w:p w:rsidR="002E4F74" w:rsidRPr="000130C2" w:rsidRDefault="00937563" w:rsidP="000130C2">
      <w:pPr>
        <w:pStyle w:val="Subtitle"/>
        <w:numPr>
          <w:ilvl w:val="0"/>
          <w:numId w:val="0"/>
        </w:numPr>
        <w:ind w:left="720"/>
        <w:rPr>
          <w:b w:val="0"/>
        </w:rPr>
      </w:pPr>
      <w:r w:rsidRPr="000130C2">
        <w:rPr>
          <w:b w:val="0"/>
          <w:szCs w:val="20"/>
        </w:rPr>
        <w:t>The presence of hair has been detected between the blister and the foam (i.e. not inside the pouch itself). It is determined that the most likely source of this contaminant is attached to the foam when incoming from the supplier.</w:t>
      </w:r>
    </w:p>
    <w:p w:rsidR="00B7112F" w:rsidRDefault="00B7112F" w:rsidP="00B7112F">
      <w:pPr>
        <w:pStyle w:val="Heading1"/>
      </w:pPr>
      <w:bookmarkStart w:id="8" w:name="_Toc38554138"/>
      <w:r w:rsidRPr="00D40069">
        <w:t>Action Plan</w:t>
      </w:r>
      <w:bookmarkEnd w:id="8"/>
    </w:p>
    <w:p w:rsidR="00AA4AE5" w:rsidRDefault="00AA4AE5" w:rsidP="00AA4AE5">
      <w:r>
        <w:t xml:space="preserve">The most probable root causes identified have been attributed to the packaging supplier processes, these have been listed within 3 individual </w:t>
      </w:r>
      <w:r w:rsidR="000130C2">
        <w:t>SNRs</w:t>
      </w:r>
      <w:r>
        <w:t>.</w:t>
      </w:r>
    </w:p>
    <w:p w:rsidR="00AA4AE5" w:rsidRDefault="00AA4AE5" w:rsidP="00AA4AE5">
      <w:r>
        <w:t xml:space="preserve">All packaging components used within the cleanroom are inspected as per Work instruction </w:t>
      </w:r>
      <w:r w:rsidR="00943F2E">
        <w:t>“</w:t>
      </w:r>
      <w:r>
        <w:t>Inspect packaging for inclusions, hair, contaminants and fibres”.  The associated risk</w:t>
      </w:r>
      <w:r w:rsidR="00943F2E">
        <w:t>s</w:t>
      </w:r>
      <w:r>
        <w:t xml:space="preserve"> are deemed low.</w:t>
      </w:r>
    </w:p>
    <w:p w:rsidR="00937563" w:rsidRPr="00D40069" w:rsidRDefault="00937563" w:rsidP="00937563">
      <w:pPr>
        <w:tabs>
          <w:tab w:val="left" w:pos="-720"/>
          <w:tab w:val="left" w:pos="0"/>
        </w:tabs>
        <w:suppressAutoHyphens/>
        <w:spacing w:after="0" w:line="276" w:lineRule="auto"/>
        <w:rPr>
          <w:rFonts w:cstheme="minorHAnsi"/>
          <w:szCs w:val="20"/>
        </w:rPr>
      </w:pPr>
    </w:p>
    <w:p w:rsidR="00943F2E" w:rsidRDefault="00BB1541" w:rsidP="00525D00">
      <w:pPr>
        <w:pStyle w:val="Heading2"/>
      </w:pPr>
      <w:bookmarkStart w:id="9" w:name="_Toc38554139"/>
      <w:r w:rsidRPr="00D40069">
        <w:t>Implementation Plan</w:t>
      </w:r>
      <w:bookmarkEnd w:id="9"/>
    </w:p>
    <w:p w:rsidR="00525D00" w:rsidRPr="00525D00" w:rsidRDefault="00525D00" w:rsidP="00525D00">
      <w:r>
        <w:t>The following implementation plan was put in place:</w:t>
      </w:r>
    </w:p>
    <w:p w:rsidR="00943F2E" w:rsidRPr="00943F2E" w:rsidRDefault="00937563" w:rsidP="00937563">
      <w:pPr>
        <w:pStyle w:val="ListParagraph"/>
        <w:numPr>
          <w:ilvl w:val="0"/>
          <w:numId w:val="23"/>
        </w:numPr>
        <w:tabs>
          <w:tab w:val="left" w:pos="-720"/>
          <w:tab w:val="left" w:pos="0"/>
        </w:tabs>
        <w:suppressAutoHyphens/>
        <w:spacing w:line="276" w:lineRule="auto"/>
        <w:rPr>
          <w:rFonts w:asciiTheme="minorHAnsi" w:hAnsiTheme="minorHAnsi" w:cstheme="minorHAnsi"/>
          <w:sz w:val="22"/>
          <w:szCs w:val="22"/>
        </w:rPr>
      </w:pPr>
      <w:r w:rsidRPr="00943F2E">
        <w:rPr>
          <w:rFonts w:asciiTheme="minorHAnsi" w:hAnsiTheme="minorHAnsi" w:cstheme="minorHAnsi"/>
          <w:sz w:val="22"/>
          <w:szCs w:val="22"/>
        </w:rPr>
        <w:t xml:space="preserve">Determine course of action for foam supplier in order to provide acceptable supply to Zimmer-Biomet. </w:t>
      </w:r>
    </w:p>
    <w:p w:rsidR="00943F2E" w:rsidRPr="00943F2E" w:rsidRDefault="00943F2E" w:rsidP="00943F2E">
      <w:pPr>
        <w:pStyle w:val="ListParagraph"/>
        <w:tabs>
          <w:tab w:val="left" w:pos="-720"/>
          <w:tab w:val="left" w:pos="0"/>
        </w:tabs>
        <w:suppressAutoHyphens/>
        <w:spacing w:line="276" w:lineRule="auto"/>
        <w:rPr>
          <w:rFonts w:asciiTheme="minorHAnsi" w:hAnsiTheme="minorHAnsi" w:cstheme="minorHAnsi"/>
          <w:sz w:val="22"/>
          <w:szCs w:val="22"/>
        </w:rPr>
      </w:pPr>
    </w:p>
    <w:p w:rsidR="00943F2E" w:rsidRPr="00943F2E" w:rsidRDefault="00937563" w:rsidP="00937563">
      <w:pPr>
        <w:pStyle w:val="ListParagraph"/>
        <w:numPr>
          <w:ilvl w:val="0"/>
          <w:numId w:val="23"/>
        </w:numPr>
        <w:tabs>
          <w:tab w:val="left" w:pos="-720"/>
          <w:tab w:val="left" w:pos="0"/>
        </w:tabs>
        <w:suppressAutoHyphens/>
        <w:spacing w:line="276" w:lineRule="auto"/>
        <w:rPr>
          <w:rFonts w:asciiTheme="minorHAnsi" w:hAnsiTheme="minorHAnsi" w:cstheme="minorHAnsi"/>
          <w:sz w:val="22"/>
          <w:szCs w:val="22"/>
        </w:rPr>
      </w:pPr>
      <w:r w:rsidRPr="00943F2E">
        <w:rPr>
          <w:rFonts w:asciiTheme="minorHAnsi" w:hAnsiTheme="minorHAnsi" w:cstheme="minorHAnsi"/>
          <w:sz w:val="22"/>
          <w:szCs w:val="22"/>
          <w:lang w:val="en-GB"/>
        </w:rPr>
        <w:t>Review Japan Inspection requirements alongside the requirements stated within local procedures.  Following this review assess if either, both or a new procedure is required outlining the in process inspection requirements.</w:t>
      </w:r>
    </w:p>
    <w:p w:rsidR="00943F2E" w:rsidRPr="00943F2E" w:rsidRDefault="00943F2E" w:rsidP="00943F2E">
      <w:pPr>
        <w:pStyle w:val="ListParagraph"/>
        <w:rPr>
          <w:rFonts w:asciiTheme="minorHAnsi" w:hAnsiTheme="minorHAnsi" w:cstheme="minorHAnsi"/>
          <w:sz w:val="22"/>
          <w:szCs w:val="22"/>
          <w:lang w:val="en-GB"/>
        </w:rPr>
      </w:pPr>
    </w:p>
    <w:p w:rsidR="00C723E8" w:rsidRPr="00943F2E" w:rsidRDefault="00937563" w:rsidP="00937563">
      <w:pPr>
        <w:pStyle w:val="ListParagraph"/>
        <w:numPr>
          <w:ilvl w:val="0"/>
          <w:numId w:val="23"/>
        </w:numPr>
        <w:tabs>
          <w:tab w:val="left" w:pos="-720"/>
          <w:tab w:val="left" w:pos="0"/>
        </w:tabs>
        <w:suppressAutoHyphens/>
        <w:spacing w:line="276" w:lineRule="auto"/>
        <w:rPr>
          <w:rFonts w:asciiTheme="minorHAnsi" w:hAnsiTheme="minorHAnsi" w:cstheme="minorHAnsi"/>
          <w:sz w:val="22"/>
          <w:szCs w:val="22"/>
        </w:rPr>
      </w:pPr>
      <w:r w:rsidRPr="00943F2E">
        <w:rPr>
          <w:rFonts w:asciiTheme="minorHAnsi" w:hAnsiTheme="minorHAnsi" w:cstheme="minorHAnsi"/>
          <w:sz w:val="22"/>
          <w:szCs w:val="22"/>
          <w:lang w:val="en-GB"/>
        </w:rPr>
        <w:t>Review and update Sterile Pack PFMEA00025, if necessary following review of the procedures.</w:t>
      </w:r>
    </w:p>
    <w:p w:rsidR="00BB1541" w:rsidRPr="00D40069" w:rsidRDefault="00BB1541" w:rsidP="00BB1541">
      <w:pPr>
        <w:pStyle w:val="Heading2"/>
      </w:pPr>
      <w:bookmarkStart w:id="10" w:name="_Toc38554140"/>
      <w:r w:rsidRPr="00D40069">
        <w:lastRenderedPageBreak/>
        <w:t>Implementation Results</w:t>
      </w:r>
      <w:bookmarkEnd w:id="10"/>
    </w:p>
    <w:p w:rsidR="00943F2E" w:rsidRDefault="00943F2E" w:rsidP="00BB1541">
      <w:pPr>
        <w:tabs>
          <w:tab w:val="left" w:pos="-720"/>
          <w:tab w:val="left" w:pos="0"/>
        </w:tabs>
        <w:suppressAutoHyphens/>
        <w:spacing w:after="0" w:line="276" w:lineRule="auto"/>
        <w:rPr>
          <w:rFonts w:cstheme="minorHAnsi"/>
          <w:szCs w:val="20"/>
        </w:rPr>
      </w:pPr>
      <w:r>
        <w:rPr>
          <w:rFonts w:cstheme="minorHAnsi"/>
          <w:szCs w:val="20"/>
        </w:rPr>
        <w:t xml:space="preserve"> </w:t>
      </w:r>
      <w:r w:rsidR="00525D00">
        <w:rPr>
          <w:rFonts w:cstheme="minorHAnsi"/>
          <w:szCs w:val="20"/>
        </w:rPr>
        <w:t xml:space="preserve">The following implementation results were found: </w:t>
      </w:r>
    </w:p>
    <w:p w:rsidR="00525D00" w:rsidRDefault="00525D00" w:rsidP="00BB1541">
      <w:pPr>
        <w:tabs>
          <w:tab w:val="left" w:pos="-720"/>
          <w:tab w:val="left" w:pos="0"/>
        </w:tabs>
        <w:suppressAutoHyphens/>
        <w:spacing w:after="0" w:line="276" w:lineRule="auto"/>
        <w:rPr>
          <w:rFonts w:cstheme="minorHAnsi"/>
          <w:szCs w:val="20"/>
        </w:rPr>
      </w:pPr>
      <w:bookmarkStart w:id="11" w:name="_GoBack"/>
      <w:bookmarkEnd w:id="11"/>
    </w:p>
    <w:p w:rsidR="003C1AC2" w:rsidRPr="00122901" w:rsidRDefault="00122901" w:rsidP="00BB1541">
      <w:pPr>
        <w:pStyle w:val="ListParagraph"/>
        <w:numPr>
          <w:ilvl w:val="0"/>
          <w:numId w:val="24"/>
        </w:numPr>
        <w:tabs>
          <w:tab w:val="left" w:pos="-720"/>
          <w:tab w:val="left" w:pos="0"/>
        </w:tabs>
        <w:suppressAutoHyphens/>
        <w:spacing w:line="276" w:lineRule="auto"/>
        <w:rPr>
          <w:rFonts w:asciiTheme="minorHAnsi" w:hAnsiTheme="minorHAnsi" w:cstheme="minorHAnsi"/>
          <w:sz w:val="22"/>
          <w:szCs w:val="22"/>
        </w:rPr>
      </w:pPr>
      <w:r>
        <w:rPr>
          <w:rFonts w:asciiTheme="minorHAnsi" w:hAnsiTheme="minorHAnsi" w:cstheme="minorHAnsi"/>
          <w:sz w:val="22"/>
          <w:szCs w:val="22"/>
        </w:rPr>
        <w:t>The foam supplier</w:t>
      </w:r>
      <w:r w:rsidR="00BB1541" w:rsidRPr="00122901">
        <w:rPr>
          <w:rFonts w:asciiTheme="minorHAnsi" w:hAnsiTheme="minorHAnsi" w:cstheme="minorHAnsi"/>
          <w:sz w:val="22"/>
          <w:szCs w:val="22"/>
        </w:rPr>
        <w:t xml:space="preserve"> </w:t>
      </w:r>
      <w:r>
        <w:rPr>
          <w:rFonts w:asciiTheme="minorHAnsi" w:hAnsiTheme="minorHAnsi" w:cstheme="minorHAnsi"/>
          <w:sz w:val="22"/>
          <w:szCs w:val="22"/>
        </w:rPr>
        <w:t>was issued 2 supplier corrective action reports (</w:t>
      </w:r>
      <w:r w:rsidR="00BB1541" w:rsidRPr="00122901">
        <w:rPr>
          <w:rFonts w:asciiTheme="minorHAnsi" w:hAnsiTheme="minorHAnsi" w:cstheme="minorHAnsi"/>
          <w:sz w:val="22"/>
          <w:szCs w:val="22"/>
        </w:rPr>
        <w:t>SCAR's</w:t>
      </w:r>
      <w:r>
        <w:rPr>
          <w:rFonts w:asciiTheme="minorHAnsi" w:hAnsiTheme="minorHAnsi" w:cstheme="minorHAnsi"/>
          <w:sz w:val="22"/>
          <w:szCs w:val="22"/>
        </w:rPr>
        <w:t>)</w:t>
      </w:r>
      <w:r w:rsidR="00BB1541" w:rsidRPr="00122901">
        <w:rPr>
          <w:rFonts w:asciiTheme="minorHAnsi" w:hAnsiTheme="minorHAnsi" w:cstheme="minorHAnsi"/>
          <w:sz w:val="22"/>
          <w:szCs w:val="22"/>
        </w:rPr>
        <w:t xml:space="preserve"> and 3 </w:t>
      </w:r>
      <w:r>
        <w:rPr>
          <w:rFonts w:asciiTheme="minorHAnsi" w:hAnsiTheme="minorHAnsi" w:cstheme="minorHAnsi"/>
          <w:sz w:val="22"/>
          <w:szCs w:val="22"/>
        </w:rPr>
        <w:t>Supplier non-conformance reports (</w:t>
      </w:r>
      <w:r w:rsidR="00BB1541" w:rsidRPr="00122901">
        <w:rPr>
          <w:rFonts w:asciiTheme="minorHAnsi" w:hAnsiTheme="minorHAnsi" w:cstheme="minorHAnsi"/>
          <w:sz w:val="22"/>
          <w:szCs w:val="22"/>
        </w:rPr>
        <w:t>SNAR's</w:t>
      </w:r>
      <w:r>
        <w:rPr>
          <w:rFonts w:asciiTheme="minorHAnsi" w:hAnsiTheme="minorHAnsi" w:cstheme="minorHAnsi"/>
          <w:sz w:val="22"/>
          <w:szCs w:val="22"/>
        </w:rPr>
        <w:t xml:space="preserve">) </w:t>
      </w:r>
      <w:r w:rsidR="00BB1541" w:rsidRPr="00122901">
        <w:rPr>
          <w:rFonts w:asciiTheme="minorHAnsi" w:hAnsiTheme="minorHAnsi" w:cstheme="minorHAnsi"/>
          <w:sz w:val="22"/>
          <w:szCs w:val="22"/>
        </w:rPr>
        <w:t>related to the substandard supply of material. A decision to introduce a new supplier has been agreed to align with other Z</w:t>
      </w:r>
      <w:r>
        <w:rPr>
          <w:rFonts w:asciiTheme="minorHAnsi" w:hAnsiTheme="minorHAnsi" w:cstheme="minorHAnsi"/>
          <w:sz w:val="22"/>
          <w:szCs w:val="22"/>
        </w:rPr>
        <w:t xml:space="preserve">immer </w:t>
      </w:r>
      <w:r w:rsidR="00BB1541" w:rsidRPr="00122901">
        <w:rPr>
          <w:rFonts w:asciiTheme="minorHAnsi" w:hAnsiTheme="minorHAnsi" w:cstheme="minorHAnsi"/>
          <w:sz w:val="22"/>
          <w:szCs w:val="22"/>
        </w:rPr>
        <w:t>B</w:t>
      </w:r>
      <w:r>
        <w:rPr>
          <w:rFonts w:asciiTheme="minorHAnsi" w:hAnsiTheme="minorHAnsi" w:cstheme="minorHAnsi"/>
          <w:sz w:val="22"/>
          <w:szCs w:val="22"/>
        </w:rPr>
        <w:t>iomet</w:t>
      </w:r>
      <w:r w:rsidR="00BB1541" w:rsidRPr="00122901">
        <w:rPr>
          <w:rFonts w:asciiTheme="minorHAnsi" w:hAnsiTheme="minorHAnsi" w:cstheme="minorHAnsi"/>
          <w:sz w:val="22"/>
          <w:szCs w:val="22"/>
        </w:rPr>
        <w:t xml:space="preserve"> sites and qualification activities are currently taking place to transfer over to the new company. </w:t>
      </w:r>
      <w:r w:rsidR="001C79BF">
        <w:rPr>
          <w:rFonts w:asciiTheme="minorHAnsi" w:hAnsiTheme="minorHAnsi" w:cstheme="minorHAnsi"/>
          <w:sz w:val="22"/>
          <w:szCs w:val="22"/>
        </w:rPr>
        <w:t>The supplier will remain</w:t>
      </w:r>
      <w:r w:rsidR="00BB1541" w:rsidRPr="00122901">
        <w:rPr>
          <w:rFonts w:asciiTheme="minorHAnsi" w:hAnsiTheme="minorHAnsi" w:cstheme="minorHAnsi"/>
          <w:sz w:val="22"/>
          <w:szCs w:val="22"/>
        </w:rPr>
        <w:t xml:space="preserve"> our current supplier</w:t>
      </w:r>
      <w:r w:rsidR="001C79BF">
        <w:rPr>
          <w:rFonts w:asciiTheme="minorHAnsi" w:hAnsiTheme="minorHAnsi" w:cstheme="minorHAnsi"/>
          <w:sz w:val="22"/>
          <w:szCs w:val="22"/>
        </w:rPr>
        <w:t xml:space="preserve"> in the short term, with the</w:t>
      </w:r>
      <w:r w:rsidR="00BB1541" w:rsidRPr="00122901">
        <w:rPr>
          <w:rFonts w:asciiTheme="minorHAnsi" w:hAnsiTheme="minorHAnsi" w:cstheme="minorHAnsi"/>
          <w:sz w:val="22"/>
          <w:szCs w:val="22"/>
        </w:rPr>
        <w:t xml:space="preserve"> packaging department continuing to identify the supplier is</w:t>
      </w:r>
      <w:r w:rsidR="001C79BF">
        <w:rPr>
          <w:rFonts w:asciiTheme="minorHAnsi" w:hAnsiTheme="minorHAnsi" w:cstheme="minorHAnsi"/>
          <w:sz w:val="22"/>
          <w:szCs w:val="22"/>
        </w:rPr>
        <w:t>sues following a newly created visual operating aid (V</w:t>
      </w:r>
      <w:r w:rsidR="00BB1541" w:rsidRPr="00122901">
        <w:rPr>
          <w:rFonts w:asciiTheme="minorHAnsi" w:hAnsiTheme="minorHAnsi" w:cstheme="minorHAnsi"/>
          <w:sz w:val="22"/>
          <w:szCs w:val="22"/>
        </w:rPr>
        <w:t>OA</w:t>
      </w:r>
      <w:r w:rsidR="001C79BF">
        <w:rPr>
          <w:rFonts w:asciiTheme="minorHAnsi" w:hAnsiTheme="minorHAnsi" w:cstheme="minorHAnsi"/>
          <w:sz w:val="22"/>
          <w:szCs w:val="22"/>
        </w:rPr>
        <w:t>)</w:t>
      </w:r>
      <w:r w:rsidR="00BB1541" w:rsidRPr="00122901">
        <w:rPr>
          <w:rFonts w:asciiTheme="minorHAnsi" w:hAnsiTheme="minorHAnsi" w:cstheme="minorHAnsi"/>
          <w:sz w:val="22"/>
          <w:szCs w:val="22"/>
        </w:rPr>
        <w:t xml:space="preserve"> and updated work instruction, as stated in point 2, below. </w:t>
      </w:r>
    </w:p>
    <w:p w:rsidR="003C1AC2" w:rsidRPr="00122901" w:rsidRDefault="003C1AC2" w:rsidP="003C1AC2">
      <w:pPr>
        <w:pStyle w:val="ListParagraph"/>
        <w:tabs>
          <w:tab w:val="left" w:pos="-720"/>
          <w:tab w:val="left" w:pos="0"/>
        </w:tabs>
        <w:suppressAutoHyphens/>
        <w:spacing w:line="276" w:lineRule="auto"/>
        <w:rPr>
          <w:rFonts w:asciiTheme="minorHAnsi" w:hAnsiTheme="minorHAnsi" w:cstheme="minorHAnsi"/>
          <w:sz w:val="22"/>
          <w:szCs w:val="22"/>
        </w:rPr>
      </w:pPr>
    </w:p>
    <w:p w:rsidR="003C1AC2" w:rsidRPr="00122901" w:rsidRDefault="00BB1541" w:rsidP="003C1AC2">
      <w:pPr>
        <w:pStyle w:val="ListParagraph"/>
        <w:numPr>
          <w:ilvl w:val="0"/>
          <w:numId w:val="24"/>
        </w:numPr>
        <w:tabs>
          <w:tab w:val="left" w:pos="-720"/>
          <w:tab w:val="left" w:pos="0"/>
        </w:tabs>
        <w:suppressAutoHyphens/>
        <w:spacing w:line="276" w:lineRule="auto"/>
        <w:rPr>
          <w:rFonts w:asciiTheme="minorHAnsi" w:hAnsiTheme="minorHAnsi" w:cstheme="minorHAnsi"/>
          <w:sz w:val="22"/>
          <w:szCs w:val="22"/>
        </w:rPr>
      </w:pPr>
      <w:r w:rsidRPr="00122901">
        <w:rPr>
          <w:rFonts w:asciiTheme="minorHAnsi" w:hAnsiTheme="minorHAnsi" w:cstheme="minorHAnsi"/>
          <w:sz w:val="22"/>
          <w:szCs w:val="22"/>
          <w:lang w:val="en-GB"/>
        </w:rPr>
        <w:t xml:space="preserve">Japanese inspection Document has been reviewed to assess the customer requirements.  This review has identified that the current controls within </w:t>
      </w:r>
      <w:r w:rsidR="001C79BF">
        <w:rPr>
          <w:rFonts w:asciiTheme="minorHAnsi" w:hAnsiTheme="minorHAnsi" w:cstheme="minorHAnsi"/>
          <w:sz w:val="22"/>
          <w:szCs w:val="22"/>
          <w:lang w:val="en-GB"/>
        </w:rPr>
        <w:t xml:space="preserve">our work instructions are </w:t>
      </w:r>
      <w:r w:rsidR="001C79BF" w:rsidRPr="00122901">
        <w:rPr>
          <w:rFonts w:asciiTheme="minorHAnsi" w:hAnsiTheme="minorHAnsi" w:cstheme="minorHAnsi"/>
          <w:sz w:val="22"/>
          <w:szCs w:val="22"/>
          <w:lang w:val="en-GB"/>
        </w:rPr>
        <w:t>inadequate</w:t>
      </w:r>
      <w:r w:rsidRPr="00122901">
        <w:rPr>
          <w:rFonts w:asciiTheme="minorHAnsi" w:hAnsiTheme="minorHAnsi" w:cstheme="minorHAnsi"/>
          <w:sz w:val="22"/>
          <w:szCs w:val="22"/>
          <w:lang w:val="en-GB"/>
        </w:rPr>
        <w:t xml:space="preserve"> in that the relevant sections within these documents do not provide guidance for the packing team. </w:t>
      </w:r>
    </w:p>
    <w:p w:rsidR="003C1AC2" w:rsidRPr="00122901" w:rsidRDefault="003C1AC2" w:rsidP="003C1AC2">
      <w:pPr>
        <w:pStyle w:val="ListParagraph"/>
        <w:rPr>
          <w:rFonts w:asciiTheme="minorHAnsi" w:hAnsiTheme="minorHAnsi" w:cstheme="minorHAnsi"/>
          <w:sz w:val="22"/>
          <w:szCs w:val="22"/>
          <w:lang w:val="en-GB"/>
        </w:rPr>
      </w:pPr>
    </w:p>
    <w:p w:rsidR="003C1AC2" w:rsidRPr="00122901" w:rsidRDefault="00122901" w:rsidP="003C1AC2">
      <w:pPr>
        <w:pStyle w:val="ListParagraph"/>
        <w:tabs>
          <w:tab w:val="left" w:pos="-720"/>
          <w:tab w:val="left" w:pos="0"/>
        </w:tabs>
        <w:suppressAutoHyphens/>
        <w:spacing w:line="276" w:lineRule="auto"/>
        <w:rPr>
          <w:rFonts w:asciiTheme="minorHAnsi" w:hAnsiTheme="minorHAnsi" w:cstheme="minorHAnsi"/>
          <w:sz w:val="22"/>
          <w:szCs w:val="22"/>
          <w:lang w:val="en-GB"/>
        </w:rPr>
      </w:pPr>
      <w:r>
        <w:rPr>
          <w:rFonts w:asciiTheme="minorHAnsi" w:hAnsiTheme="minorHAnsi" w:cstheme="minorHAnsi"/>
          <w:sz w:val="22"/>
          <w:szCs w:val="22"/>
          <w:lang w:val="en-GB"/>
        </w:rPr>
        <w:t>A new inspection criteria</w:t>
      </w:r>
      <w:r w:rsidR="00BB1541" w:rsidRPr="00122901">
        <w:rPr>
          <w:rFonts w:asciiTheme="minorHAnsi" w:hAnsiTheme="minorHAnsi" w:cstheme="minorHAnsi"/>
          <w:sz w:val="22"/>
          <w:szCs w:val="22"/>
          <w:lang w:val="en-GB"/>
        </w:rPr>
        <w:t xml:space="preserve"> ha</w:t>
      </w:r>
      <w:r w:rsidR="001C79BF">
        <w:rPr>
          <w:rFonts w:asciiTheme="minorHAnsi" w:hAnsiTheme="minorHAnsi" w:cstheme="minorHAnsi"/>
          <w:sz w:val="22"/>
          <w:szCs w:val="22"/>
          <w:lang w:val="en-GB"/>
        </w:rPr>
        <w:t>s been implemented under the VOA</w:t>
      </w:r>
      <w:r w:rsidR="00BB1541" w:rsidRPr="00122901">
        <w:rPr>
          <w:rFonts w:asciiTheme="minorHAnsi" w:hAnsiTheme="minorHAnsi" w:cstheme="minorHAnsi"/>
          <w:sz w:val="22"/>
          <w:szCs w:val="22"/>
          <w:lang w:val="en-GB"/>
        </w:rPr>
        <w:t xml:space="preserve"> P</w:t>
      </w:r>
      <w:r w:rsidR="001C79BF">
        <w:rPr>
          <w:rFonts w:asciiTheme="minorHAnsi" w:hAnsiTheme="minorHAnsi" w:cstheme="minorHAnsi"/>
          <w:sz w:val="22"/>
          <w:szCs w:val="22"/>
          <w:lang w:val="en-GB"/>
        </w:rPr>
        <w:t>acking Inspection Criteria, and referenced in work instructions.</w:t>
      </w:r>
    </w:p>
    <w:p w:rsidR="00122901" w:rsidRPr="00122901" w:rsidRDefault="00122901" w:rsidP="003C1AC2">
      <w:pPr>
        <w:pStyle w:val="ListParagraph"/>
        <w:tabs>
          <w:tab w:val="left" w:pos="-720"/>
          <w:tab w:val="left" w:pos="0"/>
        </w:tabs>
        <w:suppressAutoHyphens/>
        <w:spacing w:line="276" w:lineRule="auto"/>
        <w:rPr>
          <w:rFonts w:asciiTheme="minorHAnsi" w:hAnsiTheme="minorHAnsi" w:cstheme="minorHAnsi"/>
          <w:sz w:val="22"/>
          <w:szCs w:val="22"/>
          <w:lang w:val="en-GB"/>
        </w:rPr>
      </w:pPr>
    </w:p>
    <w:p w:rsidR="00BB1541" w:rsidRPr="00122901" w:rsidRDefault="001C79BF" w:rsidP="00122901">
      <w:pPr>
        <w:pStyle w:val="ListParagraph"/>
        <w:numPr>
          <w:ilvl w:val="0"/>
          <w:numId w:val="24"/>
        </w:numPr>
        <w:tabs>
          <w:tab w:val="left" w:pos="-720"/>
          <w:tab w:val="left" w:pos="0"/>
        </w:tabs>
        <w:suppressAutoHyphens/>
        <w:spacing w:line="276" w:lineRule="auto"/>
        <w:rPr>
          <w:rFonts w:asciiTheme="minorHAnsi" w:hAnsiTheme="minorHAnsi" w:cstheme="minorHAnsi"/>
          <w:sz w:val="22"/>
          <w:szCs w:val="22"/>
        </w:rPr>
      </w:pPr>
      <w:r>
        <w:rPr>
          <w:rFonts w:asciiTheme="minorHAnsi" w:hAnsiTheme="minorHAnsi" w:cstheme="minorHAnsi"/>
          <w:sz w:val="22"/>
          <w:szCs w:val="22"/>
        </w:rPr>
        <w:t>PFMEA00025 was</w:t>
      </w:r>
      <w:r w:rsidR="00BB1541" w:rsidRPr="00122901">
        <w:rPr>
          <w:rFonts w:asciiTheme="minorHAnsi" w:hAnsiTheme="minorHAnsi" w:cstheme="minorHAnsi"/>
          <w:sz w:val="22"/>
          <w:szCs w:val="22"/>
        </w:rPr>
        <w:t xml:space="preserve"> reviewed and n</w:t>
      </w:r>
      <w:r>
        <w:rPr>
          <w:rFonts w:asciiTheme="minorHAnsi" w:hAnsiTheme="minorHAnsi" w:cstheme="minorHAnsi"/>
          <w:sz w:val="22"/>
          <w:szCs w:val="22"/>
        </w:rPr>
        <w:t>o updates were</w:t>
      </w:r>
      <w:r w:rsidR="00BB1541" w:rsidRPr="00122901">
        <w:rPr>
          <w:rFonts w:asciiTheme="minorHAnsi" w:hAnsiTheme="minorHAnsi" w:cstheme="minorHAnsi"/>
          <w:sz w:val="22"/>
          <w:szCs w:val="22"/>
        </w:rPr>
        <w:t xml:space="preserve"> required.</w:t>
      </w:r>
    </w:p>
    <w:p w:rsidR="00C723E8" w:rsidRPr="00D40069" w:rsidRDefault="00C723E8" w:rsidP="00BE0CBA">
      <w:pPr>
        <w:tabs>
          <w:tab w:val="left" w:pos="-720"/>
          <w:tab w:val="left" w:pos="0"/>
        </w:tabs>
        <w:suppressAutoHyphens/>
        <w:spacing w:after="0" w:line="276" w:lineRule="auto"/>
        <w:rPr>
          <w:rFonts w:cstheme="minorHAnsi"/>
          <w:szCs w:val="20"/>
        </w:rPr>
      </w:pPr>
    </w:p>
    <w:p w:rsidR="00B530FB" w:rsidRPr="00D40069" w:rsidRDefault="00B530FB" w:rsidP="00B530FB">
      <w:pPr>
        <w:pStyle w:val="Heading2"/>
      </w:pPr>
      <w:bookmarkStart w:id="12" w:name="_Toc38554141"/>
      <w:r w:rsidRPr="00D40069">
        <w:t>Verification of Effectiveness Plan</w:t>
      </w:r>
      <w:bookmarkEnd w:id="12"/>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 xml:space="preserve"> </w:t>
      </w:r>
    </w:p>
    <w:p w:rsidR="00B530FB" w:rsidRPr="00C84B7F" w:rsidRDefault="00B530FB" w:rsidP="00B530FB">
      <w:pPr>
        <w:tabs>
          <w:tab w:val="left" w:pos="-720"/>
          <w:tab w:val="left" w:pos="0"/>
        </w:tabs>
        <w:suppressAutoHyphens/>
        <w:spacing w:after="0" w:line="276" w:lineRule="auto"/>
        <w:rPr>
          <w:rFonts w:cstheme="minorHAnsi"/>
          <w:b/>
          <w:szCs w:val="20"/>
        </w:rPr>
      </w:pPr>
      <w:r w:rsidRPr="00C84B7F">
        <w:rPr>
          <w:rFonts w:cstheme="minorHAnsi"/>
          <w:b/>
          <w:szCs w:val="20"/>
        </w:rPr>
        <w:t xml:space="preserve">Verification of the </w:t>
      </w:r>
      <w:r w:rsidR="00C84B7F" w:rsidRPr="00C84B7F">
        <w:rPr>
          <w:rFonts w:cstheme="minorHAnsi"/>
          <w:b/>
          <w:szCs w:val="20"/>
        </w:rPr>
        <w:t>VOA packaging Inspection Criteria</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 xml:space="preserve">Batches will be reviewed against the </w:t>
      </w:r>
      <w:r w:rsidR="00C84B7F">
        <w:rPr>
          <w:rFonts w:cstheme="minorHAnsi"/>
          <w:szCs w:val="20"/>
        </w:rPr>
        <w:t xml:space="preserve">new </w:t>
      </w:r>
      <w:r w:rsidRPr="00D40069">
        <w:rPr>
          <w:rFonts w:cstheme="minorHAnsi"/>
          <w:szCs w:val="20"/>
        </w:rPr>
        <w:t xml:space="preserve">acceptance criteria, the issue has been identified as a Low risk therefore based on the </w:t>
      </w:r>
      <w:r w:rsidR="00C84B7F">
        <w:rPr>
          <w:rFonts w:cstheme="minorHAnsi"/>
          <w:szCs w:val="20"/>
        </w:rPr>
        <w:t xml:space="preserve">sampling plan procedure </w:t>
      </w:r>
      <w:r w:rsidRPr="00D40069">
        <w:rPr>
          <w:rFonts w:cstheme="minorHAnsi"/>
          <w:szCs w:val="20"/>
        </w:rPr>
        <w:t xml:space="preserve">(Attribute Data), for a 90% </w:t>
      </w:r>
      <w:r w:rsidR="007159E8">
        <w:rPr>
          <w:rFonts w:cstheme="minorHAnsi"/>
          <w:szCs w:val="20"/>
        </w:rPr>
        <w:t>Confidence / 90% Reliability, 24</w:t>
      </w:r>
      <w:r w:rsidRPr="00D40069">
        <w:rPr>
          <w:rFonts w:cstheme="minorHAnsi"/>
          <w:szCs w:val="20"/>
        </w:rPr>
        <w:t xml:space="preserve"> sample</w:t>
      </w:r>
      <w:r w:rsidR="00C84B7F">
        <w:rPr>
          <w:rFonts w:cstheme="minorHAnsi"/>
          <w:szCs w:val="20"/>
        </w:rPr>
        <w:t>s will</w:t>
      </w:r>
      <w:r w:rsidRPr="00D40069">
        <w:rPr>
          <w:rFonts w:cstheme="minorHAnsi"/>
          <w:szCs w:val="20"/>
        </w:rPr>
        <w:t xml:space="preserve"> be taken at random with acceptance based on Zero defects, this will be checked across all 4 shifts.</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C84B7F" w:rsidRDefault="00B530FB" w:rsidP="00B530FB">
      <w:pPr>
        <w:tabs>
          <w:tab w:val="left" w:pos="-720"/>
          <w:tab w:val="left" w:pos="0"/>
        </w:tabs>
        <w:suppressAutoHyphens/>
        <w:spacing w:after="0" w:line="276" w:lineRule="auto"/>
        <w:rPr>
          <w:rFonts w:cstheme="minorHAnsi"/>
          <w:b/>
          <w:szCs w:val="20"/>
        </w:rPr>
      </w:pPr>
      <w:r w:rsidRPr="00C84B7F">
        <w:rPr>
          <w:rFonts w:cstheme="minorHAnsi"/>
          <w:b/>
          <w:szCs w:val="20"/>
        </w:rPr>
        <w:t>Instructions for VOE task owner.</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C84B7F" w:rsidRDefault="00B530FB" w:rsidP="00C84B7F">
      <w:pPr>
        <w:pStyle w:val="ListParagraph"/>
        <w:numPr>
          <w:ilvl w:val="0"/>
          <w:numId w:val="25"/>
        </w:numPr>
        <w:tabs>
          <w:tab w:val="left" w:pos="-720"/>
          <w:tab w:val="left" w:pos="0"/>
        </w:tabs>
        <w:suppressAutoHyphens/>
        <w:spacing w:line="276" w:lineRule="auto"/>
        <w:rPr>
          <w:rFonts w:asciiTheme="minorHAnsi" w:hAnsiTheme="minorHAnsi" w:cstheme="minorHAnsi"/>
          <w:sz w:val="22"/>
          <w:szCs w:val="22"/>
        </w:rPr>
      </w:pPr>
      <w:r w:rsidRPr="00C84B7F">
        <w:rPr>
          <w:rFonts w:asciiTheme="minorHAnsi" w:hAnsiTheme="minorHAnsi" w:cstheme="minorHAnsi"/>
          <w:sz w:val="22"/>
          <w:szCs w:val="22"/>
        </w:rPr>
        <w:t>Batches will be processed as normal through sterile packing.</w:t>
      </w:r>
    </w:p>
    <w:p w:rsidR="00B530FB" w:rsidRPr="00C84B7F" w:rsidRDefault="00B530FB" w:rsidP="00B530FB">
      <w:pPr>
        <w:tabs>
          <w:tab w:val="left" w:pos="-720"/>
          <w:tab w:val="left" w:pos="0"/>
        </w:tabs>
        <w:suppressAutoHyphens/>
        <w:spacing w:after="0" w:line="276" w:lineRule="auto"/>
        <w:rPr>
          <w:rFonts w:cstheme="minorHAnsi"/>
        </w:rPr>
      </w:pPr>
    </w:p>
    <w:p w:rsidR="00B530FB" w:rsidRPr="00C84B7F" w:rsidRDefault="00B530FB" w:rsidP="00C84B7F">
      <w:pPr>
        <w:pStyle w:val="ListParagraph"/>
        <w:numPr>
          <w:ilvl w:val="0"/>
          <w:numId w:val="25"/>
        </w:numPr>
        <w:tabs>
          <w:tab w:val="left" w:pos="-720"/>
          <w:tab w:val="left" w:pos="0"/>
        </w:tabs>
        <w:suppressAutoHyphens/>
        <w:spacing w:line="276" w:lineRule="auto"/>
        <w:rPr>
          <w:rFonts w:asciiTheme="minorHAnsi" w:hAnsiTheme="minorHAnsi" w:cstheme="minorHAnsi"/>
          <w:sz w:val="22"/>
          <w:szCs w:val="22"/>
        </w:rPr>
      </w:pPr>
      <w:r w:rsidRPr="00C84B7F">
        <w:rPr>
          <w:rFonts w:asciiTheme="minorHAnsi" w:hAnsiTheme="minorHAnsi" w:cstheme="minorHAnsi"/>
          <w:sz w:val="22"/>
          <w:szCs w:val="22"/>
        </w:rPr>
        <w:t>Review batches agains</w:t>
      </w:r>
      <w:r w:rsidR="009E4963">
        <w:rPr>
          <w:rFonts w:asciiTheme="minorHAnsi" w:hAnsiTheme="minorHAnsi" w:cstheme="minorHAnsi"/>
          <w:sz w:val="22"/>
          <w:szCs w:val="22"/>
        </w:rPr>
        <w:t>t VOA Packaging Inspection Criteria.</w:t>
      </w:r>
    </w:p>
    <w:p w:rsidR="00B530FB" w:rsidRPr="00C84B7F" w:rsidRDefault="00B530FB" w:rsidP="00B530FB">
      <w:pPr>
        <w:tabs>
          <w:tab w:val="left" w:pos="-720"/>
          <w:tab w:val="left" w:pos="0"/>
        </w:tabs>
        <w:suppressAutoHyphens/>
        <w:spacing w:after="0" w:line="276" w:lineRule="auto"/>
        <w:rPr>
          <w:rFonts w:cstheme="minorHAnsi"/>
        </w:rPr>
      </w:pPr>
    </w:p>
    <w:p w:rsidR="00B530FB" w:rsidRPr="00C84B7F" w:rsidRDefault="00B530FB" w:rsidP="00C84B7F">
      <w:pPr>
        <w:pStyle w:val="ListParagraph"/>
        <w:numPr>
          <w:ilvl w:val="0"/>
          <w:numId w:val="25"/>
        </w:numPr>
        <w:tabs>
          <w:tab w:val="left" w:pos="-720"/>
          <w:tab w:val="left" w:pos="0"/>
        </w:tabs>
        <w:suppressAutoHyphens/>
        <w:spacing w:line="276" w:lineRule="auto"/>
        <w:rPr>
          <w:rFonts w:cstheme="minorHAnsi"/>
          <w:szCs w:val="20"/>
        </w:rPr>
      </w:pPr>
      <w:r w:rsidRPr="00C84B7F">
        <w:rPr>
          <w:rFonts w:asciiTheme="minorHAnsi" w:hAnsiTheme="minorHAnsi" w:cstheme="minorHAnsi"/>
          <w:sz w:val="22"/>
          <w:szCs w:val="22"/>
        </w:rPr>
        <w:t>Document evidence</w:t>
      </w:r>
      <w:r w:rsidR="009E4963">
        <w:rPr>
          <w:rFonts w:asciiTheme="minorHAnsi" w:hAnsiTheme="minorHAnsi" w:cstheme="minorHAnsi"/>
          <w:sz w:val="22"/>
          <w:szCs w:val="22"/>
        </w:rPr>
        <w:t xml:space="preserve"> of findings e.g. Record the batch</w:t>
      </w:r>
      <w:r w:rsidRPr="00C84B7F">
        <w:rPr>
          <w:rFonts w:asciiTheme="minorHAnsi" w:hAnsiTheme="minorHAnsi" w:cstheme="minorHAnsi"/>
          <w:sz w:val="22"/>
          <w:szCs w:val="22"/>
        </w:rPr>
        <w:t xml:space="preserve"> numbers and reference the specific steps where operators have identified the defects stated with </w:t>
      </w:r>
      <w:r w:rsidR="009E4963">
        <w:rPr>
          <w:rFonts w:asciiTheme="minorHAnsi" w:hAnsiTheme="minorHAnsi" w:cstheme="minorHAnsi"/>
          <w:sz w:val="22"/>
          <w:szCs w:val="22"/>
        </w:rPr>
        <w:t>the VOA</w:t>
      </w:r>
      <w:r w:rsidRPr="00C84B7F">
        <w:rPr>
          <w:rFonts w:asciiTheme="minorHAnsi" w:hAnsiTheme="minorHAnsi" w:cstheme="minorHAnsi"/>
          <w:sz w:val="22"/>
          <w:szCs w:val="22"/>
        </w:rPr>
        <w:t xml:space="preserve"> and relevant quarantine hold tickets if required</w:t>
      </w:r>
      <w:r w:rsidRPr="00C84B7F">
        <w:rPr>
          <w:rFonts w:cstheme="minorHAnsi"/>
          <w:szCs w:val="20"/>
        </w:rPr>
        <w:t xml:space="preserve">. </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The above actions will satisfy the requirement to identify defects currently produced by our current supplier.</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D40069" w:rsidRDefault="00B530FB" w:rsidP="00B530FB">
      <w:pPr>
        <w:pStyle w:val="Heading2"/>
      </w:pPr>
      <w:bookmarkStart w:id="13" w:name="_Toc38554142"/>
      <w:r w:rsidRPr="00D40069">
        <w:lastRenderedPageBreak/>
        <w:t>Verification of Effectiveness Results</w:t>
      </w:r>
      <w:bookmarkEnd w:id="13"/>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 xml:space="preserve">24 batches (6 per shift) were inspected across the 4 by 3 experienced QA Technicians trained against </w:t>
      </w:r>
      <w:r w:rsidR="009E4963">
        <w:rPr>
          <w:rFonts w:cstheme="minorHAnsi"/>
          <w:szCs w:val="20"/>
        </w:rPr>
        <w:t>the VOA</w:t>
      </w:r>
      <w:r w:rsidRPr="00D40069">
        <w:rPr>
          <w:rFonts w:cstheme="minorHAnsi"/>
          <w:szCs w:val="20"/>
        </w:rPr>
        <w:t xml:space="preserve">. </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 xml:space="preserve">These batches were initially checked against the acceptance criteria by a packing operator within the Box and pack room and was conducted in line with </w:t>
      </w:r>
      <w:r w:rsidR="00B8561F">
        <w:rPr>
          <w:rFonts w:cstheme="minorHAnsi"/>
          <w:szCs w:val="20"/>
        </w:rPr>
        <w:t xml:space="preserve">the </w:t>
      </w:r>
      <w:r w:rsidRPr="00D40069">
        <w:rPr>
          <w:rFonts w:cstheme="minorHAnsi"/>
          <w:szCs w:val="20"/>
        </w:rPr>
        <w:t xml:space="preserve">work instruction </w:t>
      </w:r>
      <w:r w:rsidR="00B8561F">
        <w:rPr>
          <w:rFonts w:cstheme="minorHAnsi"/>
          <w:szCs w:val="20"/>
        </w:rPr>
        <w:t>and VOA</w:t>
      </w:r>
      <w:r w:rsidRPr="00D40069">
        <w:rPr>
          <w:rFonts w:cstheme="minorHAnsi"/>
          <w:szCs w:val="20"/>
        </w:rPr>
        <w:t xml:space="preserve">.  This was followed with an inspection by the QA Technician and any contamination found was confirmed against the specifications listed within </w:t>
      </w:r>
      <w:r w:rsidR="00B8561F">
        <w:rPr>
          <w:rFonts w:cstheme="minorHAnsi"/>
          <w:szCs w:val="20"/>
        </w:rPr>
        <w:t xml:space="preserve">the </w:t>
      </w:r>
      <w:r w:rsidRPr="00D40069">
        <w:rPr>
          <w:rFonts w:cstheme="minorHAnsi"/>
          <w:szCs w:val="20"/>
        </w:rPr>
        <w:t xml:space="preserve">VOA, where debris / inclusions were identified these were checked against a </w:t>
      </w:r>
      <w:proofErr w:type="spellStart"/>
      <w:r w:rsidRPr="00D40069">
        <w:rPr>
          <w:rFonts w:cstheme="minorHAnsi"/>
          <w:szCs w:val="20"/>
        </w:rPr>
        <w:t>Tappi</w:t>
      </w:r>
      <w:proofErr w:type="spellEnd"/>
      <w:r w:rsidRPr="00D40069">
        <w:rPr>
          <w:rFonts w:cstheme="minorHAnsi"/>
          <w:szCs w:val="20"/>
        </w:rPr>
        <w:t xml:space="preserve"> chart. </w:t>
      </w:r>
    </w:p>
    <w:p w:rsidR="00B530FB" w:rsidRPr="00D40069" w:rsidRDefault="00B530FB" w:rsidP="00B530FB">
      <w:pPr>
        <w:tabs>
          <w:tab w:val="left" w:pos="-720"/>
          <w:tab w:val="left" w:pos="0"/>
        </w:tabs>
        <w:suppressAutoHyphens/>
        <w:spacing w:after="0" w:line="276" w:lineRule="auto"/>
        <w:rPr>
          <w:rFonts w:cstheme="minorHAnsi"/>
          <w:szCs w:val="20"/>
        </w:rPr>
      </w:pPr>
    </w:p>
    <w:p w:rsidR="00BB1541"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This inspection process identified that debris / inclusions were present, however, this was identified by the packing operators and were confirmed to be within specification by the QA Technicians.</w:t>
      </w:r>
    </w:p>
    <w:p w:rsidR="00B7112F" w:rsidRPr="00D40069" w:rsidRDefault="00B7112F" w:rsidP="00B7112F">
      <w:pPr>
        <w:pStyle w:val="Heading1"/>
      </w:pPr>
      <w:bookmarkStart w:id="14" w:name="_Toc38554143"/>
      <w:r w:rsidRPr="00D40069">
        <w:t>Conclusion</w:t>
      </w:r>
      <w:bookmarkEnd w:id="14"/>
    </w:p>
    <w:p w:rsidR="00B530FB" w:rsidRPr="00D40069" w:rsidRDefault="00B530FB" w:rsidP="00B530FB">
      <w:pPr>
        <w:tabs>
          <w:tab w:val="left" w:pos="-720"/>
          <w:tab w:val="left" w:pos="0"/>
        </w:tabs>
        <w:suppressAutoHyphens/>
        <w:spacing w:after="0" w:line="276" w:lineRule="auto"/>
      </w:pPr>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From the results, it can be seen that the packing operators are identifying the debris within the blister when present and checking against the specifications.</w:t>
      </w:r>
    </w:p>
    <w:p w:rsidR="00B530FB" w:rsidRPr="00D40069" w:rsidRDefault="00B530FB" w:rsidP="00B530FB">
      <w:pPr>
        <w:tabs>
          <w:tab w:val="left" w:pos="-720"/>
          <w:tab w:val="left" w:pos="0"/>
        </w:tabs>
        <w:suppressAutoHyphens/>
        <w:spacing w:after="0" w:line="276" w:lineRule="auto"/>
        <w:rPr>
          <w:rFonts w:cstheme="minorHAnsi"/>
          <w:szCs w:val="20"/>
        </w:rPr>
      </w:pPr>
    </w:p>
    <w:p w:rsidR="00790AE4" w:rsidRPr="00D40069" w:rsidRDefault="00BD67B1" w:rsidP="00B530FB">
      <w:pPr>
        <w:tabs>
          <w:tab w:val="left" w:pos="-720"/>
          <w:tab w:val="left" w:pos="0"/>
        </w:tabs>
        <w:suppressAutoHyphens/>
        <w:spacing w:after="0" w:line="276" w:lineRule="auto"/>
        <w:rPr>
          <w:rFonts w:cstheme="minorHAnsi"/>
          <w:szCs w:val="20"/>
        </w:rPr>
      </w:pPr>
      <w:r w:rsidRPr="00D40069">
        <w:rPr>
          <w:rFonts w:cstheme="minorHAnsi"/>
          <w:szCs w:val="20"/>
        </w:rPr>
        <w:t>Therefore,</w:t>
      </w:r>
      <w:r w:rsidR="00B530FB" w:rsidRPr="00D40069">
        <w:rPr>
          <w:rFonts w:cstheme="minorHAnsi"/>
          <w:szCs w:val="20"/>
        </w:rPr>
        <w:t xml:space="preserve"> clarification and rollout of these specifications within the Box and Packing area can be deemed effective with no adverse effects anticipated and the CAPA can be considered closed.</w:t>
      </w:r>
    </w:p>
    <w:p w:rsidR="005C2E7F" w:rsidRPr="00D40069" w:rsidRDefault="005C2E7F" w:rsidP="00B7112F">
      <w:pPr>
        <w:keepNext/>
        <w:tabs>
          <w:tab w:val="left" w:pos="-720"/>
          <w:tab w:val="left" w:pos="0"/>
        </w:tabs>
        <w:suppressAutoHyphens/>
        <w:spacing w:after="0" w:line="276" w:lineRule="auto"/>
        <w:jc w:val="center"/>
        <w:rPr>
          <w:rFonts w:cstheme="minorHAnsi"/>
          <w:b/>
          <w:sz w:val="20"/>
          <w:szCs w:val="20"/>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C506D8">
      <w:pPr>
        <w:jc w:val="center"/>
        <w:rPr>
          <w:rFonts w:eastAsiaTheme="majorEastAsia" w:cstheme="majorBidi"/>
          <w:b/>
          <w:color w:val="000000" w:themeColor="text1"/>
          <w:sz w:val="144"/>
          <w:szCs w:val="32"/>
        </w:rPr>
      </w:pPr>
    </w:p>
    <w:p w:rsidR="00EA1DB0" w:rsidRPr="00D40069" w:rsidRDefault="00EA1DB0" w:rsidP="00B7112F">
      <w:pPr>
        <w:pStyle w:val="Heading1"/>
      </w:pPr>
    </w:p>
    <w:p w:rsidR="00B7112F" w:rsidRPr="00D40069" w:rsidRDefault="00B7112F" w:rsidP="00B7112F"/>
    <w:p w:rsidR="00B7112F" w:rsidRPr="00D40069" w:rsidRDefault="00B7112F" w:rsidP="00B7112F"/>
    <w:p w:rsidR="00B7112F" w:rsidRPr="00D40069" w:rsidRDefault="00B7112F" w:rsidP="00B7112F"/>
    <w:p w:rsidR="00B7112F" w:rsidRPr="00D40069" w:rsidRDefault="00B7112F" w:rsidP="00B7112F"/>
    <w:p w:rsidR="00B7112F" w:rsidRPr="00D40069" w:rsidRDefault="00B7112F" w:rsidP="00B7112F"/>
    <w:p w:rsidR="00C506D8" w:rsidRDefault="00C506D8" w:rsidP="00EA1DB0">
      <w:pPr>
        <w:pStyle w:val="Heading1"/>
        <w:jc w:val="center"/>
      </w:pPr>
      <w:bookmarkStart w:id="15" w:name="_Toc38554144"/>
      <w:r w:rsidRPr="00D40069">
        <w:t>APPENDIX A</w:t>
      </w:r>
      <w:bookmarkEnd w:id="15"/>
    </w:p>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r>
        <w:rPr>
          <w:noProof/>
          <w:lang w:eastAsia="en-GB"/>
        </w:rPr>
        <w:drawing>
          <wp:inline distT="0" distB="0" distL="0" distR="0" wp14:anchorId="7EDDE5D4" wp14:editId="71CB276A">
            <wp:extent cx="8378802" cy="5897466"/>
            <wp:effectExtent l="2222" t="0" r="6033" b="6032"/>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rot="16200000">
                      <a:off x="0" y="0"/>
                      <a:ext cx="8402117" cy="5913876"/>
                    </a:xfrm>
                    <a:prstGeom prst="rect">
                      <a:avLst/>
                    </a:prstGeom>
                  </pic:spPr>
                </pic:pic>
              </a:graphicData>
            </a:graphic>
          </wp:inline>
        </w:drawing>
      </w:r>
    </w:p>
    <w:p w:rsidR="00C33B16" w:rsidRDefault="00C33B16" w:rsidP="00C33B16">
      <w:r>
        <w:rPr>
          <w:noProof/>
          <w:lang w:eastAsia="en-GB"/>
        </w:rPr>
        <w:lastRenderedPageBreak/>
        <w:drawing>
          <wp:inline distT="0" distB="0" distL="0" distR="0" wp14:anchorId="1FEF3DDA" wp14:editId="25EA95A2">
            <wp:extent cx="8800345" cy="6135672"/>
            <wp:effectExtent l="0" t="127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rot="16200000">
                      <a:off x="0" y="0"/>
                      <a:ext cx="8828636" cy="6155396"/>
                    </a:xfrm>
                    <a:prstGeom prst="rect">
                      <a:avLst/>
                    </a:prstGeom>
                  </pic:spPr>
                </pic:pic>
              </a:graphicData>
            </a:graphic>
          </wp:inline>
        </w:drawing>
      </w:r>
    </w:p>
    <w:p w:rsidR="00C33B16" w:rsidRDefault="00C33B16" w:rsidP="00C33B16">
      <w:r>
        <w:rPr>
          <w:noProof/>
          <w:lang w:eastAsia="en-GB"/>
        </w:rPr>
        <w:lastRenderedPageBreak/>
        <w:drawing>
          <wp:inline distT="0" distB="0" distL="0" distR="0" wp14:anchorId="4D7300A5" wp14:editId="235241E4">
            <wp:extent cx="8803618" cy="6139904"/>
            <wp:effectExtent l="0" t="1905"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rot="16200000">
                      <a:off x="0" y="0"/>
                      <a:ext cx="8821568" cy="6152423"/>
                    </a:xfrm>
                    <a:prstGeom prst="rect">
                      <a:avLst/>
                    </a:prstGeom>
                  </pic:spPr>
                </pic:pic>
              </a:graphicData>
            </a:graphic>
          </wp:inline>
        </w:drawing>
      </w:r>
    </w:p>
    <w:p w:rsidR="00C33B16" w:rsidRDefault="00E14596" w:rsidP="00C33B16">
      <w:r>
        <w:rPr>
          <w:noProof/>
          <w:lang w:eastAsia="en-GB"/>
        </w:rPr>
        <w:lastRenderedPageBreak/>
        <w:drawing>
          <wp:inline distT="0" distB="0" distL="0" distR="0" wp14:anchorId="01E886D0" wp14:editId="50888F83">
            <wp:extent cx="5731510" cy="4055848"/>
            <wp:effectExtent l="0" t="318" r="2223" b="2222"/>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16200000">
                      <a:off x="0" y="0"/>
                      <a:ext cx="5731510" cy="4055848"/>
                    </a:xfrm>
                    <a:prstGeom prst="rect">
                      <a:avLst/>
                    </a:prstGeom>
                  </pic:spPr>
                </pic:pic>
              </a:graphicData>
            </a:graphic>
          </wp:inline>
        </w:drawing>
      </w:r>
    </w:p>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E14596" w:rsidRDefault="00E14596" w:rsidP="00C33B16"/>
    <w:p w:rsidR="00E14596" w:rsidRDefault="00E14596" w:rsidP="00C33B16"/>
    <w:p w:rsidR="00E14596" w:rsidRDefault="00E14596" w:rsidP="00C33B16"/>
    <w:p w:rsidR="00C33B16" w:rsidRDefault="00C33B16" w:rsidP="00C33B16"/>
    <w:p w:rsidR="00C33B16" w:rsidRDefault="00C33B16" w:rsidP="00E14596">
      <w:pPr>
        <w:pStyle w:val="Heading1"/>
        <w:jc w:val="center"/>
      </w:pPr>
      <w:bookmarkStart w:id="16" w:name="_Toc38554145"/>
      <w:r>
        <w:t>APPENDIX B</w:t>
      </w:r>
      <w:bookmarkEnd w:id="16"/>
    </w:p>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Pr="00C33B16" w:rsidRDefault="00C33B16" w:rsidP="00C33B16"/>
    <w:p w:rsidR="00C33B16" w:rsidRPr="00C33B16" w:rsidRDefault="00134FC3" w:rsidP="00C33B16">
      <w:r w:rsidRPr="00905FD8">
        <w:rPr>
          <w:noProof/>
          <w:lang w:eastAsia="en-GB"/>
        </w:rPr>
        <w:drawing>
          <wp:inline distT="0" distB="0" distL="0" distR="0" wp14:anchorId="0FF05D41" wp14:editId="13364C4D">
            <wp:extent cx="8516993" cy="5528010"/>
            <wp:effectExtent l="27622" t="10478" r="26353" b="26352"/>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8534972" cy="5539680"/>
                    </a:xfrm>
                    <a:prstGeom prst="rect">
                      <a:avLst/>
                    </a:prstGeom>
                    <a:noFill/>
                    <a:ln w="12700">
                      <a:solidFill>
                        <a:sysClr val="windowText" lastClr="000000"/>
                      </a:solidFill>
                    </a:ln>
                  </pic:spPr>
                </pic:pic>
              </a:graphicData>
            </a:graphic>
          </wp:inline>
        </w:drawing>
      </w:r>
    </w:p>
    <w:sectPr w:rsidR="00C33B16" w:rsidRPr="00C33B16">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463B" w:rsidRDefault="0001463B" w:rsidP="00F61490">
      <w:pPr>
        <w:spacing w:after="0" w:line="240" w:lineRule="auto"/>
      </w:pPr>
      <w:r>
        <w:separator/>
      </w:r>
    </w:p>
  </w:endnote>
  <w:endnote w:type="continuationSeparator" w:id="0">
    <w:p w:rsidR="0001463B" w:rsidRDefault="0001463B" w:rsidP="00F61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6529006"/>
      <w:docPartObj>
        <w:docPartGallery w:val="Page Numbers (Bottom of Page)"/>
        <w:docPartUnique/>
      </w:docPartObj>
    </w:sdtPr>
    <w:sdtEndPr/>
    <w:sdtContent>
      <w:sdt>
        <w:sdtPr>
          <w:id w:val="1728636285"/>
          <w:docPartObj>
            <w:docPartGallery w:val="Page Numbers (Top of Page)"/>
            <w:docPartUnique/>
          </w:docPartObj>
        </w:sdtPr>
        <w:sdtEndPr/>
        <w:sdtContent>
          <w:p w:rsidR="00122901" w:rsidRDefault="0012290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25D00">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25D00">
              <w:rPr>
                <w:b/>
                <w:bCs/>
                <w:noProof/>
              </w:rPr>
              <w:t>18</w:t>
            </w:r>
            <w:r>
              <w:rPr>
                <w:b/>
                <w:bCs/>
                <w:sz w:val="24"/>
                <w:szCs w:val="24"/>
              </w:rPr>
              <w:fldChar w:fldCharType="end"/>
            </w:r>
          </w:p>
        </w:sdtContent>
      </w:sdt>
    </w:sdtContent>
  </w:sdt>
  <w:p w:rsidR="00122901" w:rsidRDefault="00122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463B" w:rsidRDefault="0001463B" w:rsidP="00F61490">
      <w:pPr>
        <w:spacing w:after="0" w:line="240" w:lineRule="auto"/>
      </w:pPr>
      <w:r>
        <w:separator/>
      </w:r>
    </w:p>
  </w:footnote>
  <w:footnote w:type="continuationSeparator" w:id="0">
    <w:p w:rsidR="0001463B" w:rsidRDefault="0001463B" w:rsidP="00F614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2901" w:rsidRPr="0007538E" w:rsidRDefault="00122901" w:rsidP="005C567E">
    <w:pPr>
      <w:ind w:left="2880" w:hanging="2880"/>
      <w:jc w:val="center"/>
      <w:rPr>
        <w:rFonts w:eastAsia="Times New Roman" w:cstheme="minorHAnsi"/>
        <w:sz w:val="40"/>
        <w:szCs w:val="40"/>
        <w:lang w:val="en-AU" w:eastAsia="en-AU"/>
      </w:rPr>
    </w:pPr>
    <w:r w:rsidRPr="00260397">
      <w:t>Amy Evans</w:t>
    </w:r>
    <w:r w:rsidRPr="00260397">
      <w:tab/>
    </w:r>
    <w:r w:rsidR="005C567E">
      <w:tab/>
    </w:r>
    <w:r>
      <w:rPr>
        <w:rFonts w:eastAsia="Times New Roman" w:cstheme="minorHAnsi"/>
        <w:szCs w:val="40"/>
        <w:lang w:val="en-AU" w:eastAsia="en-AU"/>
      </w:rPr>
      <w:t>Sterile Packaging Complaints</w:t>
    </w:r>
    <w:r w:rsidR="005C567E">
      <w:rPr>
        <w:rFonts w:eastAsia="Times New Roman" w:cstheme="minorHAnsi"/>
        <w:szCs w:val="40"/>
        <w:lang w:val="en-AU" w:eastAsia="en-AU"/>
      </w:rPr>
      <w:t xml:space="preserve"> Root Cause Investigation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33E9"/>
    <w:multiLevelType w:val="hybridMultilevel"/>
    <w:tmpl w:val="CDFCDA3C"/>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11E7A60"/>
    <w:multiLevelType w:val="hybridMultilevel"/>
    <w:tmpl w:val="0E5C5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E368C"/>
    <w:multiLevelType w:val="hybridMultilevel"/>
    <w:tmpl w:val="84F4E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3078F"/>
    <w:multiLevelType w:val="hybridMultilevel"/>
    <w:tmpl w:val="63B81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C73156"/>
    <w:multiLevelType w:val="hybridMultilevel"/>
    <w:tmpl w:val="268A076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FA2319"/>
    <w:multiLevelType w:val="hybridMultilevel"/>
    <w:tmpl w:val="28802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0D7C51"/>
    <w:multiLevelType w:val="hybridMultilevel"/>
    <w:tmpl w:val="20827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916EF"/>
    <w:multiLevelType w:val="hybridMultilevel"/>
    <w:tmpl w:val="00506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E60BDC"/>
    <w:multiLevelType w:val="hybridMultilevel"/>
    <w:tmpl w:val="94F4B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553828"/>
    <w:multiLevelType w:val="hybridMultilevel"/>
    <w:tmpl w:val="D1207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C61466"/>
    <w:multiLevelType w:val="hybridMultilevel"/>
    <w:tmpl w:val="6F9E9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9C09C2"/>
    <w:multiLevelType w:val="hybridMultilevel"/>
    <w:tmpl w:val="D7EE63CC"/>
    <w:lvl w:ilvl="0" w:tplc="19A2E64C">
      <w:start w:val="1"/>
      <w:numFmt w:val="decimal"/>
      <w:pStyle w:val="Subtitle"/>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111AB0"/>
    <w:multiLevelType w:val="hybridMultilevel"/>
    <w:tmpl w:val="1FB23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4A35BA"/>
    <w:multiLevelType w:val="hybridMultilevel"/>
    <w:tmpl w:val="7F069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552120"/>
    <w:multiLevelType w:val="hybridMultilevel"/>
    <w:tmpl w:val="E9E6B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9E23D4"/>
    <w:multiLevelType w:val="hybridMultilevel"/>
    <w:tmpl w:val="4C7EF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B52B7B"/>
    <w:multiLevelType w:val="hybridMultilevel"/>
    <w:tmpl w:val="A37406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82695E"/>
    <w:multiLevelType w:val="hybridMultilevel"/>
    <w:tmpl w:val="348A1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654CDA"/>
    <w:multiLevelType w:val="hybridMultilevel"/>
    <w:tmpl w:val="374AA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BD08C4"/>
    <w:multiLevelType w:val="hybridMultilevel"/>
    <w:tmpl w:val="E292A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3D4C4F"/>
    <w:multiLevelType w:val="hybridMultilevel"/>
    <w:tmpl w:val="6D4EB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3A2702"/>
    <w:multiLevelType w:val="hybridMultilevel"/>
    <w:tmpl w:val="8574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8"/>
  </w:num>
  <w:num w:numId="3">
    <w:abstractNumId w:val="3"/>
  </w:num>
  <w:num w:numId="4">
    <w:abstractNumId w:val="21"/>
  </w:num>
  <w:num w:numId="5">
    <w:abstractNumId w:val="14"/>
  </w:num>
  <w:num w:numId="6">
    <w:abstractNumId w:val="20"/>
  </w:num>
  <w:num w:numId="7">
    <w:abstractNumId w:val="10"/>
  </w:num>
  <w:num w:numId="8">
    <w:abstractNumId w:val="19"/>
  </w:num>
  <w:num w:numId="9">
    <w:abstractNumId w:val="1"/>
  </w:num>
  <w:num w:numId="10">
    <w:abstractNumId w:val="9"/>
  </w:num>
  <w:num w:numId="11">
    <w:abstractNumId w:val="6"/>
  </w:num>
  <w:num w:numId="12">
    <w:abstractNumId w:val="15"/>
  </w:num>
  <w:num w:numId="13">
    <w:abstractNumId w:val="12"/>
  </w:num>
  <w:num w:numId="14">
    <w:abstractNumId w:val="13"/>
  </w:num>
  <w:num w:numId="15">
    <w:abstractNumId w:val="11"/>
  </w:num>
  <w:num w:numId="16">
    <w:abstractNumId w:val="16"/>
  </w:num>
  <w:num w:numId="17">
    <w:abstractNumId w:val="5"/>
  </w:num>
  <w:num w:numId="18">
    <w:abstractNumId w:val="11"/>
    <w:lvlOverride w:ilvl="0">
      <w:startOverride w:val="1"/>
    </w:lvlOverride>
  </w:num>
  <w:num w:numId="19">
    <w:abstractNumId w:val="0"/>
  </w:num>
  <w:num w:numId="20">
    <w:abstractNumId w:val="4"/>
  </w:num>
  <w:num w:numId="21">
    <w:abstractNumId w:val="11"/>
  </w:num>
  <w:num w:numId="22">
    <w:abstractNumId w:val="11"/>
    <w:lvlOverride w:ilvl="0">
      <w:startOverride w:val="1"/>
    </w:lvlOverride>
  </w:num>
  <w:num w:numId="23">
    <w:abstractNumId w:val="2"/>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DEE"/>
    <w:rsid w:val="0000013A"/>
    <w:rsid w:val="000007C3"/>
    <w:rsid w:val="00002BAB"/>
    <w:rsid w:val="0000331A"/>
    <w:rsid w:val="00007CD3"/>
    <w:rsid w:val="000124E8"/>
    <w:rsid w:val="000130C2"/>
    <w:rsid w:val="0001463B"/>
    <w:rsid w:val="00014807"/>
    <w:rsid w:val="00023F41"/>
    <w:rsid w:val="00024A31"/>
    <w:rsid w:val="00024C49"/>
    <w:rsid w:val="00026002"/>
    <w:rsid w:val="000341B2"/>
    <w:rsid w:val="000341DB"/>
    <w:rsid w:val="000371D0"/>
    <w:rsid w:val="000376D8"/>
    <w:rsid w:val="0004716F"/>
    <w:rsid w:val="0004781C"/>
    <w:rsid w:val="00050BF0"/>
    <w:rsid w:val="0005234A"/>
    <w:rsid w:val="0005376E"/>
    <w:rsid w:val="00054C9B"/>
    <w:rsid w:val="0005542E"/>
    <w:rsid w:val="00055ACC"/>
    <w:rsid w:val="00056995"/>
    <w:rsid w:val="00060321"/>
    <w:rsid w:val="00061B62"/>
    <w:rsid w:val="00061CF3"/>
    <w:rsid w:val="000646C7"/>
    <w:rsid w:val="00064E43"/>
    <w:rsid w:val="0006697C"/>
    <w:rsid w:val="0007247D"/>
    <w:rsid w:val="0007538E"/>
    <w:rsid w:val="000811D4"/>
    <w:rsid w:val="00083DE2"/>
    <w:rsid w:val="000841EC"/>
    <w:rsid w:val="000850F4"/>
    <w:rsid w:val="00085EE4"/>
    <w:rsid w:val="000861EF"/>
    <w:rsid w:val="000924D0"/>
    <w:rsid w:val="00094C81"/>
    <w:rsid w:val="00096E0B"/>
    <w:rsid w:val="00097E7B"/>
    <w:rsid w:val="000A06C8"/>
    <w:rsid w:val="000A1219"/>
    <w:rsid w:val="000A1E3D"/>
    <w:rsid w:val="000A607A"/>
    <w:rsid w:val="000B113A"/>
    <w:rsid w:val="000B1CE8"/>
    <w:rsid w:val="000B297F"/>
    <w:rsid w:val="000B3E36"/>
    <w:rsid w:val="000B46D3"/>
    <w:rsid w:val="000B4E5E"/>
    <w:rsid w:val="000C4920"/>
    <w:rsid w:val="000C663B"/>
    <w:rsid w:val="000C79D1"/>
    <w:rsid w:val="000D0854"/>
    <w:rsid w:val="000D0BCA"/>
    <w:rsid w:val="000D46DF"/>
    <w:rsid w:val="000E2375"/>
    <w:rsid w:val="000E38C1"/>
    <w:rsid w:val="000E58D1"/>
    <w:rsid w:val="000E5D2A"/>
    <w:rsid w:val="000E63CA"/>
    <w:rsid w:val="000E6D9C"/>
    <w:rsid w:val="000E749B"/>
    <w:rsid w:val="000E761B"/>
    <w:rsid w:val="000F00A9"/>
    <w:rsid w:val="000F0217"/>
    <w:rsid w:val="000F19F8"/>
    <w:rsid w:val="000F4206"/>
    <w:rsid w:val="000F6220"/>
    <w:rsid w:val="001016CA"/>
    <w:rsid w:val="00104243"/>
    <w:rsid w:val="00104582"/>
    <w:rsid w:val="0010781D"/>
    <w:rsid w:val="001172C8"/>
    <w:rsid w:val="00122901"/>
    <w:rsid w:val="00123D47"/>
    <w:rsid w:val="001258F3"/>
    <w:rsid w:val="00125A56"/>
    <w:rsid w:val="00126CE9"/>
    <w:rsid w:val="00131593"/>
    <w:rsid w:val="00134FC3"/>
    <w:rsid w:val="00135BF4"/>
    <w:rsid w:val="00136125"/>
    <w:rsid w:val="00140E70"/>
    <w:rsid w:val="001420AC"/>
    <w:rsid w:val="001436A2"/>
    <w:rsid w:val="001449DA"/>
    <w:rsid w:val="00146426"/>
    <w:rsid w:val="00151E65"/>
    <w:rsid w:val="00155252"/>
    <w:rsid w:val="00156BA6"/>
    <w:rsid w:val="0015700E"/>
    <w:rsid w:val="0015725C"/>
    <w:rsid w:val="00161ECF"/>
    <w:rsid w:val="00163991"/>
    <w:rsid w:val="00163A9A"/>
    <w:rsid w:val="00165EBF"/>
    <w:rsid w:val="00166FAD"/>
    <w:rsid w:val="00167053"/>
    <w:rsid w:val="001757F2"/>
    <w:rsid w:val="0017624F"/>
    <w:rsid w:val="00180E2D"/>
    <w:rsid w:val="00181CB7"/>
    <w:rsid w:val="001822CB"/>
    <w:rsid w:val="00183EA2"/>
    <w:rsid w:val="00184FD5"/>
    <w:rsid w:val="00186015"/>
    <w:rsid w:val="00190466"/>
    <w:rsid w:val="0019124A"/>
    <w:rsid w:val="00192278"/>
    <w:rsid w:val="00194884"/>
    <w:rsid w:val="00194978"/>
    <w:rsid w:val="00197FBD"/>
    <w:rsid w:val="001A2ABD"/>
    <w:rsid w:val="001A4715"/>
    <w:rsid w:val="001A515A"/>
    <w:rsid w:val="001B037A"/>
    <w:rsid w:val="001B1120"/>
    <w:rsid w:val="001B14B1"/>
    <w:rsid w:val="001B2FDC"/>
    <w:rsid w:val="001B48C3"/>
    <w:rsid w:val="001C1233"/>
    <w:rsid w:val="001C1270"/>
    <w:rsid w:val="001C6784"/>
    <w:rsid w:val="001C79BF"/>
    <w:rsid w:val="001C7B94"/>
    <w:rsid w:val="001D10D2"/>
    <w:rsid w:val="001D1112"/>
    <w:rsid w:val="001D4CD5"/>
    <w:rsid w:val="001D7109"/>
    <w:rsid w:val="001E0DEE"/>
    <w:rsid w:val="001E188E"/>
    <w:rsid w:val="001E43B1"/>
    <w:rsid w:val="001E62BD"/>
    <w:rsid w:val="001F0343"/>
    <w:rsid w:val="001F2D4E"/>
    <w:rsid w:val="001F4E7B"/>
    <w:rsid w:val="002003DA"/>
    <w:rsid w:val="0020506A"/>
    <w:rsid w:val="00205ECC"/>
    <w:rsid w:val="00210B57"/>
    <w:rsid w:val="00212CB5"/>
    <w:rsid w:val="00212D3B"/>
    <w:rsid w:val="0021660B"/>
    <w:rsid w:val="00223640"/>
    <w:rsid w:val="0022458A"/>
    <w:rsid w:val="00225921"/>
    <w:rsid w:val="00227A8B"/>
    <w:rsid w:val="00230DB9"/>
    <w:rsid w:val="002311FA"/>
    <w:rsid w:val="002357C4"/>
    <w:rsid w:val="0024090A"/>
    <w:rsid w:val="00242AD9"/>
    <w:rsid w:val="002443D7"/>
    <w:rsid w:val="002477A9"/>
    <w:rsid w:val="002479B5"/>
    <w:rsid w:val="002514D2"/>
    <w:rsid w:val="002543EE"/>
    <w:rsid w:val="00254904"/>
    <w:rsid w:val="00260397"/>
    <w:rsid w:val="00264155"/>
    <w:rsid w:val="0026483D"/>
    <w:rsid w:val="00270624"/>
    <w:rsid w:val="00270B61"/>
    <w:rsid w:val="00270E1C"/>
    <w:rsid w:val="00273120"/>
    <w:rsid w:val="00275B1B"/>
    <w:rsid w:val="002771B7"/>
    <w:rsid w:val="00282E7C"/>
    <w:rsid w:val="002946CC"/>
    <w:rsid w:val="002A149D"/>
    <w:rsid w:val="002A155F"/>
    <w:rsid w:val="002A2B77"/>
    <w:rsid w:val="002A3774"/>
    <w:rsid w:val="002A3A14"/>
    <w:rsid w:val="002A44DE"/>
    <w:rsid w:val="002B3194"/>
    <w:rsid w:val="002B5E29"/>
    <w:rsid w:val="002B76BE"/>
    <w:rsid w:val="002B7716"/>
    <w:rsid w:val="002C0EC0"/>
    <w:rsid w:val="002C2034"/>
    <w:rsid w:val="002D11BC"/>
    <w:rsid w:val="002D28B0"/>
    <w:rsid w:val="002D491F"/>
    <w:rsid w:val="002D4A34"/>
    <w:rsid w:val="002D6189"/>
    <w:rsid w:val="002D70A5"/>
    <w:rsid w:val="002D7B5E"/>
    <w:rsid w:val="002E2184"/>
    <w:rsid w:val="002E4027"/>
    <w:rsid w:val="002E4B29"/>
    <w:rsid w:val="002E4F74"/>
    <w:rsid w:val="002E725A"/>
    <w:rsid w:val="002F2AB8"/>
    <w:rsid w:val="002F3306"/>
    <w:rsid w:val="002F565D"/>
    <w:rsid w:val="002F772C"/>
    <w:rsid w:val="003004A7"/>
    <w:rsid w:val="00304042"/>
    <w:rsid w:val="00304876"/>
    <w:rsid w:val="00307383"/>
    <w:rsid w:val="003076F8"/>
    <w:rsid w:val="00311173"/>
    <w:rsid w:val="003141E1"/>
    <w:rsid w:val="003149B9"/>
    <w:rsid w:val="00315388"/>
    <w:rsid w:val="00316EDF"/>
    <w:rsid w:val="003176D7"/>
    <w:rsid w:val="0032047A"/>
    <w:rsid w:val="00322FFA"/>
    <w:rsid w:val="00326384"/>
    <w:rsid w:val="0033029D"/>
    <w:rsid w:val="00331875"/>
    <w:rsid w:val="00335EF5"/>
    <w:rsid w:val="003400A3"/>
    <w:rsid w:val="00343460"/>
    <w:rsid w:val="003509B0"/>
    <w:rsid w:val="00354F5B"/>
    <w:rsid w:val="00361F2B"/>
    <w:rsid w:val="00364510"/>
    <w:rsid w:val="00367168"/>
    <w:rsid w:val="00380429"/>
    <w:rsid w:val="003816AC"/>
    <w:rsid w:val="00385439"/>
    <w:rsid w:val="0038701B"/>
    <w:rsid w:val="0039260A"/>
    <w:rsid w:val="00392E22"/>
    <w:rsid w:val="00395C78"/>
    <w:rsid w:val="003960F4"/>
    <w:rsid w:val="00397BB4"/>
    <w:rsid w:val="003A2B44"/>
    <w:rsid w:val="003A41D4"/>
    <w:rsid w:val="003A7984"/>
    <w:rsid w:val="003B0FAF"/>
    <w:rsid w:val="003B1DD7"/>
    <w:rsid w:val="003B2829"/>
    <w:rsid w:val="003B47A8"/>
    <w:rsid w:val="003B62A1"/>
    <w:rsid w:val="003B6F4E"/>
    <w:rsid w:val="003C1AC2"/>
    <w:rsid w:val="003C203C"/>
    <w:rsid w:val="003C26F1"/>
    <w:rsid w:val="003C46F1"/>
    <w:rsid w:val="003D147D"/>
    <w:rsid w:val="003D2D1D"/>
    <w:rsid w:val="003D6DF8"/>
    <w:rsid w:val="003D77E1"/>
    <w:rsid w:val="003E00EB"/>
    <w:rsid w:val="003E0819"/>
    <w:rsid w:val="003E1537"/>
    <w:rsid w:val="003E1DEB"/>
    <w:rsid w:val="003E50AA"/>
    <w:rsid w:val="003E53FF"/>
    <w:rsid w:val="003F09C4"/>
    <w:rsid w:val="003F5F46"/>
    <w:rsid w:val="003F78F2"/>
    <w:rsid w:val="004034CD"/>
    <w:rsid w:val="00403DBF"/>
    <w:rsid w:val="00404D2E"/>
    <w:rsid w:val="00405539"/>
    <w:rsid w:val="00406B42"/>
    <w:rsid w:val="004100C7"/>
    <w:rsid w:val="00410A2A"/>
    <w:rsid w:val="00410E2D"/>
    <w:rsid w:val="00410E6E"/>
    <w:rsid w:val="0041162E"/>
    <w:rsid w:val="004131CA"/>
    <w:rsid w:val="00415B3A"/>
    <w:rsid w:val="00416A5B"/>
    <w:rsid w:val="00421539"/>
    <w:rsid w:val="00423BA7"/>
    <w:rsid w:val="004250E4"/>
    <w:rsid w:val="004262DB"/>
    <w:rsid w:val="00427238"/>
    <w:rsid w:val="00427C08"/>
    <w:rsid w:val="00427FBF"/>
    <w:rsid w:val="00430AB9"/>
    <w:rsid w:val="004349D5"/>
    <w:rsid w:val="00435602"/>
    <w:rsid w:val="00436AEB"/>
    <w:rsid w:val="00437377"/>
    <w:rsid w:val="00441511"/>
    <w:rsid w:val="00443780"/>
    <w:rsid w:val="004464CC"/>
    <w:rsid w:val="004466B4"/>
    <w:rsid w:val="00450E6E"/>
    <w:rsid w:val="00452D59"/>
    <w:rsid w:val="004559BF"/>
    <w:rsid w:val="0045600E"/>
    <w:rsid w:val="0045771F"/>
    <w:rsid w:val="00457DEE"/>
    <w:rsid w:val="0046175E"/>
    <w:rsid w:val="00461915"/>
    <w:rsid w:val="00463A9A"/>
    <w:rsid w:val="00466777"/>
    <w:rsid w:val="00466B8F"/>
    <w:rsid w:val="00467765"/>
    <w:rsid w:val="004707C8"/>
    <w:rsid w:val="00476E90"/>
    <w:rsid w:val="00482BD3"/>
    <w:rsid w:val="004851C7"/>
    <w:rsid w:val="00486E3B"/>
    <w:rsid w:val="004913A0"/>
    <w:rsid w:val="00493C95"/>
    <w:rsid w:val="00495A7D"/>
    <w:rsid w:val="004A1542"/>
    <w:rsid w:val="004A1C04"/>
    <w:rsid w:val="004A2600"/>
    <w:rsid w:val="004A3C5D"/>
    <w:rsid w:val="004A40AE"/>
    <w:rsid w:val="004A4C76"/>
    <w:rsid w:val="004A656F"/>
    <w:rsid w:val="004A7136"/>
    <w:rsid w:val="004B0E6B"/>
    <w:rsid w:val="004B1088"/>
    <w:rsid w:val="004B12BB"/>
    <w:rsid w:val="004B211D"/>
    <w:rsid w:val="004C1FCC"/>
    <w:rsid w:val="004C682B"/>
    <w:rsid w:val="004D0EB2"/>
    <w:rsid w:val="004D1AEB"/>
    <w:rsid w:val="004D2AB7"/>
    <w:rsid w:val="004E2AAD"/>
    <w:rsid w:val="004E6BFF"/>
    <w:rsid w:val="004F0D39"/>
    <w:rsid w:val="004F26A8"/>
    <w:rsid w:val="004F4887"/>
    <w:rsid w:val="004F4DB7"/>
    <w:rsid w:val="00500676"/>
    <w:rsid w:val="00505C51"/>
    <w:rsid w:val="00506454"/>
    <w:rsid w:val="005079C2"/>
    <w:rsid w:val="005079E9"/>
    <w:rsid w:val="00510CE6"/>
    <w:rsid w:val="005115EA"/>
    <w:rsid w:val="0051386F"/>
    <w:rsid w:val="00514AA6"/>
    <w:rsid w:val="005151FD"/>
    <w:rsid w:val="005169A4"/>
    <w:rsid w:val="00522131"/>
    <w:rsid w:val="00522865"/>
    <w:rsid w:val="00525D00"/>
    <w:rsid w:val="00526F99"/>
    <w:rsid w:val="00530360"/>
    <w:rsid w:val="0053056B"/>
    <w:rsid w:val="005305B0"/>
    <w:rsid w:val="00531BA3"/>
    <w:rsid w:val="00534109"/>
    <w:rsid w:val="005362AA"/>
    <w:rsid w:val="0054034B"/>
    <w:rsid w:val="005421AB"/>
    <w:rsid w:val="0054294B"/>
    <w:rsid w:val="00542A77"/>
    <w:rsid w:val="00543632"/>
    <w:rsid w:val="00543F6B"/>
    <w:rsid w:val="00545758"/>
    <w:rsid w:val="00551A6E"/>
    <w:rsid w:val="00552477"/>
    <w:rsid w:val="00552C6F"/>
    <w:rsid w:val="005539F6"/>
    <w:rsid w:val="00561C17"/>
    <w:rsid w:val="00561DBE"/>
    <w:rsid w:val="00562DB1"/>
    <w:rsid w:val="005636E0"/>
    <w:rsid w:val="00566191"/>
    <w:rsid w:val="005721B6"/>
    <w:rsid w:val="005744E6"/>
    <w:rsid w:val="005758DE"/>
    <w:rsid w:val="00576B44"/>
    <w:rsid w:val="005771A8"/>
    <w:rsid w:val="00577D90"/>
    <w:rsid w:val="00580057"/>
    <w:rsid w:val="00581A87"/>
    <w:rsid w:val="005855C5"/>
    <w:rsid w:val="00585637"/>
    <w:rsid w:val="00586228"/>
    <w:rsid w:val="005867BC"/>
    <w:rsid w:val="0059011C"/>
    <w:rsid w:val="005917E0"/>
    <w:rsid w:val="0059417A"/>
    <w:rsid w:val="0059592D"/>
    <w:rsid w:val="00596A32"/>
    <w:rsid w:val="005A2A47"/>
    <w:rsid w:val="005A4006"/>
    <w:rsid w:val="005B1F86"/>
    <w:rsid w:val="005B4169"/>
    <w:rsid w:val="005B6077"/>
    <w:rsid w:val="005C11F3"/>
    <w:rsid w:val="005C2E7F"/>
    <w:rsid w:val="005C34A7"/>
    <w:rsid w:val="005C567E"/>
    <w:rsid w:val="005C7011"/>
    <w:rsid w:val="005D2BF6"/>
    <w:rsid w:val="005D315A"/>
    <w:rsid w:val="005D3F21"/>
    <w:rsid w:val="005D711B"/>
    <w:rsid w:val="005D7341"/>
    <w:rsid w:val="005E287E"/>
    <w:rsid w:val="005E2AFF"/>
    <w:rsid w:val="005E30C1"/>
    <w:rsid w:val="005E3B00"/>
    <w:rsid w:val="005F1904"/>
    <w:rsid w:val="005F719F"/>
    <w:rsid w:val="006012A8"/>
    <w:rsid w:val="0060206C"/>
    <w:rsid w:val="00602E1E"/>
    <w:rsid w:val="00604E88"/>
    <w:rsid w:val="0061449E"/>
    <w:rsid w:val="0062380D"/>
    <w:rsid w:val="00626052"/>
    <w:rsid w:val="006262AC"/>
    <w:rsid w:val="00626A9C"/>
    <w:rsid w:val="006276EA"/>
    <w:rsid w:val="00630239"/>
    <w:rsid w:val="00630858"/>
    <w:rsid w:val="00630AE2"/>
    <w:rsid w:val="00630E05"/>
    <w:rsid w:val="00631071"/>
    <w:rsid w:val="00632EC5"/>
    <w:rsid w:val="00635A44"/>
    <w:rsid w:val="00637785"/>
    <w:rsid w:val="0064075D"/>
    <w:rsid w:val="0064156F"/>
    <w:rsid w:val="006432DD"/>
    <w:rsid w:val="00651DBE"/>
    <w:rsid w:val="0065279E"/>
    <w:rsid w:val="00652934"/>
    <w:rsid w:val="006529B4"/>
    <w:rsid w:val="006603BC"/>
    <w:rsid w:val="00660AC0"/>
    <w:rsid w:val="00660D0C"/>
    <w:rsid w:val="006620EF"/>
    <w:rsid w:val="00662D98"/>
    <w:rsid w:val="00663A59"/>
    <w:rsid w:val="0066574B"/>
    <w:rsid w:val="006667A6"/>
    <w:rsid w:val="00666951"/>
    <w:rsid w:val="0066732B"/>
    <w:rsid w:val="0066775A"/>
    <w:rsid w:val="006679E9"/>
    <w:rsid w:val="00667B98"/>
    <w:rsid w:val="00670784"/>
    <w:rsid w:val="00673F82"/>
    <w:rsid w:val="00675D2E"/>
    <w:rsid w:val="0067696A"/>
    <w:rsid w:val="00682322"/>
    <w:rsid w:val="00682395"/>
    <w:rsid w:val="00683891"/>
    <w:rsid w:val="006842B6"/>
    <w:rsid w:val="00684FDE"/>
    <w:rsid w:val="00686A45"/>
    <w:rsid w:val="00686C14"/>
    <w:rsid w:val="00687764"/>
    <w:rsid w:val="0069059B"/>
    <w:rsid w:val="0069078D"/>
    <w:rsid w:val="00690B78"/>
    <w:rsid w:val="00691606"/>
    <w:rsid w:val="00695EC8"/>
    <w:rsid w:val="006A0291"/>
    <w:rsid w:val="006A0980"/>
    <w:rsid w:val="006A1F72"/>
    <w:rsid w:val="006A3FE4"/>
    <w:rsid w:val="006A4BEF"/>
    <w:rsid w:val="006A55A9"/>
    <w:rsid w:val="006A7DB4"/>
    <w:rsid w:val="006B12C6"/>
    <w:rsid w:val="006B453F"/>
    <w:rsid w:val="006B7E85"/>
    <w:rsid w:val="006C053B"/>
    <w:rsid w:val="006C078B"/>
    <w:rsid w:val="006C19D3"/>
    <w:rsid w:val="006C224A"/>
    <w:rsid w:val="006C2A6C"/>
    <w:rsid w:val="006C448B"/>
    <w:rsid w:val="006C5F26"/>
    <w:rsid w:val="006D1DFE"/>
    <w:rsid w:val="006D3D7B"/>
    <w:rsid w:val="006D4DF4"/>
    <w:rsid w:val="006D5802"/>
    <w:rsid w:val="006D6FBD"/>
    <w:rsid w:val="006E32AB"/>
    <w:rsid w:val="006E4FC9"/>
    <w:rsid w:val="006F50C2"/>
    <w:rsid w:val="006F5E8B"/>
    <w:rsid w:val="006F7425"/>
    <w:rsid w:val="006F7AF6"/>
    <w:rsid w:val="00700059"/>
    <w:rsid w:val="007002ED"/>
    <w:rsid w:val="00700D58"/>
    <w:rsid w:val="00702AD0"/>
    <w:rsid w:val="00702AEB"/>
    <w:rsid w:val="00710AAE"/>
    <w:rsid w:val="007159E8"/>
    <w:rsid w:val="00715C20"/>
    <w:rsid w:val="00717A45"/>
    <w:rsid w:val="00720517"/>
    <w:rsid w:val="00720BB6"/>
    <w:rsid w:val="00722253"/>
    <w:rsid w:val="00724577"/>
    <w:rsid w:val="00726974"/>
    <w:rsid w:val="007276E9"/>
    <w:rsid w:val="00730868"/>
    <w:rsid w:val="007316C0"/>
    <w:rsid w:val="00732A11"/>
    <w:rsid w:val="0073324B"/>
    <w:rsid w:val="0073460D"/>
    <w:rsid w:val="0073475E"/>
    <w:rsid w:val="00734C3A"/>
    <w:rsid w:val="00735388"/>
    <w:rsid w:val="00735CD2"/>
    <w:rsid w:val="00737048"/>
    <w:rsid w:val="0074017C"/>
    <w:rsid w:val="0074041A"/>
    <w:rsid w:val="00741718"/>
    <w:rsid w:val="00741AAF"/>
    <w:rsid w:val="00743289"/>
    <w:rsid w:val="00744D46"/>
    <w:rsid w:val="00744F9C"/>
    <w:rsid w:val="00747DCD"/>
    <w:rsid w:val="007505DA"/>
    <w:rsid w:val="00751003"/>
    <w:rsid w:val="00751067"/>
    <w:rsid w:val="00751071"/>
    <w:rsid w:val="0075332E"/>
    <w:rsid w:val="0076024F"/>
    <w:rsid w:val="007618FD"/>
    <w:rsid w:val="007628AD"/>
    <w:rsid w:val="007644C4"/>
    <w:rsid w:val="00764EF3"/>
    <w:rsid w:val="00765AA1"/>
    <w:rsid w:val="007662F4"/>
    <w:rsid w:val="00772176"/>
    <w:rsid w:val="0077399C"/>
    <w:rsid w:val="00773AD7"/>
    <w:rsid w:val="007815BA"/>
    <w:rsid w:val="00781DB9"/>
    <w:rsid w:val="007820F6"/>
    <w:rsid w:val="00782583"/>
    <w:rsid w:val="00783CC1"/>
    <w:rsid w:val="00784D8F"/>
    <w:rsid w:val="007857C7"/>
    <w:rsid w:val="00787817"/>
    <w:rsid w:val="00787FED"/>
    <w:rsid w:val="00790AE4"/>
    <w:rsid w:val="00791F34"/>
    <w:rsid w:val="00795171"/>
    <w:rsid w:val="0079539C"/>
    <w:rsid w:val="00795C1A"/>
    <w:rsid w:val="00796D6F"/>
    <w:rsid w:val="007A164F"/>
    <w:rsid w:val="007A2054"/>
    <w:rsid w:val="007A258E"/>
    <w:rsid w:val="007A2A45"/>
    <w:rsid w:val="007A6614"/>
    <w:rsid w:val="007B16E3"/>
    <w:rsid w:val="007B20C0"/>
    <w:rsid w:val="007B2908"/>
    <w:rsid w:val="007B41E8"/>
    <w:rsid w:val="007B4914"/>
    <w:rsid w:val="007B5D46"/>
    <w:rsid w:val="007B6828"/>
    <w:rsid w:val="007C3A64"/>
    <w:rsid w:val="007C5944"/>
    <w:rsid w:val="007C63A0"/>
    <w:rsid w:val="007D39D3"/>
    <w:rsid w:val="007D581F"/>
    <w:rsid w:val="007D60A7"/>
    <w:rsid w:val="007D6F16"/>
    <w:rsid w:val="007E14AB"/>
    <w:rsid w:val="007E5BBA"/>
    <w:rsid w:val="007E5C99"/>
    <w:rsid w:val="007F14E7"/>
    <w:rsid w:val="007F1BAA"/>
    <w:rsid w:val="007F22DA"/>
    <w:rsid w:val="007F5E6F"/>
    <w:rsid w:val="00803C97"/>
    <w:rsid w:val="0080517C"/>
    <w:rsid w:val="008076CA"/>
    <w:rsid w:val="0081457E"/>
    <w:rsid w:val="00821F54"/>
    <w:rsid w:val="0082258E"/>
    <w:rsid w:val="008231C1"/>
    <w:rsid w:val="00824142"/>
    <w:rsid w:val="00824BA7"/>
    <w:rsid w:val="00826BF5"/>
    <w:rsid w:val="00827FFA"/>
    <w:rsid w:val="0083257C"/>
    <w:rsid w:val="008343C7"/>
    <w:rsid w:val="00834715"/>
    <w:rsid w:val="0083606E"/>
    <w:rsid w:val="00840180"/>
    <w:rsid w:val="00840401"/>
    <w:rsid w:val="008407A9"/>
    <w:rsid w:val="00841636"/>
    <w:rsid w:val="00843150"/>
    <w:rsid w:val="00844759"/>
    <w:rsid w:val="008467A5"/>
    <w:rsid w:val="008471BA"/>
    <w:rsid w:val="00852B5C"/>
    <w:rsid w:val="00852E4A"/>
    <w:rsid w:val="008537A4"/>
    <w:rsid w:val="00870AD7"/>
    <w:rsid w:val="008756DC"/>
    <w:rsid w:val="00876B58"/>
    <w:rsid w:val="0087723F"/>
    <w:rsid w:val="00877EC2"/>
    <w:rsid w:val="00880523"/>
    <w:rsid w:val="00881162"/>
    <w:rsid w:val="00885395"/>
    <w:rsid w:val="00885714"/>
    <w:rsid w:val="00885D46"/>
    <w:rsid w:val="008861D1"/>
    <w:rsid w:val="008877EA"/>
    <w:rsid w:val="008A54CB"/>
    <w:rsid w:val="008A761F"/>
    <w:rsid w:val="008A795D"/>
    <w:rsid w:val="008B0410"/>
    <w:rsid w:val="008B0D3C"/>
    <w:rsid w:val="008B368E"/>
    <w:rsid w:val="008B3F7B"/>
    <w:rsid w:val="008B6724"/>
    <w:rsid w:val="008B697C"/>
    <w:rsid w:val="008C0A9F"/>
    <w:rsid w:val="008C38E8"/>
    <w:rsid w:val="008C5DEA"/>
    <w:rsid w:val="008C704D"/>
    <w:rsid w:val="008C79E6"/>
    <w:rsid w:val="008C7FA3"/>
    <w:rsid w:val="008D0C75"/>
    <w:rsid w:val="008D2AD4"/>
    <w:rsid w:val="008D4C0C"/>
    <w:rsid w:val="008D4D5C"/>
    <w:rsid w:val="008D6924"/>
    <w:rsid w:val="008D6A00"/>
    <w:rsid w:val="008D7814"/>
    <w:rsid w:val="008E109C"/>
    <w:rsid w:val="008E1E38"/>
    <w:rsid w:val="008E5FC7"/>
    <w:rsid w:val="008F122B"/>
    <w:rsid w:val="008F6B6A"/>
    <w:rsid w:val="009011A4"/>
    <w:rsid w:val="0090313D"/>
    <w:rsid w:val="0090392F"/>
    <w:rsid w:val="009139AB"/>
    <w:rsid w:val="009150EF"/>
    <w:rsid w:val="00920343"/>
    <w:rsid w:val="009206CA"/>
    <w:rsid w:val="00921949"/>
    <w:rsid w:val="00923C60"/>
    <w:rsid w:val="009244B3"/>
    <w:rsid w:val="00930875"/>
    <w:rsid w:val="00934468"/>
    <w:rsid w:val="00934DAC"/>
    <w:rsid w:val="009355DF"/>
    <w:rsid w:val="0093606B"/>
    <w:rsid w:val="00937563"/>
    <w:rsid w:val="00941480"/>
    <w:rsid w:val="0094153D"/>
    <w:rsid w:val="00942FF4"/>
    <w:rsid w:val="00943764"/>
    <w:rsid w:val="00943F2E"/>
    <w:rsid w:val="00947180"/>
    <w:rsid w:val="009507BB"/>
    <w:rsid w:val="00952BB2"/>
    <w:rsid w:val="00955EB0"/>
    <w:rsid w:val="00956EE8"/>
    <w:rsid w:val="00957B14"/>
    <w:rsid w:val="00957F7E"/>
    <w:rsid w:val="0096156C"/>
    <w:rsid w:val="00962712"/>
    <w:rsid w:val="00962F6D"/>
    <w:rsid w:val="00972046"/>
    <w:rsid w:val="009725B8"/>
    <w:rsid w:val="00974F66"/>
    <w:rsid w:val="009814B7"/>
    <w:rsid w:val="00983A29"/>
    <w:rsid w:val="0098400E"/>
    <w:rsid w:val="0098452A"/>
    <w:rsid w:val="00985BB3"/>
    <w:rsid w:val="009914D6"/>
    <w:rsid w:val="009917DE"/>
    <w:rsid w:val="009A68B2"/>
    <w:rsid w:val="009A73A4"/>
    <w:rsid w:val="009A7590"/>
    <w:rsid w:val="009B056D"/>
    <w:rsid w:val="009B143B"/>
    <w:rsid w:val="009B1602"/>
    <w:rsid w:val="009B56FF"/>
    <w:rsid w:val="009C0687"/>
    <w:rsid w:val="009C1004"/>
    <w:rsid w:val="009C4083"/>
    <w:rsid w:val="009D006C"/>
    <w:rsid w:val="009D170E"/>
    <w:rsid w:val="009D2D66"/>
    <w:rsid w:val="009D463C"/>
    <w:rsid w:val="009D72B0"/>
    <w:rsid w:val="009E0B49"/>
    <w:rsid w:val="009E4963"/>
    <w:rsid w:val="009E4A69"/>
    <w:rsid w:val="009E5BD5"/>
    <w:rsid w:val="009E7F36"/>
    <w:rsid w:val="009F0A7C"/>
    <w:rsid w:val="009F1887"/>
    <w:rsid w:val="009F4086"/>
    <w:rsid w:val="009F4643"/>
    <w:rsid w:val="009F5968"/>
    <w:rsid w:val="009F5D17"/>
    <w:rsid w:val="009F6465"/>
    <w:rsid w:val="009F70CF"/>
    <w:rsid w:val="009F7A98"/>
    <w:rsid w:val="00A020D4"/>
    <w:rsid w:val="00A02944"/>
    <w:rsid w:val="00A03092"/>
    <w:rsid w:val="00A05C43"/>
    <w:rsid w:val="00A05D0C"/>
    <w:rsid w:val="00A05E13"/>
    <w:rsid w:val="00A06CB8"/>
    <w:rsid w:val="00A1003F"/>
    <w:rsid w:val="00A134E8"/>
    <w:rsid w:val="00A13925"/>
    <w:rsid w:val="00A14481"/>
    <w:rsid w:val="00A14E48"/>
    <w:rsid w:val="00A2014B"/>
    <w:rsid w:val="00A224F4"/>
    <w:rsid w:val="00A2411A"/>
    <w:rsid w:val="00A24285"/>
    <w:rsid w:val="00A24D54"/>
    <w:rsid w:val="00A2507D"/>
    <w:rsid w:val="00A2619C"/>
    <w:rsid w:val="00A26AE4"/>
    <w:rsid w:val="00A36CDF"/>
    <w:rsid w:val="00A427D1"/>
    <w:rsid w:val="00A4323E"/>
    <w:rsid w:val="00A524D4"/>
    <w:rsid w:val="00A63032"/>
    <w:rsid w:val="00A64805"/>
    <w:rsid w:val="00A71D6F"/>
    <w:rsid w:val="00A759B2"/>
    <w:rsid w:val="00A762A0"/>
    <w:rsid w:val="00A77F7E"/>
    <w:rsid w:val="00A803A0"/>
    <w:rsid w:val="00A825D5"/>
    <w:rsid w:val="00A82E6C"/>
    <w:rsid w:val="00A82EFB"/>
    <w:rsid w:val="00A82F92"/>
    <w:rsid w:val="00A8430B"/>
    <w:rsid w:val="00A849D3"/>
    <w:rsid w:val="00A84E91"/>
    <w:rsid w:val="00A85C2F"/>
    <w:rsid w:val="00A85DD1"/>
    <w:rsid w:val="00A91441"/>
    <w:rsid w:val="00A91A30"/>
    <w:rsid w:val="00A93F21"/>
    <w:rsid w:val="00A94AC9"/>
    <w:rsid w:val="00A97277"/>
    <w:rsid w:val="00A9774B"/>
    <w:rsid w:val="00AA0112"/>
    <w:rsid w:val="00AA0CA4"/>
    <w:rsid w:val="00AA1AC2"/>
    <w:rsid w:val="00AA4AE5"/>
    <w:rsid w:val="00AA7A3E"/>
    <w:rsid w:val="00AB0E56"/>
    <w:rsid w:val="00AB18F7"/>
    <w:rsid w:val="00AB36B2"/>
    <w:rsid w:val="00AB4A5B"/>
    <w:rsid w:val="00AC5E94"/>
    <w:rsid w:val="00AD1ED8"/>
    <w:rsid w:val="00AD3E11"/>
    <w:rsid w:val="00AD4B60"/>
    <w:rsid w:val="00AD754B"/>
    <w:rsid w:val="00AE1D43"/>
    <w:rsid w:val="00AE2006"/>
    <w:rsid w:val="00AE41B3"/>
    <w:rsid w:val="00AE5295"/>
    <w:rsid w:val="00AF6433"/>
    <w:rsid w:val="00B00BAA"/>
    <w:rsid w:val="00B049C4"/>
    <w:rsid w:val="00B04C07"/>
    <w:rsid w:val="00B10055"/>
    <w:rsid w:val="00B15E30"/>
    <w:rsid w:val="00B174DE"/>
    <w:rsid w:val="00B20C2A"/>
    <w:rsid w:val="00B22946"/>
    <w:rsid w:val="00B25BA1"/>
    <w:rsid w:val="00B27150"/>
    <w:rsid w:val="00B27CD2"/>
    <w:rsid w:val="00B30EE9"/>
    <w:rsid w:val="00B311FA"/>
    <w:rsid w:val="00B34994"/>
    <w:rsid w:val="00B3555F"/>
    <w:rsid w:val="00B40B2B"/>
    <w:rsid w:val="00B40E8E"/>
    <w:rsid w:val="00B42EC2"/>
    <w:rsid w:val="00B45C79"/>
    <w:rsid w:val="00B474CC"/>
    <w:rsid w:val="00B51C2A"/>
    <w:rsid w:val="00B530FB"/>
    <w:rsid w:val="00B53DAE"/>
    <w:rsid w:val="00B55619"/>
    <w:rsid w:val="00B63BC8"/>
    <w:rsid w:val="00B66884"/>
    <w:rsid w:val="00B707AF"/>
    <w:rsid w:val="00B7112F"/>
    <w:rsid w:val="00B712AA"/>
    <w:rsid w:val="00B71CB4"/>
    <w:rsid w:val="00B71DDB"/>
    <w:rsid w:val="00B74D9D"/>
    <w:rsid w:val="00B752E8"/>
    <w:rsid w:val="00B75672"/>
    <w:rsid w:val="00B77051"/>
    <w:rsid w:val="00B77AB0"/>
    <w:rsid w:val="00B77B54"/>
    <w:rsid w:val="00B81767"/>
    <w:rsid w:val="00B83354"/>
    <w:rsid w:val="00B83817"/>
    <w:rsid w:val="00B8488B"/>
    <w:rsid w:val="00B85019"/>
    <w:rsid w:val="00B85404"/>
    <w:rsid w:val="00B8561F"/>
    <w:rsid w:val="00B86054"/>
    <w:rsid w:val="00B91231"/>
    <w:rsid w:val="00B92B6F"/>
    <w:rsid w:val="00B95EEB"/>
    <w:rsid w:val="00B977BC"/>
    <w:rsid w:val="00BA0520"/>
    <w:rsid w:val="00BA3A96"/>
    <w:rsid w:val="00BB1541"/>
    <w:rsid w:val="00BB3E39"/>
    <w:rsid w:val="00BB793F"/>
    <w:rsid w:val="00BC3CFB"/>
    <w:rsid w:val="00BC4D78"/>
    <w:rsid w:val="00BC5792"/>
    <w:rsid w:val="00BC6C0E"/>
    <w:rsid w:val="00BD1F90"/>
    <w:rsid w:val="00BD41ED"/>
    <w:rsid w:val="00BD67B1"/>
    <w:rsid w:val="00BE0899"/>
    <w:rsid w:val="00BE0B7E"/>
    <w:rsid w:val="00BE0CBA"/>
    <w:rsid w:val="00BE1F5B"/>
    <w:rsid w:val="00BE2759"/>
    <w:rsid w:val="00BE3840"/>
    <w:rsid w:val="00BE3FD4"/>
    <w:rsid w:val="00BE4FD1"/>
    <w:rsid w:val="00BF073A"/>
    <w:rsid w:val="00BF32D2"/>
    <w:rsid w:val="00BF606A"/>
    <w:rsid w:val="00BF797C"/>
    <w:rsid w:val="00C017D5"/>
    <w:rsid w:val="00C022AA"/>
    <w:rsid w:val="00C03D15"/>
    <w:rsid w:val="00C0533D"/>
    <w:rsid w:val="00C07B29"/>
    <w:rsid w:val="00C07B5C"/>
    <w:rsid w:val="00C15182"/>
    <w:rsid w:val="00C174E7"/>
    <w:rsid w:val="00C209B3"/>
    <w:rsid w:val="00C23342"/>
    <w:rsid w:val="00C25075"/>
    <w:rsid w:val="00C250EA"/>
    <w:rsid w:val="00C30746"/>
    <w:rsid w:val="00C32570"/>
    <w:rsid w:val="00C33B16"/>
    <w:rsid w:val="00C35F36"/>
    <w:rsid w:val="00C368B2"/>
    <w:rsid w:val="00C37B00"/>
    <w:rsid w:val="00C40988"/>
    <w:rsid w:val="00C40A06"/>
    <w:rsid w:val="00C419B1"/>
    <w:rsid w:val="00C41C8C"/>
    <w:rsid w:val="00C41DAC"/>
    <w:rsid w:val="00C4737B"/>
    <w:rsid w:val="00C500AC"/>
    <w:rsid w:val="00C506D8"/>
    <w:rsid w:val="00C50B51"/>
    <w:rsid w:val="00C538E9"/>
    <w:rsid w:val="00C57709"/>
    <w:rsid w:val="00C623A4"/>
    <w:rsid w:val="00C63A9C"/>
    <w:rsid w:val="00C63CB7"/>
    <w:rsid w:val="00C65C46"/>
    <w:rsid w:val="00C670AD"/>
    <w:rsid w:val="00C723E8"/>
    <w:rsid w:val="00C73692"/>
    <w:rsid w:val="00C767F2"/>
    <w:rsid w:val="00C77E58"/>
    <w:rsid w:val="00C8353D"/>
    <w:rsid w:val="00C84B7F"/>
    <w:rsid w:val="00C8521F"/>
    <w:rsid w:val="00C859F4"/>
    <w:rsid w:val="00C85C36"/>
    <w:rsid w:val="00C870D7"/>
    <w:rsid w:val="00C87E0E"/>
    <w:rsid w:val="00C9178E"/>
    <w:rsid w:val="00C9266E"/>
    <w:rsid w:val="00C932A2"/>
    <w:rsid w:val="00C93A77"/>
    <w:rsid w:val="00C95B4F"/>
    <w:rsid w:val="00C962EC"/>
    <w:rsid w:val="00CA4339"/>
    <w:rsid w:val="00CA49D4"/>
    <w:rsid w:val="00CA6F94"/>
    <w:rsid w:val="00CA73B8"/>
    <w:rsid w:val="00CB1D78"/>
    <w:rsid w:val="00CB2391"/>
    <w:rsid w:val="00CB3137"/>
    <w:rsid w:val="00CB3276"/>
    <w:rsid w:val="00CB4202"/>
    <w:rsid w:val="00CB5209"/>
    <w:rsid w:val="00CB604D"/>
    <w:rsid w:val="00CC18FA"/>
    <w:rsid w:val="00CC1E3D"/>
    <w:rsid w:val="00CC7283"/>
    <w:rsid w:val="00CC7E25"/>
    <w:rsid w:val="00CD2EC1"/>
    <w:rsid w:val="00CD7216"/>
    <w:rsid w:val="00CE1783"/>
    <w:rsid w:val="00CE1EF1"/>
    <w:rsid w:val="00CE430D"/>
    <w:rsid w:val="00CE5AF1"/>
    <w:rsid w:val="00CF36F1"/>
    <w:rsid w:val="00CF501C"/>
    <w:rsid w:val="00CF65C2"/>
    <w:rsid w:val="00D00DD7"/>
    <w:rsid w:val="00D0231D"/>
    <w:rsid w:val="00D033DB"/>
    <w:rsid w:val="00D039DF"/>
    <w:rsid w:val="00D0455D"/>
    <w:rsid w:val="00D05156"/>
    <w:rsid w:val="00D1180F"/>
    <w:rsid w:val="00D126CE"/>
    <w:rsid w:val="00D1279C"/>
    <w:rsid w:val="00D1329A"/>
    <w:rsid w:val="00D14558"/>
    <w:rsid w:val="00D145BC"/>
    <w:rsid w:val="00D1522E"/>
    <w:rsid w:val="00D156BA"/>
    <w:rsid w:val="00D15AE2"/>
    <w:rsid w:val="00D22D88"/>
    <w:rsid w:val="00D24741"/>
    <w:rsid w:val="00D27E3B"/>
    <w:rsid w:val="00D32249"/>
    <w:rsid w:val="00D33141"/>
    <w:rsid w:val="00D33754"/>
    <w:rsid w:val="00D353DF"/>
    <w:rsid w:val="00D36A1F"/>
    <w:rsid w:val="00D372FD"/>
    <w:rsid w:val="00D37744"/>
    <w:rsid w:val="00D40069"/>
    <w:rsid w:val="00D40502"/>
    <w:rsid w:val="00D43301"/>
    <w:rsid w:val="00D46BF4"/>
    <w:rsid w:val="00D473E9"/>
    <w:rsid w:val="00D500E3"/>
    <w:rsid w:val="00D5206C"/>
    <w:rsid w:val="00D52EAB"/>
    <w:rsid w:val="00D538AD"/>
    <w:rsid w:val="00D539DB"/>
    <w:rsid w:val="00D56FAB"/>
    <w:rsid w:val="00D573E6"/>
    <w:rsid w:val="00D57F01"/>
    <w:rsid w:val="00D603CD"/>
    <w:rsid w:val="00D61CE6"/>
    <w:rsid w:val="00D62992"/>
    <w:rsid w:val="00D6403B"/>
    <w:rsid w:val="00D704CB"/>
    <w:rsid w:val="00D71EC4"/>
    <w:rsid w:val="00D7288D"/>
    <w:rsid w:val="00D76581"/>
    <w:rsid w:val="00D76DED"/>
    <w:rsid w:val="00D8145F"/>
    <w:rsid w:val="00D82435"/>
    <w:rsid w:val="00D904D4"/>
    <w:rsid w:val="00D924BE"/>
    <w:rsid w:val="00D93A16"/>
    <w:rsid w:val="00D94B44"/>
    <w:rsid w:val="00D94CBE"/>
    <w:rsid w:val="00DA0A04"/>
    <w:rsid w:val="00DA124D"/>
    <w:rsid w:val="00DA267A"/>
    <w:rsid w:val="00DA4021"/>
    <w:rsid w:val="00DA434E"/>
    <w:rsid w:val="00DA4415"/>
    <w:rsid w:val="00DA5334"/>
    <w:rsid w:val="00DB0914"/>
    <w:rsid w:val="00DB098D"/>
    <w:rsid w:val="00DB0B70"/>
    <w:rsid w:val="00DB182F"/>
    <w:rsid w:val="00DB2A47"/>
    <w:rsid w:val="00DB37AD"/>
    <w:rsid w:val="00DB43AF"/>
    <w:rsid w:val="00DB468D"/>
    <w:rsid w:val="00DB49F1"/>
    <w:rsid w:val="00DB4CB0"/>
    <w:rsid w:val="00DB5E4B"/>
    <w:rsid w:val="00DC0376"/>
    <w:rsid w:val="00DC061D"/>
    <w:rsid w:val="00DC19B5"/>
    <w:rsid w:val="00DC2FBF"/>
    <w:rsid w:val="00DC488D"/>
    <w:rsid w:val="00DC4AB2"/>
    <w:rsid w:val="00DC523A"/>
    <w:rsid w:val="00DC5519"/>
    <w:rsid w:val="00DC5633"/>
    <w:rsid w:val="00DD2565"/>
    <w:rsid w:val="00DD258B"/>
    <w:rsid w:val="00DD2EE1"/>
    <w:rsid w:val="00DD5188"/>
    <w:rsid w:val="00DD6123"/>
    <w:rsid w:val="00DD656A"/>
    <w:rsid w:val="00DD7D27"/>
    <w:rsid w:val="00DF2542"/>
    <w:rsid w:val="00DF2BA9"/>
    <w:rsid w:val="00DF358A"/>
    <w:rsid w:val="00E04FF8"/>
    <w:rsid w:val="00E05C44"/>
    <w:rsid w:val="00E06A11"/>
    <w:rsid w:val="00E07CB3"/>
    <w:rsid w:val="00E07DB9"/>
    <w:rsid w:val="00E10086"/>
    <w:rsid w:val="00E11C33"/>
    <w:rsid w:val="00E12765"/>
    <w:rsid w:val="00E12A05"/>
    <w:rsid w:val="00E14596"/>
    <w:rsid w:val="00E155FA"/>
    <w:rsid w:val="00E168D7"/>
    <w:rsid w:val="00E206AC"/>
    <w:rsid w:val="00E21E58"/>
    <w:rsid w:val="00E22C84"/>
    <w:rsid w:val="00E24031"/>
    <w:rsid w:val="00E2468B"/>
    <w:rsid w:val="00E26A23"/>
    <w:rsid w:val="00E26E92"/>
    <w:rsid w:val="00E30CB5"/>
    <w:rsid w:val="00E32304"/>
    <w:rsid w:val="00E33D3B"/>
    <w:rsid w:val="00E357F6"/>
    <w:rsid w:val="00E41A87"/>
    <w:rsid w:val="00E43852"/>
    <w:rsid w:val="00E44DB6"/>
    <w:rsid w:val="00E478E5"/>
    <w:rsid w:val="00E52C0D"/>
    <w:rsid w:val="00E52EBC"/>
    <w:rsid w:val="00E5304C"/>
    <w:rsid w:val="00E54AFD"/>
    <w:rsid w:val="00E60460"/>
    <w:rsid w:val="00E61A24"/>
    <w:rsid w:val="00E63E1E"/>
    <w:rsid w:val="00E64FA2"/>
    <w:rsid w:val="00E713D4"/>
    <w:rsid w:val="00E71DAC"/>
    <w:rsid w:val="00E7468C"/>
    <w:rsid w:val="00E76B18"/>
    <w:rsid w:val="00E7737F"/>
    <w:rsid w:val="00E81585"/>
    <w:rsid w:val="00E8518F"/>
    <w:rsid w:val="00E85E90"/>
    <w:rsid w:val="00E87005"/>
    <w:rsid w:val="00E87A93"/>
    <w:rsid w:val="00E939B6"/>
    <w:rsid w:val="00E940EA"/>
    <w:rsid w:val="00E963AA"/>
    <w:rsid w:val="00EA1A8F"/>
    <w:rsid w:val="00EA1DB0"/>
    <w:rsid w:val="00EA2A9F"/>
    <w:rsid w:val="00EA4DC1"/>
    <w:rsid w:val="00EA5714"/>
    <w:rsid w:val="00EA5904"/>
    <w:rsid w:val="00EA6416"/>
    <w:rsid w:val="00EA78B7"/>
    <w:rsid w:val="00EB3EC5"/>
    <w:rsid w:val="00EB71C5"/>
    <w:rsid w:val="00EC0671"/>
    <w:rsid w:val="00EC4238"/>
    <w:rsid w:val="00EC4EAB"/>
    <w:rsid w:val="00EC694F"/>
    <w:rsid w:val="00EC7E6E"/>
    <w:rsid w:val="00ED3511"/>
    <w:rsid w:val="00ED494A"/>
    <w:rsid w:val="00ED56AF"/>
    <w:rsid w:val="00ED659A"/>
    <w:rsid w:val="00ED6CC5"/>
    <w:rsid w:val="00EE199A"/>
    <w:rsid w:val="00EE58C3"/>
    <w:rsid w:val="00EE603C"/>
    <w:rsid w:val="00EF08A6"/>
    <w:rsid w:val="00EF1907"/>
    <w:rsid w:val="00EF1EA0"/>
    <w:rsid w:val="00EF2DCF"/>
    <w:rsid w:val="00EF34D2"/>
    <w:rsid w:val="00EF3602"/>
    <w:rsid w:val="00EF3ED6"/>
    <w:rsid w:val="00EF4EFB"/>
    <w:rsid w:val="00EF5670"/>
    <w:rsid w:val="00EF7678"/>
    <w:rsid w:val="00F04D87"/>
    <w:rsid w:val="00F10DDD"/>
    <w:rsid w:val="00F11582"/>
    <w:rsid w:val="00F117CD"/>
    <w:rsid w:val="00F11DBE"/>
    <w:rsid w:val="00F12698"/>
    <w:rsid w:val="00F15555"/>
    <w:rsid w:val="00F15EAD"/>
    <w:rsid w:val="00F16561"/>
    <w:rsid w:val="00F2220B"/>
    <w:rsid w:val="00F231FB"/>
    <w:rsid w:val="00F24B1A"/>
    <w:rsid w:val="00F253B0"/>
    <w:rsid w:val="00F255D1"/>
    <w:rsid w:val="00F30FF3"/>
    <w:rsid w:val="00F31C29"/>
    <w:rsid w:val="00F33A25"/>
    <w:rsid w:val="00F33AF7"/>
    <w:rsid w:val="00F341DE"/>
    <w:rsid w:val="00F3674B"/>
    <w:rsid w:val="00F37C2E"/>
    <w:rsid w:val="00F40CB3"/>
    <w:rsid w:val="00F419EC"/>
    <w:rsid w:val="00F41EC7"/>
    <w:rsid w:val="00F42299"/>
    <w:rsid w:val="00F43E01"/>
    <w:rsid w:val="00F44D88"/>
    <w:rsid w:val="00F45A94"/>
    <w:rsid w:val="00F46677"/>
    <w:rsid w:val="00F542C7"/>
    <w:rsid w:val="00F5441D"/>
    <w:rsid w:val="00F55948"/>
    <w:rsid w:val="00F603FC"/>
    <w:rsid w:val="00F61490"/>
    <w:rsid w:val="00F62C99"/>
    <w:rsid w:val="00F631C0"/>
    <w:rsid w:val="00F643D8"/>
    <w:rsid w:val="00F66ADF"/>
    <w:rsid w:val="00F71520"/>
    <w:rsid w:val="00F71FC3"/>
    <w:rsid w:val="00F75E20"/>
    <w:rsid w:val="00F77BA7"/>
    <w:rsid w:val="00F80D3B"/>
    <w:rsid w:val="00F81395"/>
    <w:rsid w:val="00F81BB4"/>
    <w:rsid w:val="00F84530"/>
    <w:rsid w:val="00F86296"/>
    <w:rsid w:val="00F9003B"/>
    <w:rsid w:val="00F9130F"/>
    <w:rsid w:val="00F96923"/>
    <w:rsid w:val="00F974A9"/>
    <w:rsid w:val="00FA3E6C"/>
    <w:rsid w:val="00FA6083"/>
    <w:rsid w:val="00FB5AFD"/>
    <w:rsid w:val="00FB651D"/>
    <w:rsid w:val="00FB755C"/>
    <w:rsid w:val="00FB7B66"/>
    <w:rsid w:val="00FC006F"/>
    <w:rsid w:val="00FC387E"/>
    <w:rsid w:val="00FC55B1"/>
    <w:rsid w:val="00FD16A1"/>
    <w:rsid w:val="00FD2281"/>
    <w:rsid w:val="00FD2990"/>
    <w:rsid w:val="00FD33F1"/>
    <w:rsid w:val="00FD5328"/>
    <w:rsid w:val="00FD65F5"/>
    <w:rsid w:val="00FE0CA3"/>
    <w:rsid w:val="00FE1239"/>
    <w:rsid w:val="00FE1E75"/>
    <w:rsid w:val="00FE317A"/>
    <w:rsid w:val="00FE6F71"/>
    <w:rsid w:val="00FF13D0"/>
    <w:rsid w:val="00FF6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4F964A"/>
  <w15:chartTrackingRefBased/>
  <w15:docId w15:val="{868D1322-9592-4C76-98E1-DDBFE7B54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2304"/>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E32304"/>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23A"/>
    <w:pPr>
      <w:spacing w:after="0" w:line="240" w:lineRule="auto"/>
      <w:ind w:left="720"/>
      <w:contextualSpacing/>
    </w:pPr>
    <w:rPr>
      <w:rFonts w:ascii="Arial" w:eastAsia="Times New Roman" w:hAnsi="Arial" w:cs="Times New Roman"/>
      <w:sz w:val="20"/>
      <w:szCs w:val="24"/>
      <w:lang w:val="en-US"/>
    </w:rPr>
  </w:style>
  <w:style w:type="character" w:customStyle="1" w:styleId="Heading1Char">
    <w:name w:val="Heading 1 Char"/>
    <w:basedOn w:val="DefaultParagraphFont"/>
    <w:link w:val="Heading1"/>
    <w:uiPriority w:val="9"/>
    <w:rsid w:val="00E32304"/>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E32304"/>
    <w:rPr>
      <w:rFonts w:eastAsiaTheme="majorEastAsia" w:cstheme="majorBidi"/>
      <w:b/>
      <w:sz w:val="28"/>
      <w:szCs w:val="26"/>
    </w:rPr>
  </w:style>
  <w:style w:type="paragraph" w:styleId="Subtitle">
    <w:name w:val="Subtitle"/>
    <w:basedOn w:val="ListParagraph"/>
    <w:next w:val="Normal"/>
    <w:link w:val="SubtitleChar"/>
    <w:uiPriority w:val="11"/>
    <w:qFormat/>
    <w:rsid w:val="002D6189"/>
    <w:pPr>
      <w:numPr>
        <w:numId w:val="21"/>
      </w:numPr>
      <w:tabs>
        <w:tab w:val="left" w:pos="-720"/>
        <w:tab w:val="left" w:pos="0"/>
      </w:tabs>
      <w:suppressAutoHyphens/>
      <w:spacing w:line="276" w:lineRule="auto"/>
    </w:pPr>
    <w:rPr>
      <w:rFonts w:asciiTheme="minorHAnsi" w:hAnsiTheme="minorHAnsi" w:cstheme="minorHAnsi"/>
      <w:b/>
      <w:sz w:val="22"/>
      <w:szCs w:val="22"/>
      <w:lang w:val="en-GB"/>
    </w:rPr>
  </w:style>
  <w:style w:type="character" w:customStyle="1" w:styleId="SubtitleChar">
    <w:name w:val="Subtitle Char"/>
    <w:basedOn w:val="DefaultParagraphFont"/>
    <w:link w:val="Subtitle"/>
    <w:uiPriority w:val="11"/>
    <w:rsid w:val="002D6189"/>
    <w:rPr>
      <w:rFonts w:eastAsia="Times New Roman" w:cstheme="minorHAnsi"/>
      <w:b/>
    </w:rPr>
  </w:style>
  <w:style w:type="paragraph" w:styleId="TOCHeading">
    <w:name w:val="TOC Heading"/>
    <w:basedOn w:val="Heading1"/>
    <w:next w:val="Normal"/>
    <w:uiPriority w:val="39"/>
    <w:unhideWhenUsed/>
    <w:qFormat/>
    <w:rsid w:val="00E155FA"/>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155FA"/>
    <w:pPr>
      <w:spacing w:after="100"/>
    </w:pPr>
  </w:style>
  <w:style w:type="paragraph" w:styleId="TOC2">
    <w:name w:val="toc 2"/>
    <w:basedOn w:val="Normal"/>
    <w:next w:val="Normal"/>
    <w:autoRedefine/>
    <w:uiPriority w:val="39"/>
    <w:unhideWhenUsed/>
    <w:rsid w:val="00E155FA"/>
    <w:pPr>
      <w:spacing w:after="100"/>
      <w:ind w:left="220"/>
    </w:pPr>
  </w:style>
  <w:style w:type="character" w:styleId="Hyperlink">
    <w:name w:val="Hyperlink"/>
    <w:basedOn w:val="DefaultParagraphFont"/>
    <w:uiPriority w:val="99"/>
    <w:unhideWhenUsed/>
    <w:rsid w:val="00E155FA"/>
    <w:rPr>
      <w:color w:val="0563C1" w:themeColor="hyperlink"/>
      <w:u w:val="single"/>
    </w:rPr>
  </w:style>
  <w:style w:type="paragraph" w:styleId="Bibliography">
    <w:name w:val="Bibliography"/>
    <w:basedOn w:val="Normal"/>
    <w:next w:val="Normal"/>
    <w:uiPriority w:val="37"/>
    <w:unhideWhenUsed/>
    <w:rsid w:val="00840180"/>
  </w:style>
  <w:style w:type="paragraph" w:styleId="FootnoteText">
    <w:name w:val="footnote text"/>
    <w:basedOn w:val="Normal"/>
    <w:link w:val="FootnoteTextChar"/>
    <w:uiPriority w:val="99"/>
    <w:semiHidden/>
    <w:unhideWhenUsed/>
    <w:rsid w:val="00F614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1490"/>
    <w:rPr>
      <w:sz w:val="20"/>
      <w:szCs w:val="20"/>
    </w:rPr>
  </w:style>
  <w:style w:type="character" w:styleId="FootnoteReference">
    <w:name w:val="footnote reference"/>
    <w:basedOn w:val="DefaultParagraphFont"/>
    <w:uiPriority w:val="99"/>
    <w:semiHidden/>
    <w:unhideWhenUsed/>
    <w:rsid w:val="00F61490"/>
    <w:rPr>
      <w:vertAlign w:val="superscript"/>
    </w:rPr>
  </w:style>
  <w:style w:type="paragraph" w:styleId="Caption">
    <w:name w:val="caption"/>
    <w:basedOn w:val="Normal"/>
    <w:next w:val="Normal"/>
    <w:uiPriority w:val="35"/>
    <w:unhideWhenUsed/>
    <w:qFormat/>
    <w:rsid w:val="0044378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E3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0C1"/>
  </w:style>
  <w:style w:type="paragraph" w:styleId="Footer">
    <w:name w:val="footer"/>
    <w:basedOn w:val="Normal"/>
    <w:link w:val="FooterChar"/>
    <w:uiPriority w:val="99"/>
    <w:unhideWhenUsed/>
    <w:rsid w:val="005E3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0C1"/>
  </w:style>
  <w:style w:type="table" w:styleId="TableGrid">
    <w:name w:val="Table Grid"/>
    <w:basedOn w:val="TableNormal"/>
    <w:uiPriority w:val="39"/>
    <w:rsid w:val="00350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3B282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507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Emphasis">
    <w:name w:val="Subtle Emphasis"/>
    <w:uiPriority w:val="19"/>
    <w:qFormat/>
    <w:rsid w:val="002D6189"/>
    <w:rPr>
      <w:rFonts w:asciiTheme="minorHAnsi" w:hAnsiTheme="minorHAnsi" w:cstheme="minorHAnsi"/>
      <w:sz w:val="22"/>
      <w:szCs w:val="22"/>
      <w:lang w:val="en-GB"/>
    </w:rPr>
  </w:style>
  <w:style w:type="paragraph" w:styleId="BalloonText">
    <w:name w:val="Balloon Text"/>
    <w:basedOn w:val="Normal"/>
    <w:link w:val="BalloonTextChar"/>
    <w:uiPriority w:val="99"/>
    <w:semiHidden/>
    <w:unhideWhenUsed/>
    <w:rsid w:val="005C56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6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80366">
      <w:bodyDiv w:val="1"/>
      <w:marLeft w:val="0"/>
      <w:marRight w:val="0"/>
      <w:marTop w:val="0"/>
      <w:marBottom w:val="0"/>
      <w:divBdr>
        <w:top w:val="none" w:sz="0" w:space="0" w:color="auto"/>
        <w:left w:val="none" w:sz="0" w:space="0" w:color="auto"/>
        <w:bottom w:val="none" w:sz="0" w:space="0" w:color="auto"/>
        <w:right w:val="none" w:sz="0" w:space="0" w:color="auto"/>
      </w:divBdr>
    </w:div>
    <w:div w:id="219245532">
      <w:bodyDiv w:val="1"/>
      <w:marLeft w:val="0"/>
      <w:marRight w:val="0"/>
      <w:marTop w:val="0"/>
      <w:marBottom w:val="0"/>
      <w:divBdr>
        <w:top w:val="none" w:sz="0" w:space="0" w:color="auto"/>
        <w:left w:val="none" w:sz="0" w:space="0" w:color="auto"/>
        <w:bottom w:val="none" w:sz="0" w:space="0" w:color="auto"/>
        <w:right w:val="none" w:sz="0" w:space="0" w:color="auto"/>
      </w:divBdr>
    </w:div>
    <w:div w:id="325717063">
      <w:bodyDiv w:val="1"/>
      <w:marLeft w:val="0"/>
      <w:marRight w:val="0"/>
      <w:marTop w:val="0"/>
      <w:marBottom w:val="0"/>
      <w:divBdr>
        <w:top w:val="none" w:sz="0" w:space="0" w:color="auto"/>
        <w:left w:val="none" w:sz="0" w:space="0" w:color="auto"/>
        <w:bottom w:val="none" w:sz="0" w:space="0" w:color="auto"/>
        <w:right w:val="none" w:sz="0" w:space="0" w:color="auto"/>
      </w:divBdr>
    </w:div>
    <w:div w:id="330762157">
      <w:bodyDiv w:val="1"/>
      <w:marLeft w:val="0"/>
      <w:marRight w:val="0"/>
      <w:marTop w:val="0"/>
      <w:marBottom w:val="0"/>
      <w:divBdr>
        <w:top w:val="none" w:sz="0" w:space="0" w:color="auto"/>
        <w:left w:val="none" w:sz="0" w:space="0" w:color="auto"/>
        <w:bottom w:val="none" w:sz="0" w:space="0" w:color="auto"/>
        <w:right w:val="none" w:sz="0" w:space="0" w:color="auto"/>
      </w:divBdr>
    </w:div>
    <w:div w:id="359362212">
      <w:bodyDiv w:val="1"/>
      <w:marLeft w:val="0"/>
      <w:marRight w:val="0"/>
      <w:marTop w:val="0"/>
      <w:marBottom w:val="0"/>
      <w:divBdr>
        <w:top w:val="none" w:sz="0" w:space="0" w:color="auto"/>
        <w:left w:val="none" w:sz="0" w:space="0" w:color="auto"/>
        <w:bottom w:val="none" w:sz="0" w:space="0" w:color="auto"/>
        <w:right w:val="none" w:sz="0" w:space="0" w:color="auto"/>
      </w:divBdr>
    </w:div>
    <w:div w:id="378211142">
      <w:bodyDiv w:val="1"/>
      <w:marLeft w:val="0"/>
      <w:marRight w:val="0"/>
      <w:marTop w:val="0"/>
      <w:marBottom w:val="0"/>
      <w:divBdr>
        <w:top w:val="none" w:sz="0" w:space="0" w:color="auto"/>
        <w:left w:val="none" w:sz="0" w:space="0" w:color="auto"/>
        <w:bottom w:val="none" w:sz="0" w:space="0" w:color="auto"/>
        <w:right w:val="none" w:sz="0" w:space="0" w:color="auto"/>
      </w:divBdr>
    </w:div>
    <w:div w:id="434523502">
      <w:bodyDiv w:val="1"/>
      <w:marLeft w:val="0"/>
      <w:marRight w:val="0"/>
      <w:marTop w:val="0"/>
      <w:marBottom w:val="0"/>
      <w:divBdr>
        <w:top w:val="none" w:sz="0" w:space="0" w:color="auto"/>
        <w:left w:val="none" w:sz="0" w:space="0" w:color="auto"/>
        <w:bottom w:val="none" w:sz="0" w:space="0" w:color="auto"/>
        <w:right w:val="none" w:sz="0" w:space="0" w:color="auto"/>
      </w:divBdr>
    </w:div>
    <w:div w:id="498152318">
      <w:bodyDiv w:val="1"/>
      <w:marLeft w:val="0"/>
      <w:marRight w:val="0"/>
      <w:marTop w:val="0"/>
      <w:marBottom w:val="0"/>
      <w:divBdr>
        <w:top w:val="none" w:sz="0" w:space="0" w:color="auto"/>
        <w:left w:val="none" w:sz="0" w:space="0" w:color="auto"/>
        <w:bottom w:val="none" w:sz="0" w:space="0" w:color="auto"/>
        <w:right w:val="none" w:sz="0" w:space="0" w:color="auto"/>
      </w:divBdr>
    </w:div>
    <w:div w:id="560795046">
      <w:bodyDiv w:val="1"/>
      <w:marLeft w:val="0"/>
      <w:marRight w:val="0"/>
      <w:marTop w:val="0"/>
      <w:marBottom w:val="0"/>
      <w:divBdr>
        <w:top w:val="none" w:sz="0" w:space="0" w:color="auto"/>
        <w:left w:val="none" w:sz="0" w:space="0" w:color="auto"/>
        <w:bottom w:val="none" w:sz="0" w:space="0" w:color="auto"/>
        <w:right w:val="none" w:sz="0" w:space="0" w:color="auto"/>
      </w:divBdr>
    </w:div>
    <w:div w:id="588926949">
      <w:bodyDiv w:val="1"/>
      <w:marLeft w:val="0"/>
      <w:marRight w:val="0"/>
      <w:marTop w:val="0"/>
      <w:marBottom w:val="0"/>
      <w:divBdr>
        <w:top w:val="none" w:sz="0" w:space="0" w:color="auto"/>
        <w:left w:val="none" w:sz="0" w:space="0" w:color="auto"/>
        <w:bottom w:val="none" w:sz="0" w:space="0" w:color="auto"/>
        <w:right w:val="none" w:sz="0" w:space="0" w:color="auto"/>
      </w:divBdr>
    </w:div>
    <w:div w:id="607933043">
      <w:bodyDiv w:val="1"/>
      <w:marLeft w:val="0"/>
      <w:marRight w:val="0"/>
      <w:marTop w:val="0"/>
      <w:marBottom w:val="0"/>
      <w:divBdr>
        <w:top w:val="none" w:sz="0" w:space="0" w:color="auto"/>
        <w:left w:val="none" w:sz="0" w:space="0" w:color="auto"/>
        <w:bottom w:val="none" w:sz="0" w:space="0" w:color="auto"/>
        <w:right w:val="none" w:sz="0" w:space="0" w:color="auto"/>
      </w:divBdr>
    </w:div>
    <w:div w:id="608243912">
      <w:bodyDiv w:val="1"/>
      <w:marLeft w:val="0"/>
      <w:marRight w:val="0"/>
      <w:marTop w:val="0"/>
      <w:marBottom w:val="0"/>
      <w:divBdr>
        <w:top w:val="none" w:sz="0" w:space="0" w:color="auto"/>
        <w:left w:val="none" w:sz="0" w:space="0" w:color="auto"/>
        <w:bottom w:val="none" w:sz="0" w:space="0" w:color="auto"/>
        <w:right w:val="none" w:sz="0" w:space="0" w:color="auto"/>
      </w:divBdr>
    </w:div>
    <w:div w:id="616252151">
      <w:bodyDiv w:val="1"/>
      <w:marLeft w:val="0"/>
      <w:marRight w:val="0"/>
      <w:marTop w:val="0"/>
      <w:marBottom w:val="0"/>
      <w:divBdr>
        <w:top w:val="none" w:sz="0" w:space="0" w:color="auto"/>
        <w:left w:val="none" w:sz="0" w:space="0" w:color="auto"/>
        <w:bottom w:val="none" w:sz="0" w:space="0" w:color="auto"/>
        <w:right w:val="none" w:sz="0" w:space="0" w:color="auto"/>
      </w:divBdr>
    </w:div>
    <w:div w:id="668604082">
      <w:bodyDiv w:val="1"/>
      <w:marLeft w:val="0"/>
      <w:marRight w:val="0"/>
      <w:marTop w:val="0"/>
      <w:marBottom w:val="0"/>
      <w:divBdr>
        <w:top w:val="none" w:sz="0" w:space="0" w:color="auto"/>
        <w:left w:val="none" w:sz="0" w:space="0" w:color="auto"/>
        <w:bottom w:val="none" w:sz="0" w:space="0" w:color="auto"/>
        <w:right w:val="none" w:sz="0" w:space="0" w:color="auto"/>
      </w:divBdr>
    </w:div>
    <w:div w:id="687215711">
      <w:bodyDiv w:val="1"/>
      <w:marLeft w:val="0"/>
      <w:marRight w:val="0"/>
      <w:marTop w:val="0"/>
      <w:marBottom w:val="0"/>
      <w:divBdr>
        <w:top w:val="none" w:sz="0" w:space="0" w:color="auto"/>
        <w:left w:val="none" w:sz="0" w:space="0" w:color="auto"/>
        <w:bottom w:val="none" w:sz="0" w:space="0" w:color="auto"/>
        <w:right w:val="none" w:sz="0" w:space="0" w:color="auto"/>
      </w:divBdr>
    </w:div>
    <w:div w:id="704257780">
      <w:bodyDiv w:val="1"/>
      <w:marLeft w:val="0"/>
      <w:marRight w:val="0"/>
      <w:marTop w:val="0"/>
      <w:marBottom w:val="0"/>
      <w:divBdr>
        <w:top w:val="none" w:sz="0" w:space="0" w:color="auto"/>
        <w:left w:val="none" w:sz="0" w:space="0" w:color="auto"/>
        <w:bottom w:val="none" w:sz="0" w:space="0" w:color="auto"/>
        <w:right w:val="none" w:sz="0" w:space="0" w:color="auto"/>
      </w:divBdr>
    </w:div>
    <w:div w:id="734742877">
      <w:bodyDiv w:val="1"/>
      <w:marLeft w:val="0"/>
      <w:marRight w:val="0"/>
      <w:marTop w:val="0"/>
      <w:marBottom w:val="0"/>
      <w:divBdr>
        <w:top w:val="none" w:sz="0" w:space="0" w:color="auto"/>
        <w:left w:val="none" w:sz="0" w:space="0" w:color="auto"/>
        <w:bottom w:val="none" w:sz="0" w:space="0" w:color="auto"/>
        <w:right w:val="none" w:sz="0" w:space="0" w:color="auto"/>
      </w:divBdr>
    </w:div>
    <w:div w:id="753818689">
      <w:bodyDiv w:val="1"/>
      <w:marLeft w:val="0"/>
      <w:marRight w:val="0"/>
      <w:marTop w:val="0"/>
      <w:marBottom w:val="0"/>
      <w:divBdr>
        <w:top w:val="none" w:sz="0" w:space="0" w:color="auto"/>
        <w:left w:val="none" w:sz="0" w:space="0" w:color="auto"/>
        <w:bottom w:val="none" w:sz="0" w:space="0" w:color="auto"/>
        <w:right w:val="none" w:sz="0" w:space="0" w:color="auto"/>
      </w:divBdr>
    </w:div>
    <w:div w:id="760685373">
      <w:bodyDiv w:val="1"/>
      <w:marLeft w:val="0"/>
      <w:marRight w:val="0"/>
      <w:marTop w:val="0"/>
      <w:marBottom w:val="0"/>
      <w:divBdr>
        <w:top w:val="none" w:sz="0" w:space="0" w:color="auto"/>
        <w:left w:val="none" w:sz="0" w:space="0" w:color="auto"/>
        <w:bottom w:val="none" w:sz="0" w:space="0" w:color="auto"/>
        <w:right w:val="none" w:sz="0" w:space="0" w:color="auto"/>
      </w:divBdr>
    </w:div>
    <w:div w:id="802383917">
      <w:bodyDiv w:val="1"/>
      <w:marLeft w:val="0"/>
      <w:marRight w:val="0"/>
      <w:marTop w:val="0"/>
      <w:marBottom w:val="0"/>
      <w:divBdr>
        <w:top w:val="none" w:sz="0" w:space="0" w:color="auto"/>
        <w:left w:val="none" w:sz="0" w:space="0" w:color="auto"/>
        <w:bottom w:val="none" w:sz="0" w:space="0" w:color="auto"/>
        <w:right w:val="none" w:sz="0" w:space="0" w:color="auto"/>
      </w:divBdr>
    </w:div>
    <w:div w:id="821579438">
      <w:bodyDiv w:val="1"/>
      <w:marLeft w:val="0"/>
      <w:marRight w:val="0"/>
      <w:marTop w:val="0"/>
      <w:marBottom w:val="0"/>
      <w:divBdr>
        <w:top w:val="none" w:sz="0" w:space="0" w:color="auto"/>
        <w:left w:val="none" w:sz="0" w:space="0" w:color="auto"/>
        <w:bottom w:val="none" w:sz="0" w:space="0" w:color="auto"/>
        <w:right w:val="none" w:sz="0" w:space="0" w:color="auto"/>
      </w:divBdr>
    </w:div>
    <w:div w:id="881287253">
      <w:bodyDiv w:val="1"/>
      <w:marLeft w:val="0"/>
      <w:marRight w:val="0"/>
      <w:marTop w:val="0"/>
      <w:marBottom w:val="0"/>
      <w:divBdr>
        <w:top w:val="none" w:sz="0" w:space="0" w:color="auto"/>
        <w:left w:val="none" w:sz="0" w:space="0" w:color="auto"/>
        <w:bottom w:val="none" w:sz="0" w:space="0" w:color="auto"/>
        <w:right w:val="none" w:sz="0" w:space="0" w:color="auto"/>
      </w:divBdr>
    </w:div>
    <w:div w:id="1027020444">
      <w:bodyDiv w:val="1"/>
      <w:marLeft w:val="0"/>
      <w:marRight w:val="0"/>
      <w:marTop w:val="0"/>
      <w:marBottom w:val="0"/>
      <w:divBdr>
        <w:top w:val="none" w:sz="0" w:space="0" w:color="auto"/>
        <w:left w:val="none" w:sz="0" w:space="0" w:color="auto"/>
        <w:bottom w:val="none" w:sz="0" w:space="0" w:color="auto"/>
        <w:right w:val="none" w:sz="0" w:space="0" w:color="auto"/>
      </w:divBdr>
    </w:div>
    <w:div w:id="1040977283">
      <w:bodyDiv w:val="1"/>
      <w:marLeft w:val="0"/>
      <w:marRight w:val="0"/>
      <w:marTop w:val="0"/>
      <w:marBottom w:val="0"/>
      <w:divBdr>
        <w:top w:val="none" w:sz="0" w:space="0" w:color="auto"/>
        <w:left w:val="none" w:sz="0" w:space="0" w:color="auto"/>
        <w:bottom w:val="none" w:sz="0" w:space="0" w:color="auto"/>
        <w:right w:val="none" w:sz="0" w:space="0" w:color="auto"/>
      </w:divBdr>
    </w:div>
    <w:div w:id="1076896286">
      <w:bodyDiv w:val="1"/>
      <w:marLeft w:val="0"/>
      <w:marRight w:val="0"/>
      <w:marTop w:val="0"/>
      <w:marBottom w:val="0"/>
      <w:divBdr>
        <w:top w:val="none" w:sz="0" w:space="0" w:color="auto"/>
        <w:left w:val="none" w:sz="0" w:space="0" w:color="auto"/>
        <w:bottom w:val="none" w:sz="0" w:space="0" w:color="auto"/>
        <w:right w:val="none" w:sz="0" w:space="0" w:color="auto"/>
      </w:divBdr>
    </w:div>
    <w:div w:id="1082139434">
      <w:bodyDiv w:val="1"/>
      <w:marLeft w:val="0"/>
      <w:marRight w:val="0"/>
      <w:marTop w:val="0"/>
      <w:marBottom w:val="0"/>
      <w:divBdr>
        <w:top w:val="none" w:sz="0" w:space="0" w:color="auto"/>
        <w:left w:val="none" w:sz="0" w:space="0" w:color="auto"/>
        <w:bottom w:val="none" w:sz="0" w:space="0" w:color="auto"/>
        <w:right w:val="none" w:sz="0" w:space="0" w:color="auto"/>
      </w:divBdr>
    </w:div>
    <w:div w:id="1142818471">
      <w:bodyDiv w:val="1"/>
      <w:marLeft w:val="0"/>
      <w:marRight w:val="0"/>
      <w:marTop w:val="0"/>
      <w:marBottom w:val="0"/>
      <w:divBdr>
        <w:top w:val="none" w:sz="0" w:space="0" w:color="auto"/>
        <w:left w:val="none" w:sz="0" w:space="0" w:color="auto"/>
        <w:bottom w:val="none" w:sz="0" w:space="0" w:color="auto"/>
        <w:right w:val="none" w:sz="0" w:space="0" w:color="auto"/>
      </w:divBdr>
    </w:div>
    <w:div w:id="1200824328">
      <w:bodyDiv w:val="1"/>
      <w:marLeft w:val="0"/>
      <w:marRight w:val="0"/>
      <w:marTop w:val="0"/>
      <w:marBottom w:val="0"/>
      <w:divBdr>
        <w:top w:val="none" w:sz="0" w:space="0" w:color="auto"/>
        <w:left w:val="none" w:sz="0" w:space="0" w:color="auto"/>
        <w:bottom w:val="none" w:sz="0" w:space="0" w:color="auto"/>
        <w:right w:val="none" w:sz="0" w:space="0" w:color="auto"/>
      </w:divBdr>
    </w:div>
    <w:div w:id="1239555050">
      <w:bodyDiv w:val="1"/>
      <w:marLeft w:val="0"/>
      <w:marRight w:val="0"/>
      <w:marTop w:val="0"/>
      <w:marBottom w:val="0"/>
      <w:divBdr>
        <w:top w:val="none" w:sz="0" w:space="0" w:color="auto"/>
        <w:left w:val="none" w:sz="0" w:space="0" w:color="auto"/>
        <w:bottom w:val="none" w:sz="0" w:space="0" w:color="auto"/>
        <w:right w:val="none" w:sz="0" w:space="0" w:color="auto"/>
      </w:divBdr>
    </w:div>
    <w:div w:id="1330645124">
      <w:bodyDiv w:val="1"/>
      <w:marLeft w:val="0"/>
      <w:marRight w:val="0"/>
      <w:marTop w:val="0"/>
      <w:marBottom w:val="0"/>
      <w:divBdr>
        <w:top w:val="none" w:sz="0" w:space="0" w:color="auto"/>
        <w:left w:val="none" w:sz="0" w:space="0" w:color="auto"/>
        <w:bottom w:val="none" w:sz="0" w:space="0" w:color="auto"/>
        <w:right w:val="none" w:sz="0" w:space="0" w:color="auto"/>
      </w:divBdr>
    </w:div>
    <w:div w:id="1332101388">
      <w:bodyDiv w:val="1"/>
      <w:marLeft w:val="0"/>
      <w:marRight w:val="0"/>
      <w:marTop w:val="0"/>
      <w:marBottom w:val="0"/>
      <w:divBdr>
        <w:top w:val="none" w:sz="0" w:space="0" w:color="auto"/>
        <w:left w:val="none" w:sz="0" w:space="0" w:color="auto"/>
        <w:bottom w:val="none" w:sz="0" w:space="0" w:color="auto"/>
        <w:right w:val="none" w:sz="0" w:space="0" w:color="auto"/>
      </w:divBdr>
    </w:div>
    <w:div w:id="1353802987">
      <w:bodyDiv w:val="1"/>
      <w:marLeft w:val="0"/>
      <w:marRight w:val="0"/>
      <w:marTop w:val="0"/>
      <w:marBottom w:val="0"/>
      <w:divBdr>
        <w:top w:val="none" w:sz="0" w:space="0" w:color="auto"/>
        <w:left w:val="none" w:sz="0" w:space="0" w:color="auto"/>
        <w:bottom w:val="none" w:sz="0" w:space="0" w:color="auto"/>
        <w:right w:val="none" w:sz="0" w:space="0" w:color="auto"/>
      </w:divBdr>
    </w:div>
    <w:div w:id="1390422488">
      <w:bodyDiv w:val="1"/>
      <w:marLeft w:val="0"/>
      <w:marRight w:val="0"/>
      <w:marTop w:val="0"/>
      <w:marBottom w:val="0"/>
      <w:divBdr>
        <w:top w:val="none" w:sz="0" w:space="0" w:color="auto"/>
        <w:left w:val="none" w:sz="0" w:space="0" w:color="auto"/>
        <w:bottom w:val="none" w:sz="0" w:space="0" w:color="auto"/>
        <w:right w:val="none" w:sz="0" w:space="0" w:color="auto"/>
      </w:divBdr>
    </w:div>
    <w:div w:id="1392070508">
      <w:bodyDiv w:val="1"/>
      <w:marLeft w:val="0"/>
      <w:marRight w:val="0"/>
      <w:marTop w:val="0"/>
      <w:marBottom w:val="0"/>
      <w:divBdr>
        <w:top w:val="none" w:sz="0" w:space="0" w:color="auto"/>
        <w:left w:val="none" w:sz="0" w:space="0" w:color="auto"/>
        <w:bottom w:val="none" w:sz="0" w:space="0" w:color="auto"/>
        <w:right w:val="none" w:sz="0" w:space="0" w:color="auto"/>
      </w:divBdr>
    </w:div>
    <w:div w:id="1443577195">
      <w:bodyDiv w:val="1"/>
      <w:marLeft w:val="0"/>
      <w:marRight w:val="0"/>
      <w:marTop w:val="0"/>
      <w:marBottom w:val="0"/>
      <w:divBdr>
        <w:top w:val="none" w:sz="0" w:space="0" w:color="auto"/>
        <w:left w:val="none" w:sz="0" w:space="0" w:color="auto"/>
        <w:bottom w:val="none" w:sz="0" w:space="0" w:color="auto"/>
        <w:right w:val="none" w:sz="0" w:space="0" w:color="auto"/>
      </w:divBdr>
    </w:div>
    <w:div w:id="1477137889">
      <w:bodyDiv w:val="1"/>
      <w:marLeft w:val="0"/>
      <w:marRight w:val="0"/>
      <w:marTop w:val="0"/>
      <w:marBottom w:val="0"/>
      <w:divBdr>
        <w:top w:val="none" w:sz="0" w:space="0" w:color="auto"/>
        <w:left w:val="none" w:sz="0" w:space="0" w:color="auto"/>
        <w:bottom w:val="none" w:sz="0" w:space="0" w:color="auto"/>
        <w:right w:val="none" w:sz="0" w:space="0" w:color="auto"/>
      </w:divBdr>
    </w:div>
    <w:div w:id="1524124121">
      <w:bodyDiv w:val="1"/>
      <w:marLeft w:val="0"/>
      <w:marRight w:val="0"/>
      <w:marTop w:val="0"/>
      <w:marBottom w:val="0"/>
      <w:divBdr>
        <w:top w:val="none" w:sz="0" w:space="0" w:color="auto"/>
        <w:left w:val="none" w:sz="0" w:space="0" w:color="auto"/>
        <w:bottom w:val="none" w:sz="0" w:space="0" w:color="auto"/>
        <w:right w:val="none" w:sz="0" w:space="0" w:color="auto"/>
      </w:divBdr>
    </w:div>
    <w:div w:id="1745759058">
      <w:bodyDiv w:val="1"/>
      <w:marLeft w:val="0"/>
      <w:marRight w:val="0"/>
      <w:marTop w:val="0"/>
      <w:marBottom w:val="0"/>
      <w:divBdr>
        <w:top w:val="none" w:sz="0" w:space="0" w:color="auto"/>
        <w:left w:val="none" w:sz="0" w:space="0" w:color="auto"/>
        <w:bottom w:val="none" w:sz="0" w:space="0" w:color="auto"/>
        <w:right w:val="none" w:sz="0" w:space="0" w:color="auto"/>
      </w:divBdr>
    </w:div>
    <w:div w:id="1779183146">
      <w:bodyDiv w:val="1"/>
      <w:marLeft w:val="0"/>
      <w:marRight w:val="0"/>
      <w:marTop w:val="0"/>
      <w:marBottom w:val="0"/>
      <w:divBdr>
        <w:top w:val="none" w:sz="0" w:space="0" w:color="auto"/>
        <w:left w:val="none" w:sz="0" w:space="0" w:color="auto"/>
        <w:bottom w:val="none" w:sz="0" w:space="0" w:color="auto"/>
        <w:right w:val="none" w:sz="0" w:space="0" w:color="auto"/>
      </w:divBdr>
    </w:div>
    <w:div w:id="1916819062">
      <w:bodyDiv w:val="1"/>
      <w:marLeft w:val="0"/>
      <w:marRight w:val="0"/>
      <w:marTop w:val="0"/>
      <w:marBottom w:val="0"/>
      <w:divBdr>
        <w:top w:val="none" w:sz="0" w:space="0" w:color="auto"/>
        <w:left w:val="none" w:sz="0" w:space="0" w:color="auto"/>
        <w:bottom w:val="none" w:sz="0" w:space="0" w:color="auto"/>
        <w:right w:val="none" w:sz="0" w:space="0" w:color="auto"/>
      </w:divBdr>
    </w:div>
    <w:div w:id="1928224861">
      <w:bodyDiv w:val="1"/>
      <w:marLeft w:val="0"/>
      <w:marRight w:val="0"/>
      <w:marTop w:val="0"/>
      <w:marBottom w:val="0"/>
      <w:divBdr>
        <w:top w:val="none" w:sz="0" w:space="0" w:color="auto"/>
        <w:left w:val="none" w:sz="0" w:space="0" w:color="auto"/>
        <w:bottom w:val="none" w:sz="0" w:space="0" w:color="auto"/>
        <w:right w:val="none" w:sz="0" w:space="0" w:color="auto"/>
      </w:divBdr>
    </w:div>
    <w:div w:id="2010982707">
      <w:bodyDiv w:val="1"/>
      <w:marLeft w:val="0"/>
      <w:marRight w:val="0"/>
      <w:marTop w:val="0"/>
      <w:marBottom w:val="0"/>
      <w:divBdr>
        <w:top w:val="none" w:sz="0" w:space="0" w:color="auto"/>
        <w:left w:val="none" w:sz="0" w:space="0" w:color="auto"/>
        <w:bottom w:val="none" w:sz="0" w:space="0" w:color="auto"/>
        <w:right w:val="none" w:sz="0" w:space="0" w:color="auto"/>
      </w:divBdr>
    </w:div>
    <w:div w:id="2065567787">
      <w:bodyDiv w:val="1"/>
      <w:marLeft w:val="0"/>
      <w:marRight w:val="0"/>
      <w:marTop w:val="0"/>
      <w:marBottom w:val="0"/>
      <w:divBdr>
        <w:top w:val="none" w:sz="0" w:space="0" w:color="auto"/>
        <w:left w:val="none" w:sz="0" w:space="0" w:color="auto"/>
        <w:bottom w:val="none" w:sz="0" w:space="0" w:color="auto"/>
        <w:right w:val="none" w:sz="0" w:space="0" w:color="auto"/>
      </w:divBdr>
    </w:div>
    <w:div w:id="2095931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chart" Target="charts/chart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4.emf"/><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Complaint</a:t>
            </a:r>
            <a:r>
              <a:rPr lang="en-US" baseline="0"/>
              <a:t>s for "Debris in Packaging" During 2013 - 2018</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Number of Parts Manufactured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Sheet1!$A$2:$A$70</c:f>
              <c:numCache>
                <c:formatCode>mmm\-yy</c:formatCode>
                <c:ptCount val="69"/>
                <c:pt idx="0">
                  <c:v>41275</c:v>
                </c:pt>
                <c:pt idx="1">
                  <c:v>41306</c:v>
                </c:pt>
                <c:pt idx="2">
                  <c:v>41334</c:v>
                </c:pt>
                <c:pt idx="3">
                  <c:v>41365</c:v>
                </c:pt>
                <c:pt idx="4">
                  <c:v>41395</c:v>
                </c:pt>
                <c:pt idx="5">
                  <c:v>41426</c:v>
                </c:pt>
                <c:pt idx="6">
                  <c:v>41456</c:v>
                </c:pt>
                <c:pt idx="7">
                  <c:v>41487</c:v>
                </c:pt>
                <c:pt idx="8">
                  <c:v>41518</c:v>
                </c:pt>
                <c:pt idx="9">
                  <c:v>41548</c:v>
                </c:pt>
                <c:pt idx="10">
                  <c:v>41579</c:v>
                </c:pt>
                <c:pt idx="11">
                  <c:v>41609</c:v>
                </c:pt>
                <c:pt idx="12">
                  <c:v>41640</c:v>
                </c:pt>
                <c:pt idx="13">
                  <c:v>41671</c:v>
                </c:pt>
                <c:pt idx="14">
                  <c:v>41699</c:v>
                </c:pt>
                <c:pt idx="15">
                  <c:v>41730</c:v>
                </c:pt>
                <c:pt idx="16">
                  <c:v>41760</c:v>
                </c:pt>
                <c:pt idx="17">
                  <c:v>41791</c:v>
                </c:pt>
                <c:pt idx="18">
                  <c:v>41821</c:v>
                </c:pt>
                <c:pt idx="19">
                  <c:v>41852</c:v>
                </c:pt>
                <c:pt idx="20">
                  <c:v>41883</c:v>
                </c:pt>
                <c:pt idx="21">
                  <c:v>41913</c:v>
                </c:pt>
                <c:pt idx="22">
                  <c:v>41944</c:v>
                </c:pt>
                <c:pt idx="23">
                  <c:v>41974</c:v>
                </c:pt>
                <c:pt idx="24">
                  <c:v>42005</c:v>
                </c:pt>
                <c:pt idx="25">
                  <c:v>42036</c:v>
                </c:pt>
                <c:pt idx="26">
                  <c:v>42064</c:v>
                </c:pt>
                <c:pt idx="27">
                  <c:v>42095</c:v>
                </c:pt>
                <c:pt idx="28">
                  <c:v>42125</c:v>
                </c:pt>
                <c:pt idx="29">
                  <c:v>42156</c:v>
                </c:pt>
                <c:pt idx="30">
                  <c:v>42186</c:v>
                </c:pt>
                <c:pt idx="31">
                  <c:v>42217</c:v>
                </c:pt>
                <c:pt idx="32">
                  <c:v>42248</c:v>
                </c:pt>
                <c:pt idx="33">
                  <c:v>42278</c:v>
                </c:pt>
                <c:pt idx="34">
                  <c:v>42309</c:v>
                </c:pt>
                <c:pt idx="35">
                  <c:v>42339</c:v>
                </c:pt>
                <c:pt idx="36">
                  <c:v>42370</c:v>
                </c:pt>
                <c:pt idx="37">
                  <c:v>42401</c:v>
                </c:pt>
                <c:pt idx="38">
                  <c:v>42430</c:v>
                </c:pt>
                <c:pt idx="39">
                  <c:v>42461</c:v>
                </c:pt>
                <c:pt idx="40">
                  <c:v>42491</c:v>
                </c:pt>
                <c:pt idx="41">
                  <c:v>42522</c:v>
                </c:pt>
                <c:pt idx="42">
                  <c:v>42552</c:v>
                </c:pt>
                <c:pt idx="43">
                  <c:v>42583</c:v>
                </c:pt>
                <c:pt idx="44">
                  <c:v>42614</c:v>
                </c:pt>
                <c:pt idx="45">
                  <c:v>42644</c:v>
                </c:pt>
                <c:pt idx="46">
                  <c:v>42675</c:v>
                </c:pt>
                <c:pt idx="47">
                  <c:v>42705</c:v>
                </c:pt>
                <c:pt idx="48">
                  <c:v>42736</c:v>
                </c:pt>
                <c:pt idx="49">
                  <c:v>42767</c:v>
                </c:pt>
                <c:pt idx="50">
                  <c:v>42795</c:v>
                </c:pt>
                <c:pt idx="51">
                  <c:v>42826</c:v>
                </c:pt>
                <c:pt idx="52">
                  <c:v>42856</c:v>
                </c:pt>
                <c:pt idx="53">
                  <c:v>42887</c:v>
                </c:pt>
                <c:pt idx="54">
                  <c:v>42917</c:v>
                </c:pt>
                <c:pt idx="55">
                  <c:v>42948</c:v>
                </c:pt>
                <c:pt idx="56">
                  <c:v>42979</c:v>
                </c:pt>
                <c:pt idx="57">
                  <c:v>43009</c:v>
                </c:pt>
                <c:pt idx="58">
                  <c:v>43040</c:v>
                </c:pt>
                <c:pt idx="59">
                  <c:v>43070</c:v>
                </c:pt>
                <c:pt idx="60">
                  <c:v>43101</c:v>
                </c:pt>
                <c:pt idx="61">
                  <c:v>43132</c:v>
                </c:pt>
                <c:pt idx="62">
                  <c:v>43160</c:v>
                </c:pt>
                <c:pt idx="63">
                  <c:v>43191</c:v>
                </c:pt>
                <c:pt idx="64">
                  <c:v>43221</c:v>
                </c:pt>
                <c:pt idx="65">
                  <c:v>43252</c:v>
                </c:pt>
                <c:pt idx="66">
                  <c:v>43282</c:v>
                </c:pt>
                <c:pt idx="67">
                  <c:v>43313</c:v>
                </c:pt>
                <c:pt idx="68">
                  <c:v>43344</c:v>
                </c:pt>
              </c:numCache>
            </c:numRef>
          </c:cat>
          <c:val>
            <c:numRef>
              <c:f>Sheet1!$B$2:$B$70</c:f>
            </c:numRef>
          </c:val>
          <c:smooth val="0"/>
          <c:extLst>
            <c:ext xmlns:c16="http://schemas.microsoft.com/office/drawing/2014/chart" uri="{C3380CC4-5D6E-409C-BE32-E72D297353CC}">
              <c16:uniqueId val="{00000000-A513-4AA7-ACDD-5DC50849ABB2}"/>
            </c:ext>
          </c:extLst>
        </c:ser>
        <c:ser>
          <c:idx val="1"/>
          <c:order val="1"/>
          <c:tx>
            <c:strRef>
              <c:f>Sheet1!$C$1</c:f>
              <c:strCache>
                <c:ptCount val="1"/>
                <c:pt idx="0">
                  <c:v>Number of Complaints </c:v>
                </c:pt>
              </c:strCache>
            </c:strRef>
          </c:tx>
          <c:spPr>
            <a:ln w="28575" cap="rnd">
              <a:solidFill>
                <a:schemeClr val="accent2"/>
              </a:solidFill>
              <a:round/>
            </a:ln>
            <a:effectLst/>
          </c:spPr>
          <c:marker>
            <c:symbol val="none"/>
          </c:marker>
          <c:cat>
            <c:numRef>
              <c:f>Sheet1!$A$2:$A$70</c:f>
              <c:numCache>
                <c:formatCode>mmm\-yy</c:formatCode>
                <c:ptCount val="69"/>
                <c:pt idx="0">
                  <c:v>41275</c:v>
                </c:pt>
                <c:pt idx="1">
                  <c:v>41306</c:v>
                </c:pt>
                <c:pt idx="2">
                  <c:v>41334</c:v>
                </c:pt>
                <c:pt idx="3">
                  <c:v>41365</c:v>
                </c:pt>
                <c:pt idx="4">
                  <c:v>41395</c:v>
                </c:pt>
                <c:pt idx="5">
                  <c:v>41426</c:v>
                </c:pt>
                <c:pt idx="6">
                  <c:v>41456</c:v>
                </c:pt>
                <c:pt idx="7">
                  <c:v>41487</c:v>
                </c:pt>
                <c:pt idx="8">
                  <c:v>41518</c:v>
                </c:pt>
                <c:pt idx="9">
                  <c:v>41548</c:v>
                </c:pt>
                <c:pt idx="10">
                  <c:v>41579</c:v>
                </c:pt>
                <c:pt idx="11">
                  <c:v>41609</c:v>
                </c:pt>
                <c:pt idx="12">
                  <c:v>41640</c:v>
                </c:pt>
                <c:pt idx="13">
                  <c:v>41671</c:v>
                </c:pt>
                <c:pt idx="14">
                  <c:v>41699</c:v>
                </c:pt>
                <c:pt idx="15">
                  <c:v>41730</c:v>
                </c:pt>
                <c:pt idx="16">
                  <c:v>41760</c:v>
                </c:pt>
                <c:pt idx="17">
                  <c:v>41791</c:v>
                </c:pt>
                <c:pt idx="18">
                  <c:v>41821</c:v>
                </c:pt>
                <c:pt idx="19">
                  <c:v>41852</c:v>
                </c:pt>
                <c:pt idx="20">
                  <c:v>41883</c:v>
                </c:pt>
                <c:pt idx="21">
                  <c:v>41913</c:v>
                </c:pt>
                <c:pt idx="22">
                  <c:v>41944</c:v>
                </c:pt>
                <c:pt idx="23">
                  <c:v>41974</c:v>
                </c:pt>
                <c:pt idx="24">
                  <c:v>42005</c:v>
                </c:pt>
                <c:pt idx="25">
                  <c:v>42036</c:v>
                </c:pt>
                <c:pt idx="26">
                  <c:v>42064</c:v>
                </c:pt>
                <c:pt idx="27">
                  <c:v>42095</c:v>
                </c:pt>
                <c:pt idx="28">
                  <c:v>42125</c:v>
                </c:pt>
                <c:pt idx="29">
                  <c:v>42156</c:v>
                </c:pt>
                <c:pt idx="30">
                  <c:v>42186</c:v>
                </c:pt>
                <c:pt idx="31">
                  <c:v>42217</c:v>
                </c:pt>
                <c:pt idx="32">
                  <c:v>42248</c:v>
                </c:pt>
                <c:pt idx="33">
                  <c:v>42278</c:v>
                </c:pt>
                <c:pt idx="34">
                  <c:v>42309</c:v>
                </c:pt>
                <c:pt idx="35">
                  <c:v>42339</c:v>
                </c:pt>
                <c:pt idx="36">
                  <c:v>42370</c:v>
                </c:pt>
                <c:pt idx="37">
                  <c:v>42401</c:v>
                </c:pt>
                <c:pt idx="38">
                  <c:v>42430</c:v>
                </c:pt>
                <c:pt idx="39">
                  <c:v>42461</c:v>
                </c:pt>
                <c:pt idx="40">
                  <c:v>42491</c:v>
                </c:pt>
                <c:pt idx="41">
                  <c:v>42522</c:v>
                </c:pt>
                <c:pt idx="42">
                  <c:v>42552</c:v>
                </c:pt>
                <c:pt idx="43">
                  <c:v>42583</c:v>
                </c:pt>
                <c:pt idx="44">
                  <c:v>42614</c:v>
                </c:pt>
                <c:pt idx="45">
                  <c:v>42644</c:v>
                </c:pt>
                <c:pt idx="46">
                  <c:v>42675</c:v>
                </c:pt>
                <c:pt idx="47">
                  <c:v>42705</c:v>
                </c:pt>
                <c:pt idx="48">
                  <c:v>42736</c:v>
                </c:pt>
                <c:pt idx="49">
                  <c:v>42767</c:v>
                </c:pt>
                <c:pt idx="50">
                  <c:v>42795</c:v>
                </c:pt>
                <c:pt idx="51">
                  <c:v>42826</c:v>
                </c:pt>
                <c:pt idx="52">
                  <c:v>42856</c:v>
                </c:pt>
                <c:pt idx="53">
                  <c:v>42887</c:v>
                </c:pt>
                <c:pt idx="54">
                  <c:v>42917</c:v>
                </c:pt>
                <c:pt idx="55">
                  <c:v>42948</c:v>
                </c:pt>
                <c:pt idx="56">
                  <c:v>42979</c:v>
                </c:pt>
                <c:pt idx="57">
                  <c:v>43009</c:v>
                </c:pt>
                <c:pt idx="58">
                  <c:v>43040</c:v>
                </c:pt>
                <c:pt idx="59">
                  <c:v>43070</c:v>
                </c:pt>
                <c:pt idx="60">
                  <c:v>43101</c:v>
                </c:pt>
                <c:pt idx="61">
                  <c:v>43132</c:v>
                </c:pt>
                <c:pt idx="62">
                  <c:v>43160</c:v>
                </c:pt>
                <c:pt idx="63">
                  <c:v>43191</c:v>
                </c:pt>
                <c:pt idx="64">
                  <c:v>43221</c:v>
                </c:pt>
                <c:pt idx="65">
                  <c:v>43252</c:v>
                </c:pt>
                <c:pt idx="66">
                  <c:v>43282</c:v>
                </c:pt>
                <c:pt idx="67">
                  <c:v>43313</c:v>
                </c:pt>
                <c:pt idx="68">
                  <c:v>43344</c:v>
                </c:pt>
              </c:numCache>
            </c:numRef>
          </c:cat>
          <c:val>
            <c:numRef>
              <c:f>Sheet1!$C$2:$C$70</c:f>
              <c:numCache>
                <c:formatCode>0</c:formatCode>
                <c:ptCount val="69"/>
                <c:pt idx="0">
                  <c:v>1</c:v>
                </c:pt>
                <c:pt idx="1">
                  <c:v>1</c:v>
                </c:pt>
                <c:pt idx="12">
                  <c:v>1</c:v>
                </c:pt>
                <c:pt idx="24">
                  <c:v>1</c:v>
                </c:pt>
                <c:pt idx="30">
                  <c:v>1</c:v>
                </c:pt>
                <c:pt idx="33">
                  <c:v>2</c:v>
                </c:pt>
                <c:pt idx="34">
                  <c:v>1</c:v>
                </c:pt>
                <c:pt idx="46">
                  <c:v>2</c:v>
                </c:pt>
                <c:pt idx="48">
                  <c:v>4</c:v>
                </c:pt>
                <c:pt idx="51">
                  <c:v>1</c:v>
                </c:pt>
                <c:pt idx="52">
                  <c:v>1</c:v>
                </c:pt>
                <c:pt idx="54">
                  <c:v>1</c:v>
                </c:pt>
                <c:pt idx="56">
                  <c:v>2</c:v>
                </c:pt>
                <c:pt idx="57">
                  <c:v>2</c:v>
                </c:pt>
                <c:pt idx="58">
                  <c:v>13</c:v>
                </c:pt>
                <c:pt idx="59">
                  <c:v>21</c:v>
                </c:pt>
                <c:pt idx="60">
                  <c:v>8</c:v>
                </c:pt>
                <c:pt idx="61">
                  <c:v>16</c:v>
                </c:pt>
                <c:pt idx="62">
                  <c:v>14</c:v>
                </c:pt>
                <c:pt idx="63">
                  <c:v>8</c:v>
                </c:pt>
                <c:pt idx="64">
                  <c:v>10</c:v>
                </c:pt>
                <c:pt idx="65">
                  <c:v>1</c:v>
                </c:pt>
              </c:numCache>
            </c:numRef>
          </c:val>
          <c:smooth val="0"/>
          <c:extLst>
            <c:ext xmlns:c16="http://schemas.microsoft.com/office/drawing/2014/chart" uri="{C3380CC4-5D6E-409C-BE32-E72D297353CC}">
              <c16:uniqueId val="{00000001-A513-4AA7-ACDD-5DC50849ABB2}"/>
            </c:ext>
          </c:extLst>
        </c:ser>
        <c:dLbls>
          <c:showLegendKey val="0"/>
          <c:showVal val="0"/>
          <c:showCatName val="0"/>
          <c:showSerName val="0"/>
          <c:showPercent val="0"/>
          <c:showBubbleSize val="0"/>
        </c:dLbls>
        <c:smooth val="0"/>
        <c:axId val="1200463896"/>
        <c:axId val="1200461928"/>
      </c:lineChart>
      <c:dateAx>
        <c:axId val="1200463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Month /</a:t>
                </a:r>
                <a:r>
                  <a:rPr lang="en-GB" baseline="0"/>
                  <a:t> Year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461928"/>
        <c:crosses val="autoZero"/>
        <c:auto val="1"/>
        <c:lblOffset val="100"/>
        <c:baseTimeUnit val="months"/>
      </c:dateAx>
      <c:valAx>
        <c:axId val="1200461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Complaints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463896"/>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ysClr val="windowText" lastClr="000000"/>
                </a:solidFill>
                <a:latin typeface="+mn-lt"/>
                <a:ea typeface="+mn-ea"/>
                <a:cs typeface="+mn-cs"/>
              </a:defRPr>
            </a:pPr>
            <a:r>
              <a:rPr lang="en-US" sz="1200">
                <a:solidFill>
                  <a:sysClr val="windowText" lastClr="000000"/>
                </a:solidFill>
              </a:rPr>
              <a:t>"Debris in Packaging" Classification vs Complaint Lot Count</a:t>
            </a:r>
          </a:p>
        </c:rich>
      </c:tx>
      <c:layout>
        <c:manualLayout>
          <c:xMode val="edge"/>
          <c:yMode val="edge"/>
          <c:x val="0.11605413781108687"/>
          <c:y val="3.167062549485352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Sheet1!$H$27</c:f>
              <c:strCache>
                <c:ptCount val="1"/>
                <c:pt idx="0">
                  <c:v>Lot Count</c:v>
                </c:pt>
              </c:strCache>
            </c:strRef>
          </c:tx>
          <c:spPr>
            <a:solidFill>
              <a:schemeClr val="accent1"/>
            </a:solidFill>
            <a:ln>
              <a:noFill/>
            </a:ln>
            <a:effectLst/>
          </c:spPr>
          <c:invertIfNegative val="0"/>
          <c:cat>
            <c:strRef>
              <c:f>Sheet1!$G$28:$G$31</c:f>
              <c:strCache>
                <c:ptCount val="4"/>
                <c:pt idx="0">
                  <c:v>Foam</c:v>
                </c:pt>
                <c:pt idx="1">
                  <c:v>Fibre</c:v>
                </c:pt>
                <c:pt idx="2">
                  <c:v>Hair</c:v>
                </c:pt>
                <c:pt idx="3">
                  <c:v>Metal Particulate</c:v>
                </c:pt>
              </c:strCache>
            </c:strRef>
          </c:cat>
          <c:val>
            <c:numRef>
              <c:f>Sheet1!$H$28:$H$31</c:f>
              <c:numCache>
                <c:formatCode>General</c:formatCode>
                <c:ptCount val="4"/>
                <c:pt idx="0">
                  <c:v>8</c:v>
                </c:pt>
                <c:pt idx="1">
                  <c:v>6</c:v>
                </c:pt>
                <c:pt idx="2">
                  <c:v>5</c:v>
                </c:pt>
                <c:pt idx="3">
                  <c:v>1</c:v>
                </c:pt>
              </c:numCache>
            </c:numRef>
          </c:val>
          <c:extLst>
            <c:ext xmlns:c16="http://schemas.microsoft.com/office/drawing/2014/chart" uri="{C3380CC4-5D6E-409C-BE32-E72D297353CC}">
              <c16:uniqueId val="{00000000-3DB9-460E-B81B-9CF58DDAD616}"/>
            </c:ext>
          </c:extLst>
        </c:ser>
        <c:dLbls>
          <c:showLegendKey val="0"/>
          <c:showVal val="0"/>
          <c:showCatName val="0"/>
          <c:showSerName val="0"/>
          <c:showPercent val="0"/>
          <c:showBubbleSize val="0"/>
        </c:dLbls>
        <c:gapWidth val="219"/>
        <c:overlap val="-27"/>
        <c:axId val="336530352"/>
        <c:axId val="336530680"/>
      </c:barChart>
      <c:catAx>
        <c:axId val="336530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Failure</a:t>
                </a:r>
                <a:r>
                  <a:rPr lang="en-GB" baseline="0"/>
                  <a:t> Mode Category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530680"/>
        <c:crosses val="autoZero"/>
        <c:auto val="1"/>
        <c:lblAlgn val="ctr"/>
        <c:lblOffset val="100"/>
        <c:noMultiLvlLbl val="0"/>
      </c:catAx>
      <c:valAx>
        <c:axId val="336530680"/>
        <c:scaling>
          <c:orientation val="minMax"/>
        </c:scaling>
        <c:delete val="0"/>
        <c:axPos val="l"/>
        <c:majorGridlines>
          <c:spPr>
            <a:ln w="9525" cap="flat" cmpd="sng" algn="ctr">
              <a:solidFill>
                <a:sysClr val="windowText" lastClr="000000"/>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Quantity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530352"/>
        <c:crosses val="autoZero"/>
        <c:crossBetween val="between"/>
      </c:valAx>
      <c:spPr>
        <a:noFill/>
        <a:ln>
          <a:noFill/>
        </a:ln>
        <a:effectLst/>
      </c:spPr>
    </c:plotArea>
    <c:plotVisOnly val="1"/>
    <c:dispBlanksAs val="gap"/>
    <c:showDLblsOverMax val="0"/>
  </c:chart>
  <c:spPr>
    <a:solidFill>
      <a:schemeClr val="bg1"/>
    </a:solidFill>
    <a:ln w="12700" cap="flat" cmpd="sng" algn="ctr">
      <a:solidFill>
        <a:sysClr val="windowText" lastClr="00000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HSE20</b:Tag>
    <b:SourceType>Book</b:SourceType>
    <b:Guid>{3CE52710-A6D7-4C47-8946-D94710BD971E}</b:Guid>
    <b:Title>EH40/2005 Workplace exposure limits</b:Title>
    <b:Year>Fourth Edition 2020</b:Year>
    <b:Publisher>TSO (the Stationery Office). part of Williams Lea</b:Publisher>
    <b:Author>
      <b:Author>
        <b:Corporate>HSE</b:Corporate>
      </b:Author>
    </b:Author>
    <b:RefOrder>2</b:RefOrder>
  </b:Source>
  <b:Source>
    <b:Tag>Uni09</b:Tag>
    <b:SourceType>Misc</b:SourceType>
    <b:Guid>{7ECCEB07-003B-40D6-A7F7-8A8C6E1C5B6A}</b:Guid>
    <b:Author>
      <b:Author>
        <b:Corporate>United States Pharmacopeia</b:Corporate>
      </b:Author>
    </b:Author>
    <b:Title>&lt;85&gt;  Bacterial endotoxins Test</b:Title>
    <b:PublicationTitle>© 2009 USPC Official 8/1/09 - 11/30/09 General Chapters: &lt;85&gt;  Bacterial endotoxins Test</b:PublicationTitle>
    <b:Year>2009</b:Year>
    <b:Publisher>United States Pharmacopeia</b:Publisher>
    <b:RefOrder>3</b:RefOrder>
  </b:Source>
  <b:Source>
    <b:Tag>Uni</b:Tag>
    <b:SourceType>Misc</b:SourceType>
    <b:Guid>{5D7E4D34-7973-4303-93AD-CDD13BCA6B0C}</b:Guid>
    <b:Author>
      <b:Author>
        <b:Corporate>United States Pharmacopeia</b:Corporate>
      </b:Author>
    </b:Author>
    <b:Title>&lt;1231&gt; Water for pharmaceutical purposes</b:Title>
    <b:PublicationTitle>© 2009 USPC 8/1/09 - 11/30/09 general chapters: &lt;1231&gt; Water for pharmaceutical purposes</b:PublicationTitle>
    <b:Year>2009</b:Year>
    <b:Publisher>United States Pharmacopeia</b:Publisher>
    <b:RefOrder>4</b:RefOrder>
  </b:Source>
  <b:Source>
    <b:Tag>Uni091</b:Tag>
    <b:SourceType>Misc</b:SourceType>
    <b:Guid>{4E65C67D-2B33-4154-BB43-DB90F78DC883}</b:Guid>
    <b:Author>
      <b:Author>
        <b:Corporate>United States Pharmacopeia</b:Corporate>
      </b:Author>
    </b:Author>
    <b:Title>&lt;643&gt; Total Organic Carbon</b:Title>
    <b:PublicationTitle>© 2009 USPC Official 8/1/09 - 11/30/09 General Chapters: &lt;643&gt; Total Organic Carbon</b:PublicationTitle>
    <b:Year>2009</b:Year>
    <b:Publisher>United States Pharmacopeia</b:Publisher>
    <b:RefOrder>5</b:RefOrder>
  </b:Source>
  <b:Source>
    <b:Tag>Uni092</b:Tag>
    <b:SourceType>Misc</b:SourceType>
    <b:Guid>{747D89F7-23BB-4B68-AF64-6F99A9A72FD2}</b:Guid>
    <b:Author>
      <b:Author>
        <b:Corporate>United States Pharmacopeia</b:Corporate>
      </b:Author>
    </b:Author>
    <b:Title>&lt;645&gt; Water Conductivity</b:Title>
    <b:PublicationTitle>© 2009 USPC Official 8/1/09 - 11/30/09 General Chapters: &lt;645&gt; Water Conductivity</b:PublicationTitle>
    <b:Year>2009</b:Year>
    <b:Publisher>United States Pharmacopeia</b:Publisher>
    <b:RefOrder>6</b:RefOrder>
  </b:Source>
  <b:Source>
    <b:Tag>VEO16</b:Tag>
    <b:SourceType>Misc</b:SourceType>
    <b:Guid>{66101B36-9C34-4775-9778-E7B7DDA5F56A}</b:Guid>
    <b:Author>
      <b:Author>
        <b:Corporate>VEOLIA</b:Corporate>
      </b:Author>
    </b:Author>
    <b:Title>P &amp; I Diagram ORION III 6000 - VWT- Biomet UK Ltd</b:Title>
    <b:Year>8th September 2016</b:Year>
    <b:Publisher>VEOLIA</b:Publisher>
    <b:RefOrder>1</b:RefOrder>
  </b:Source>
</b:Sources>
</file>

<file path=customXml/itemProps1.xml><?xml version="1.0" encoding="utf-8"?>
<ds:datastoreItem xmlns:ds="http://schemas.openxmlformats.org/officeDocument/2006/customXml" ds:itemID="{3D1CB2E6-17AF-4C01-A791-E5E799B49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502</TotalTime>
  <Pages>18</Pages>
  <Words>2436</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Evans</dc:creator>
  <cp:keywords/>
  <dc:description/>
  <cp:lastModifiedBy>Amy Evans</cp:lastModifiedBy>
  <cp:revision>16</cp:revision>
  <dcterms:created xsi:type="dcterms:W3CDTF">2020-04-14T14:53:00Z</dcterms:created>
  <dcterms:modified xsi:type="dcterms:W3CDTF">2020-04-30T11:23:00Z</dcterms:modified>
</cp:coreProperties>
</file>