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1B9D3AB">
      <w:pPr>
        <w:spacing w:before="212"/>
        <w:jc w:val="center"/>
        <w:rPr>
          <w:rFonts w:ascii="Arial"/>
          <w:b/>
          <w:sz w:val="56"/>
        </w:rPr>
      </w:pPr>
      <w:r>
        <w:rPr>
          <w:rFonts w:ascii="Arial"/>
          <w:b/>
          <w:sz w:val="56"/>
        </w:rPr>
        <w:drawing>
          <wp:inline distT="0" distB="0" distL="0" distR="0">
            <wp:extent cx="3524250" cy="1404620"/>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14:paraId="70F9F9D8">
      <w:pPr>
        <w:spacing w:before="212"/>
        <w:jc w:val="center"/>
        <w:rPr>
          <w:rFonts w:ascii="Arial"/>
          <w:b/>
          <w:sz w:val="36"/>
          <w:szCs w:val="36"/>
        </w:rPr>
      </w:pPr>
    </w:p>
    <w:p w14:paraId="40F2D28C">
      <w:pPr>
        <w:spacing w:before="212"/>
        <w:rPr>
          <w:rFonts w:ascii="Arial"/>
          <w:b/>
          <w:sz w:val="56"/>
        </w:rPr>
      </w:pPr>
    </w:p>
    <w:p w14:paraId="3E842119">
      <w:pPr>
        <w:spacing w:before="212"/>
        <w:rPr>
          <w:rFonts w:ascii="Arial"/>
          <w:b/>
          <w:sz w:val="48"/>
          <w:szCs w:val="48"/>
        </w:rPr>
      </w:pPr>
      <w:r>
        <w:rPr>
          <w:rFonts w:ascii="Arial"/>
          <w:b/>
          <w:sz w:val="48"/>
          <w:szCs w:val="48"/>
        </w:rPr>
        <w:t>MODULE CODE: ECDE7020</w:t>
      </w:r>
    </w:p>
    <w:p w14:paraId="6DF6868F">
      <w:pPr>
        <w:spacing w:before="212"/>
        <w:rPr>
          <w:rFonts w:ascii="Arial"/>
          <w:b/>
          <w:sz w:val="48"/>
          <w:szCs w:val="48"/>
        </w:rPr>
      </w:pPr>
    </w:p>
    <w:p w14:paraId="25950AEC">
      <w:pPr>
        <w:spacing w:before="212"/>
        <w:rPr>
          <w:rFonts w:ascii="Arial"/>
          <w:b/>
          <w:sz w:val="48"/>
          <w:szCs w:val="48"/>
        </w:rPr>
      </w:pPr>
      <w:r>
        <w:rPr>
          <w:rFonts w:ascii="Arial"/>
          <w:b/>
          <w:sz w:val="48"/>
          <w:szCs w:val="48"/>
        </w:rPr>
        <w:t>ASSESSMENT COMPONENT: 3</w:t>
      </w:r>
    </w:p>
    <w:p w14:paraId="61D0B3A8">
      <w:pPr>
        <w:spacing w:before="7"/>
        <w:jc w:val="center"/>
        <w:rPr>
          <w:rFonts w:ascii="Arial"/>
          <w:b/>
          <w:sz w:val="44"/>
        </w:rPr>
      </w:pPr>
    </w:p>
    <w:p w14:paraId="1E892F84">
      <w:pPr>
        <w:spacing w:before="3"/>
        <w:rPr>
          <w:rFonts w:hint="default" w:ascii="Arial" w:eastAsia="宋体"/>
          <w:b/>
          <w:sz w:val="48"/>
          <w:szCs w:val="48"/>
          <w:lang w:val="en-US" w:eastAsia="zh-CN"/>
        </w:rPr>
      </w:pPr>
      <w:r>
        <w:rPr>
          <w:rFonts w:ascii="Arial"/>
          <w:b/>
          <w:sz w:val="48"/>
          <w:szCs w:val="48"/>
        </w:rPr>
        <w:t>STUDENT NAME:</w:t>
      </w:r>
      <w:r>
        <w:rPr>
          <w:rFonts w:hint="eastAsia" w:ascii="Arial" w:eastAsia="宋体"/>
          <w:b/>
          <w:sz w:val="48"/>
          <w:szCs w:val="48"/>
          <w:lang w:val="en-US" w:eastAsia="zh-CN"/>
        </w:rPr>
        <w:t>MENGYING HUANG</w:t>
      </w:r>
    </w:p>
    <w:p w14:paraId="0FF09B9F">
      <w:pPr>
        <w:spacing w:before="3"/>
        <w:rPr>
          <w:rFonts w:ascii="Arial"/>
          <w:b/>
          <w:sz w:val="48"/>
          <w:szCs w:val="48"/>
        </w:rPr>
      </w:pPr>
    </w:p>
    <w:p w14:paraId="1C8ECCE0">
      <w:pPr>
        <w:spacing w:before="3"/>
        <w:rPr>
          <w:rFonts w:hint="default" w:ascii="Arial" w:eastAsia="宋体"/>
          <w:b/>
          <w:sz w:val="48"/>
          <w:szCs w:val="48"/>
          <w:lang w:val="en-US" w:eastAsia="zh-CN"/>
        </w:rPr>
      </w:pPr>
      <w:r>
        <w:rPr>
          <w:rFonts w:ascii="Arial"/>
          <w:b/>
          <w:sz w:val="48"/>
          <w:szCs w:val="48"/>
        </w:rPr>
        <w:t>STUDENT NUMBER:</w:t>
      </w:r>
      <w:r>
        <w:rPr>
          <w:rFonts w:hint="eastAsia" w:ascii="Arial" w:eastAsia="宋体"/>
          <w:b/>
          <w:sz w:val="48"/>
          <w:szCs w:val="48"/>
          <w:lang w:val="en-US" w:eastAsia="zh-CN"/>
        </w:rPr>
        <w:t>2306791</w:t>
      </w:r>
    </w:p>
    <w:p w14:paraId="2D566400">
      <w:pPr>
        <w:rPr>
          <w:rFonts w:ascii="Arial"/>
          <w:b/>
          <w:sz w:val="47"/>
        </w:rPr>
      </w:pPr>
    </w:p>
    <w:p w14:paraId="6647176F">
      <w:pPr>
        <w:ind w:left="100"/>
        <w:jc w:val="center"/>
        <w:rPr>
          <w:rFonts w:ascii="Arial"/>
          <w:b/>
          <w:sz w:val="47"/>
        </w:rPr>
      </w:pPr>
    </w:p>
    <w:p w14:paraId="505AE972">
      <w:pPr>
        <w:ind w:left="100"/>
        <w:rPr>
          <w:rFonts w:ascii="Arial"/>
          <w:b/>
          <w:sz w:val="47"/>
        </w:rPr>
      </w:pPr>
    </w:p>
    <w:p w14:paraId="4ABA9860">
      <w:pPr>
        <w:ind w:left="100"/>
        <w:rPr>
          <w:rFonts w:ascii="Arial"/>
          <w:b/>
          <w:sz w:val="47"/>
        </w:rPr>
      </w:pPr>
    </w:p>
    <w:p w14:paraId="73746C2B">
      <w:pPr>
        <w:ind w:left="100"/>
        <w:rPr>
          <w:rFonts w:ascii="Arial"/>
          <w:b/>
          <w:sz w:val="47"/>
        </w:rPr>
      </w:pPr>
      <w:r>
        <w:rPr>
          <w:rFonts w:ascii="Arial"/>
          <w:b/>
          <w:sz w:val="47"/>
        </w:rPr>
        <w:t>Doctorate in Education (EdD)</w:t>
      </w:r>
    </w:p>
    <w:p w14:paraId="62CA6AA7">
      <w:pPr>
        <w:rPr>
          <w:rFonts w:ascii="Arial" w:hAnsi="Arial" w:cs="Arial"/>
          <w:b/>
          <w:bCs/>
          <w:sz w:val="24"/>
          <w:szCs w:val="24"/>
        </w:rPr>
      </w:pPr>
      <w:r>
        <w:rPr>
          <w:rFonts w:ascii="Arial" w:hAnsi="Arial" w:cs="Arial"/>
          <w:b/>
          <w:bCs/>
          <w:sz w:val="24"/>
          <w:szCs w:val="24"/>
        </w:rPr>
        <w:br w:type="page"/>
      </w: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MENGYING HUANG</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Segoe UI Symbol" w:hAnsi="Segoe UI Symbol" w:eastAsia="MS Gothic" w:cs="Segoe UI Symbol"/>
                    <w:sz w:val="22"/>
                    <w:szCs w:val="22"/>
                  </w:rPr>
                  <w:t>☐</w:t>
                </w:r>
              </w:p>
            </w:tc>
          </w:sdtContent>
        </w:sdt>
      </w:tr>
    </w:tbl>
    <w:p w14:paraId="27426EAC">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FD612A7">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Education &amp; Humanities</w:t>
            </w:r>
          </w:p>
          <w:p w14:paraId="72964C02">
            <w:pPr>
              <w:rPr>
                <w:rFonts w:ascii="Arial" w:hAnsi="Arial" w:cs="Arial"/>
                <w:sz w:val="22"/>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39283D7C">
            <w:pPr>
              <w:rPr>
                <w:rFonts w:ascii="Arial" w:hAnsi="Arial" w:cs="Arial"/>
                <w:sz w:val="22"/>
                <w:szCs w:val="22"/>
              </w:rPr>
            </w:pPr>
          </w:p>
          <w:p w14:paraId="57CB938A">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Swansea campus</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6D16D89E">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2306791@student.uwtsd.ac.uk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+4407879938032</w:t>
            </w:r>
          </w:p>
          <w:p w14:paraId="331BC1EA">
            <w:pPr>
              <w:rPr>
                <w:rFonts w:ascii="Arial" w:hAnsi="Arial" w:cs="Arial"/>
                <w:sz w:val="22"/>
                <w:szCs w:val="22"/>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2306791</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hint="eastAsia" w:ascii="Arial" w:hAnsi="Arial" w:cs="Arial"/>
                <w:sz w:val="22"/>
                <w:szCs w:val="22"/>
              </w:rPr>
              <w:t>Research Design and Management in Education (ECDE7020)</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Catherine Morgan</w:t>
            </w: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14:paraId="12B500FD">
            <w:pPr>
              <w:autoSpaceDE w:val="0"/>
              <w:autoSpaceDN w:val="0"/>
              <w:adjustRightInd w:val="0"/>
              <w:jc w:val="cente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20 March 2025</w:t>
            </w: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The relationship between Chenguang middle school students</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growth mindset and mathematics anxiety in Jiangxi province in China</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 March 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30 Sept 2025</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0"/>
              <w:numPr>
                <w:ilvl w:val="0"/>
                <w:numId w:val="1"/>
              </w:numPr>
              <w:ind w:left="0"/>
              <w:contextualSpacing w:val="0"/>
              <w:rPr>
                <w:rFonts w:ascii="Arial" w:hAnsi="Arial" w:cs="Arial"/>
                <w:i/>
              </w:rPr>
            </w:pPr>
            <w:r>
              <w:rPr>
                <w:rFonts w:ascii="Arial" w:hAnsi="Arial" w:cs="Arial"/>
                <w:i/>
              </w:rPr>
              <w:t>Purpose of Research Activity</w:t>
            </w:r>
          </w:p>
          <w:p w14:paraId="51A7B78C">
            <w:pPr>
              <w:pStyle w:val="30"/>
              <w:numPr>
                <w:ilvl w:val="0"/>
                <w:numId w:val="1"/>
              </w:numPr>
              <w:ind w:left="0"/>
              <w:contextualSpacing w:val="0"/>
              <w:rPr>
                <w:rFonts w:ascii="Arial" w:hAnsi="Arial" w:cs="Arial"/>
                <w:i/>
              </w:rPr>
            </w:pPr>
            <w:r>
              <w:rPr>
                <w:rFonts w:ascii="Arial" w:hAnsi="Arial" w:cs="Arial"/>
                <w:i/>
              </w:rPr>
              <w:t>Proposed Research Question</w:t>
            </w:r>
          </w:p>
          <w:p w14:paraId="2A394C41">
            <w:pPr>
              <w:pStyle w:val="30"/>
              <w:numPr>
                <w:ilvl w:val="0"/>
                <w:numId w:val="1"/>
              </w:numPr>
              <w:ind w:left="0"/>
              <w:contextualSpacing w:val="0"/>
              <w:rPr>
                <w:rFonts w:ascii="Arial" w:hAnsi="Arial" w:cs="Arial"/>
                <w:i/>
              </w:rPr>
            </w:pPr>
            <w:r>
              <w:rPr>
                <w:rFonts w:ascii="Arial" w:hAnsi="Arial" w:cs="Arial"/>
                <w:i/>
              </w:rPr>
              <w:t>Aims of Research Activity</w:t>
            </w:r>
          </w:p>
          <w:p w14:paraId="732F1DA5">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5F64A457">
            <w:pPr>
              <w:keepNext w:val="0"/>
              <w:keepLines w:val="0"/>
              <w:pageBreakBefore w:val="0"/>
              <w:widowControl/>
              <w:kinsoku/>
              <w:wordWrap/>
              <w:overflowPunct/>
              <w:topLinePunct w:val="0"/>
              <w:autoSpaceDE/>
              <w:autoSpaceDN/>
              <w:bidi w:val="0"/>
              <w:adjustRightInd/>
              <w:snapToGrid/>
              <w:spacing w:line="360" w:lineRule="auto"/>
              <w:ind w:firstLine="400" w:firstLineChars="200"/>
              <w:jc w:val="both"/>
              <w:textAlignment w:val="auto"/>
              <w:rPr>
                <w:rFonts w:ascii="Arial" w:hAnsi="Arial" w:cs="Arial"/>
              </w:rPr>
            </w:pPr>
            <w:r>
              <w:rPr>
                <w:rFonts w:hint="eastAsia" w:ascii="Arial" w:hAnsi="Arial" w:cs="Arial"/>
              </w:rPr>
              <w:t>This study aims to explore the relationship between growth mindset and math anxiety among junior high school students at Chenguang Middle School in Jiujiang City, Jiangxi Province. By administering standardized questionnaires based on the PISA 2022 growth mindset and math anxiety scales to all junior high students at the school, the research will analyze the correlation between these two factors and their underlying mechanisms. The study seeks to determine whether a growth mindset (e.g., belief in the malleability of ability) can mitigate students' math anxiety, thereby providing theoretical support for educational practices. Additionally, the findings will offer data-driven insights for the school to implement targeted mental health education and math learning support, helping teachers better understand students' psychological states and optimize teaching strategies. Ultimately, the research aims to enhance students' math learning efficacy and promote their overall academic and psychological well-being.</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43E4BFAF">
            <w:pPr>
              <w:keepNext w:val="0"/>
              <w:keepLines w:val="0"/>
              <w:pageBreakBefore w:val="0"/>
              <w:widowControl/>
              <w:kinsoku/>
              <w:wordWrap/>
              <w:overflowPunct/>
              <w:topLinePunct w:val="0"/>
              <w:autoSpaceDE/>
              <w:autoSpaceDN/>
              <w:bidi w:val="0"/>
              <w:adjustRightInd/>
              <w:snapToGrid/>
              <w:spacing w:line="360" w:lineRule="auto"/>
              <w:textAlignment w:val="auto"/>
              <w:rPr>
                <w:rFonts w:ascii="Arial" w:hAnsi="Arial" w:cs="Arial"/>
              </w:rPr>
            </w:pPr>
            <w:r>
              <w:rPr>
                <w:rFonts w:hint="eastAsia" w:ascii="Arial" w:hAnsi="Arial" w:cs="Arial"/>
              </w:rPr>
              <w:t>What is the relationship between growth mindset and math</w:t>
            </w:r>
            <w:r>
              <w:rPr>
                <w:rFonts w:hint="eastAsia" w:ascii="Arial" w:hAnsi="Arial" w:eastAsia="宋体" w:cs="Arial"/>
                <w:lang w:val="en-US" w:eastAsia="zh-CN"/>
              </w:rPr>
              <w:t>ematics</w:t>
            </w:r>
            <w:r>
              <w:rPr>
                <w:rFonts w:hint="eastAsia" w:ascii="Arial" w:hAnsi="Arial" w:cs="Arial"/>
              </w:rPr>
              <w:t xml:space="preserve"> anxiety among junior high school students at Chenguang Middle School in Jiujiang, Jiangxi?</w:t>
            </w:r>
          </w:p>
          <w:p w14:paraId="76C0468A">
            <w:pPr>
              <w:autoSpaceDE w:val="0"/>
              <w:autoSpaceDN w:val="0"/>
              <w:adjustRightInd w:val="0"/>
              <w:rPr>
                <w:rFonts w:ascii="Arial" w:hAnsi="Arial" w:cs="Arial"/>
                <w:b/>
                <w:bCs/>
                <w:sz w:val="22"/>
                <w:szCs w:val="22"/>
              </w:rPr>
            </w:pP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574A3C8C">
            <w:pPr>
              <w:keepNext w:val="0"/>
              <w:keepLines w:val="0"/>
              <w:pageBreakBefore w:val="0"/>
              <w:widowControl/>
              <w:kinsoku/>
              <w:wordWrap/>
              <w:overflowPunct/>
              <w:topLinePunct w:val="0"/>
              <w:autoSpaceDE/>
              <w:autoSpaceDN/>
              <w:bidi w:val="0"/>
              <w:adjustRightInd/>
              <w:snapToGrid/>
              <w:spacing w:line="360" w:lineRule="auto"/>
              <w:ind w:firstLine="400" w:firstLineChars="200"/>
              <w:jc w:val="both"/>
              <w:textAlignment w:val="auto"/>
              <w:rPr>
                <w:rFonts w:ascii="Arial" w:hAnsi="Arial" w:cs="Arial"/>
              </w:rPr>
            </w:pPr>
            <w:r>
              <w:rPr>
                <w:rFonts w:hint="eastAsia" w:ascii="Arial" w:hAnsi="Arial" w:cs="Arial"/>
              </w:rPr>
              <w:t>This study aims to investigate the relationship between growth mindset and math anxiety among junior high school students at Chenguang Middle School in Jiujiang, Jiangxi Province. Using PISA 2022's growth mindset and math anxiety scales in a school-wide survey, we will examine how these psychological factors interact and influence students' mathematics learning. The findings are expected to provide teachers with insights into students' psychological profiles, enabling them to develop targeted strategies that foster growth mindset while reducing math anxiety, ultimately enhancing students' mathematical proficiency and academic performance.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37171CA">
            <w:pPr>
              <w:autoSpaceDE w:val="0"/>
              <w:autoSpaceDN w:val="0"/>
              <w:adjustRightInd w:val="0"/>
              <w:rPr>
                <w:rFonts w:ascii="Arial" w:hAnsi="Arial" w:cs="Arial"/>
              </w:rPr>
            </w:pPr>
            <w:r>
              <w:rPr>
                <w:rFonts w:ascii="Arial" w:hAnsi="Arial" w:cs="Arial"/>
                <w:b/>
                <w:bCs/>
                <w:sz w:val="22"/>
                <w:szCs w:val="22"/>
              </w:rPr>
              <w:t>Objectives of Research Activity</w:t>
            </w:r>
          </w:p>
          <w:p w14:paraId="195CBC88">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textAlignment w:val="auto"/>
              <w:rPr>
                <w:rFonts w:hint="eastAsia" w:ascii="Arial" w:hAnsi="Arial" w:eastAsia="宋体" w:cs="Arial"/>
                <w:sz w:val="20"/>
                <w:szCs w:val="20"/>
                <w:lang w:val="en-US" w:eastAsia="zh-CN"/>
              </w:rPr>
            </w:pPr>
            <w:r>
              <w:rPr>
                <w:rFonts w:hint="eastAsia" w:ascii="Arial" w:hAnsi="Arial" w:eastAsia="宋体" w:cs="Arial"/>
                <w:sz w:val="20"/>
                <w:szCs w:val="20"/>
                <w:lang w:val="en-US" w:eastAsia="zh-CN"/>
              </w:rPr>
              <w:t>To examine the correlation between growth mindset and mathematics anxiety among junior high students at Chenguang Middle School.</w:t>
            </w:r>
          </w:p>
          <w:p w14:paraId="765195E5">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textAlignment w:val="auto"/>
              <w:rPr>
                <w:rFonts w:hint="eastAsia" w:ascii="Arial" w:hAnsi="Arial" w:eastAsia="宋体" w:cs="Arial"/>
                <w:sz w:val="20"/>
                <w:szCs w:val="20"/>
                <w:lang w:val="en-US" w:eastAsia="zh-CN"/>
              </w:rPr>
            </w:pPr>
            <w:r>
              <w:rPr>
                <w:rFonts w:hint="eastAsia" w:ascii="Arial" w:hAnsi="Arial" w:eastAsia="宋体" w:cs="Arial"/>
                <w:sz w:val="20"/>
                <w:szCs w:val="20"/>
                <w:lang w:val="en-US" w:eastAsia="zh-CN"/>
              </w:rPr>
              <w:t>To establish baseline data on both psychological constructs within the sample population.</w:t>
            </w:r>
          </w:p>
          <w:p w14:paraId="1AB296AD">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textAlignment w:val="auto"/>
              <w:rPr>
                <w:rFonts w:hint="default" w:ascii="Arial" w:hAnsi="Arial" w:eastAsia="宋体" w:cs="Arial"/>
                <w:sz w:val="20"/>
                <w:szCs w:val="20"/>
                <w:lang w:val="en-US" w:eastAsia="zh-CN"/>
              </w:rPr>
            </w:pPr>
            <w:r>
              <w:rPr>
                <w:rFonts w:hint="default" w:ascii="Arial" w:hAnsi="Arial" w:eastAsia="宋体" w:cs="Arial"/>
                <w:sz w:val="20"/>
                <w:szCs w:val="20"/>
                <w:lang w:val="en-US" w:eastAsia="zh-CN"/>
              </w:rPr>
              <w:t>To provide evidence-based recommendations for mindset intervention programs</w:t>
            </w:r>
            <w:r>
              <w:rPr>
                <w:rFonts w:hint="eastAsia" w:ascii="Arial" w:hAnsi="Arial" w:eastAsia="宋体" w:cs="Arial"/>
                <w:sz w:val="20"/>
                <w:szCs w:val="20"/>
                <w:lang w:val="en-US" w:eastAsia="zh-CN"/>
              </w:rPr>
              <w:t>.</w:t>
            </w:r>
          </w:p>
          <w:p w14:paraId="0BDCF927">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textAlignment w:val="auto"/>
              <w:rPr>
                <w:rFonts w:hint="default" w:ascii="Arial" w:hAnsi="Arial" w:eastAsia="宋体" w:cs="Arial"/>
                <w:sz w:val="20"/>
                <w:szCs w:val="20"/>
                <w:lang w:val="en-US" w:eastAsia="zh-CN"/>
              </w:rPr>
            </w:pPr>
            <w:r>
              <w:rPr>
                <w:rFonts w:hint="default" w:ascii="Arial" w:hAnsi="Arial" w:eastAsia="宋体" w:cs="Arial"/>
                <w:sz w:val="20"/>
                <w:szCs w:val="20"/>
                <w:lang w:val="en-US" w:eastAsia="zh-CN"/>
              </w:rPr>
              <w:t>To develop targeted strategies for reducing math anxiety in classroom settings</w:t>
            </w:r>
            <w:r>
              <w:rPr>
                <w:rFonts w:hint="eastAsia" w:ascii="Arial" w:hAnsi="Arial" w:eastAsia="宋体" w:cs="Arial"/>
                <w:sz w:val="20"/>
                <w:szCs w:val="20"/>
                <w:lang w:val="en-US" w:eastAsia="zh-CN"/>
              </w:rPr>
              <w:t>.</w:t>
            </w:r>
          </w:p>
          <w:p w14:paraId="5825666D">
            <w:pPr>
              <w:keepNext w:val="0"/>
              <w:keepLines w:val="0"/>
              <w:pageBreakBefore w:val="0"/>
              <w:widowControl/>
              <w:numPr>
                <w:ilvl w:val="0"/>
                <w:numId w:val="2"/>
              </w:numPr>
              <w:kinsoku/>
              <w:wordWrap/>
              <w:overflowPunct/>
              <w:topLinePunct w:val="0"/>
              <w:autoSpaceDE/>
              <w:autoSpaceDN/>
              <w:bidi w:val="0"/>
              <w:adjustRightInd/>
              <w:snapToGrid/>
              <w:spacing w:line="360" w:lineRule="auto"/>
              <w:ind w:left="420" w:leftChars="0" w:hanging="420" w:firstLineChars="0"/>
              <w:textAlignment w:val="auto"/>
              <w:rPr>
                <w:rFonts w:hint="default" w:ascii="Arial" w:hAnsi="Arial" w:eastAsia="宋体" w:cs="Arial"/>
                <w:sz w:val="22"/>
                <w:szCs w:val="22"/>
                <w:lang w:val="en-US" w:eastAsia="zh-CN"/>
              </w:rPr>
            </w:pPr>
            <w:r>
              <w:rPr>
                <w:rFonts w:hint="default" w:ascii="Arial" w:hAnsi="Arial" w:eastAsia="宋体" w:cs="Arial"/>
                <w:sz w:val="20"/>
                <w:szCs w:val="20"/>
                <w:lang w:val="en-US" w:eastAsia="zh-CN"/>
              </w:rPr>
              <w:t>To create reference materials for teacher training on psychological factors in math education</w:t>
            </w:r>
            <w:r>
              <w:rPr>
                <w:rFonts w:hint="eastAsia" w:ascii="Arial" w:hAnsi="Arial" w:eastAsia="宋体" w:cs="Arial"/>
                <w:sz w:val="20"/>
                <w:szCs w:val="20"/>
                <w:lang w:val="en-US" w:eastAsia="zh-CN"/>
              </w:rPr>
              <w:t>.</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79321A55">
            <w:pPr>
              <w:keepNext w:val="0"/>
              <w:keepLines w:val="0"/>
              <w:pageBreakBefore w:val="0"/>
              <w:widowControl/>
              <w:kinsoku/>
              <w:wordWrap/>
              <w:overflowPunct/>
              <w:topLinePunct w:val="0"/>
              <w:autoSpaceDE/>
              <w:autoSpaceDN/>
              <w:bidi w:val="0"/>
              <w:adjustRightInd w:val="0"/>
              <w:snapToGrid/>
              <w:spacing w:line="360" w:lineRule="auto"/>
              <w:ind w:firstLine="440" w:firstLineChars="200"/>
              <w:textAlignment w:val="auto"/>
              <w:rPr>
                <w:rFonts w:hint="eastAsia" w:ascii="Arial" w:hAnsi="Arial" w:cs="Arial"/>
                <w:sz w:val="22"/>
                <w:szCs w:val="22"/>
              </w:rPr>
            </w:pPr>
            <w:r>
              <w:rPr>
                <w:rFonts w:hint="eastAsia" w:ascii="Arial" w:hAnsi="Arial" w:cs="Arial"/>
                <w:sz w:val="22"/>
                <w:szCs w:val="22"/>
              </w:rPr>
              <w:t>This study adopts a quantitative research approach to investigate the relationship between growth mindset and mathematics anxiety among all 7th to 9th grade students (estimated N=1200) at Chenguang Middle School in Jiujiang, Jiangxi Province. The research utilizes PISA 2022's 5-item Growth Mindset Scale and 6-item Mathematics Anxiety Scale, both employing a 4-point Likert scale for measurement. Additionally, the study collects demographic information (including grade level, gender, and age) and academic performance data such as students' most recent mathematics examination scores.</w:t>
            </w:r>
          </w:p>
          <w:p w14:paraId="108EF2F7">
            <w:pPr>
              <w:keepNext w:val="0"/>
              <w:keepLines w:val="0"/>
              <w:pageBreakBefore w:val="0"/>
              <w:widowControl/>
              <w:kinsoku/>
              <w:wordWrap/>
              <w:overflowPunct/>
              <w:topLinePunct w:val="0"/>
              <w:autoSpaceDE/>
              <w:autoSpaceDN/>
              <w:bidi w:val="0"/>
              <w:adjustRightInd w:val="0"/>
              <w:snapToGrid/>
              <w:spacing w:line="360" w:lineRule="auto"/>
              <w:ind w:firstLine="440" w:firstLineChars="200"/>
              <w:textAlignment w:val="auto"/>
              <w:rPr>
                <w:rFonts w:hint="eastAsia" w:ascii="Arial" w:hAnsi="Arial" w:cs="Arial"/>
                <w:sz w:val="22"/>
                <w:szCs w:val="22"/>
              </w:rPr>
            </w:pPr>
            <w:r>
              <w:rPr>
                <w:rFonts w:hint="eastAsia" w:ascii="Arial" w:hAnsi="Arial" w:cs="Arial"/>
                <w:sz w:val="22"/>
                <w:szCs w:val="22"/>
              </w:rPr>
              <w:t>Data collection will be conducted during regular class hours, with paper-based questionnaires administered under the supervision of professionally trained research assistants. The completion process requires approximately 20 minutes. To ensure data quality, all questionnaires are collected anonymously, with each participant assigned a unique identification code. For data management, the study employs Epidata software for double-entry procedures, with all data stored on password-protected servers. Rigorous data cleaning protocols are implemented to address missing or inconsistent responses.</w:t>
            </w:r>
          </w:p>
          <w:p w14:paraId="1032D7F2">
            <w:pPr>
              <w:keepNext w:val="0"/>
              <w:keepLines w:val="0"/>
              <w:pageBreakBefore w:val="0"/>
              <w:widowControl/>
              <w:kinsoku/>
              <w:wordWrap/>
              <w:overflowPunct/>
              <w:topLinePunct w:val="0"/>
              <w:autoSpaceDE/>
              <w:autoSpaceDN/>
              <w:bidi w:val="0"/>
              <w:adjustRightInd w:val="0"/>
              <w:snapToGrid/>
              <w:spacing w:line="360" w:lineRule="auto"/>
              <w:ind w:firstLine="440" w:firstLineChars="200"/>
              <w:textAlignment w:val="auto"/>
              <w:rPr>
                <w:rFonts w:hint="eastAsia" w:ascii="Arial" w:hAnsi="Arial" w:cs="Arial"/>
                <w:sz w:val="22"/>
                <w:szCs w:val="22"/>
              </w:rPr>
            </w:pPr>
            <w:r>
              <w:rPr>
                <w:rFonts w:hint="eastAsia" w:ascii="Arial" w:hAnsi="Arial" w:cs="Arial"/>
                <w:sz w:val="22"/>
                <w:szCs w:val="22"/>
              </w:rPr>
              <w:t>All participants are required to provide parental/guardian consent forms and student assent forms. Data confidentiality is maintained throughout the research process, and participation is voluntary with no impact on academic performance. This systematic research design aims to provide reliable data support for understanding the relationship between growth mindset and mathematics anxiety among junior high school students.</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1E4484B6">
            <w:pPr>
              <w:rPr>
                <w:rFonts w:hint="default" w:ascii="Arial" w:hAnsi="Arial" w:eastAsia="宋体" w:cs="Arial"/>
                <w:b/>
                <w:sz w:val="22"/>
                <w:szCs w:val="22"/>
                <w:lang w:val="en-US" w:eastAsia="zh-CN"/>
              </w:rPr>
            </w:pPr>
            <w:r>
              <w:rPr>
                <w:rFonts w:hint="eastAsia" w:ascii="Arial" w:hAnsi="Arial" w:cs="Arial"/>
                <w:sz w:val="22"/>
                <w:szCs w:val="22"/>
              </w:rPr>
              <w:t>Regular classrooms at Chenguang Middle Schoo</w:t>
            </w:r>
            <w:r>
              <w:rPr>
                <w:rFonts w:hint="eastAsia" w:ascii="Arial" w:hAnsi="Arial" w:eastAsia="宋体" w:cs="Arial"/>
                <w:sz w:val="22"/>
                <w:szCs w:val="22"/>
                <w:lang w:val="en-US" w:eastAsia="zh-CN"/>
              </w:rPr>
              <w:t>l</w:t>
            </w:r>
            <w:r>
              <w:rPr>
                <w:rFonts w:hint="eastAsia" w:ascii="Arial" w:hAnsi="Arial" w:cs="Arial"/>
                <w:sz w:val="22"/>
                <w:szCs w:val="22"/>
              </w:rPr>
              <w:t>. Questionnaire administration will occur during normal class hours in students' assigned classrooms.</w:t>
            </w:r>
            <w:r>
              <w:rPr>
                <w:rFonts w:hint="eastAsia" w:ascii="Arial" w:hAnsi="Arial" w:eastAsia="宋体" w:cs="Arial"/>
                <w:sz w:val="22"/>
                <w:szCs w:val="22"/>
                <w:lang w:val="en-US" w:eastAsia="zh-CN"/>
              </w:rPr>
              <w:t xml:space="preserve"> And school conference room (for researcher training).</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4DCEEDF4">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This study may encounter several potential risks during implementation: First, certain items in the mathematics anxiety scale may cause temporary psychological discomfort to participants; second, the association between academic performance and questionnaire data may lead to privacy leakage risks; third, cross-border data usage in the research must strictly comply with relevant provisions of the Personal Information Protection Law; finally, the wording of Western-developed scales may present cultural adaptation issues.</w:t>
            </w:r>
          </w:p>
          <w:p w14:paraId="39A8D446">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To address these risks, the research must strictly adhere to multiple Chinese laws and regulations, including Article 40 of the Education Law, which states that "educational scientific research shall follow academic norms, respect and protect human rights, and safeguard the legitimate rights and interests of educatees," and Article 44, which requires that "educational research involving minors shall obtain consent from their guardians"; Article 39 of the Law on the Protection of Minors, which mandates that "schools organizing student activities shall prevent increased academic burden," and Article 43, which specifies that "processing minors' personal information shall obtain consent in accordance with the law"; as well as Article 21 of the Data Security Law, which clearly stipulates that "important data shall be stored domestically."</w:t>
            </w:r>
          </w:p>
          <w:p w14:paraId="58A0FBB1">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Regarding departmental regulations, the study strictly implements the specific requirements of the Ministry of Education's Management Measures for Primary and Secondary School Educational Research, including Article 12, which states that "on-campus research requires school ethics committee review," and Appendix 3, which specifies that "questionnaire duration shall not exceed 30 minutes for junior high students." The research also complies with relevant provisions of the Chinese Psychological Society's Code of Ethics for Clinical and Counseling Psychology, including Article 2.3, which requires that "research shall protect participants from psychological harm," and Article 4.2, which mandates that "use of foreign scales requires cultural adaptation procedures."</w:t>
            </w:r>
          </w:p>
          <w:p w14:paraId="2477C605">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To address the aforementioned risks and regulatory requirements, the study has developed systematic solutions: For psychological risk prevention and control, the research team will assign professional psychological counselors, establish comprehensive emergency intervention mechanisms, and optimize scale wording through pilot testing. For data security, triple anonymization techniques will be applied to process data, with strict limitations on data storage to domestic servers. For legal compliance, a dual informed consent system will be strictly implemented, scales will undergo localized adaptation and validation, and formal data processing agreements will be signed with education authorities. These measures not only fully comply with Chinese legal and regulatory requirements but also meet internationally recognized research ethics standards, including the British Psychological Society's guidelines and the Declaration of Helsinki, thereby ensuring the scientific rigor and ethical compliance of the research.</w:t>
            </w:r>
          </w:p>
        </w:tc>
      </w:tr>
    </w:tbl>
    <w:p w14:paraId="2D0B4848">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MS Gothic" w:hAnsi="MS Gothic" w:eastAsia="MS Gothic" w:cs="Segoe UI Symbol"/>
                    <w:bCs/>
                    <w:sz w:val="22"/>
                    <w:szCs w:val="22"/>
                    <w:lang w:val="en-GB" w:eastAsia="en-US" w:bidi="ar-SA"/>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b/>
                <w:bCs/>
                <w:sz w:val="22"/>
                <w:szCs w:val="22"/>
              </w:rPr>
            </w:pPr>
            <w:r>
              <w:rPr>
                <w:rFonts w:hint="eastAsia" w:ascii="Arial" w:hAnsi="Arial" w:cs="Arial"/>
                <w:sz w:val="22"/>
                <w:szCs w:val="22"/>
              </w:rPr>
              <w:t>This study examines the impact of growth mindset on mathematics anxiety, aiming to enhance adolescents' mental health (aligning with the 'A healthier Wales' objective) and reduce educational inequality through pedagogical interventions (supporting the 'A more equal Wales' goal). While data collection complies with Chinese legal regulations, the research outcomes may provide cross-cultural insights to inform educational policymaking in Wales.</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2254D4A">
            <w:pPr>
              <w:rPr>
                <w:rFonts w:hint="default" w:ascii="Arial" w:hAnsi="Arial" w:eastAsia="宋体" w:cs="Arial"/>
                <w:b/>
                <w:sz w:val="22"/>
                <w:szCs w:val="22"/>
                <w:lang w:val="en-US" w:eastAsia="zh-CN"/>
              </w:rPr>
            </w:pPr>
            <w:r>
              <w:rPr>
                <w:rFonts w:hint="eastAsia" w:ascii="Arial" w:hAnsi="Arial" w:eastAsia="宋体" w:cs="Arial"/>
                <w:sz w:val="22"/>
                <w:szCs w:val="22"/>
                <w:lang w:val="en-US" w:eastAsia="zh-CN"/>
              </w:rPr>
              <w:t>1200</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545C3450">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 xml:space="preserve">This research project plans to include all junior high school students currently enrolled at Chenguang Middle School in Jiujiang City, Jiangxi Province as research subjects, specifically including: </w:t>
            </w:r>
          </w:p>
          <w:p w14:paraId="5F88937D">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 xml:space="preserve">Grade 7: Approximately 400 students (10 teaching classes) </w:t>
            </w:r>
          </w:p>
          <w:p w14:paraId="1309F4B5">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 xml:space="preserve">Grade 8: Approximately 420 students (10 teaching classes) </w:t>
            </w:r>
          </w:p>
          <w:p w14:paraId="5D585C8A">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ascii="Arial" w:hAnsi="Arial" w:cs="Arial"/>
                <w:i/>
                <w:color w:val="808080"/>
                <w:sz w:val="18"/>
                <w:szCs w:val="18"/>
              </w:rPr>
            </w:pPr>
            <w:r>
              <w:rPr>
                <w:rFonts w:hint="eastAsia" w:ascii="Arial" w:hAnsi="Arial" w:cs="Arial"/>
                <w:sz w:val="22"/>
                <w:szCs w:val="22"/>
              </w:rPr>
              <w:t>Grade 9: Approximately 380 students (9 teaching classes)</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404B1A3D">
            <w:pPr>
              <w:keepNext w:val="0"/>
              <w:keepLines w:val="0"/>
              <w:pageBreakBefore w:val="0"/>
              <w:widowControl/>
              <w:kinsoku/>
              <w:wordWrap/>
              <w:overflowPunct/>
              <w:topLinePunct w:val="0"/>
              <w:autoSpaceDE/>
              <w:autoSpaceDN/>
              <w:bidi w:val="0"/>
              <w:adjustRightInd/>
              <w:snapToGrid/>
              <w:spacing w:line="360" w:lineRule="auto"/>
              <w:ind w:firstLine="440" w:firstLineChars="200"/>
              <w:jc w:val="both"/>
              <w:textAlignment w:val="auto"/>
              <w:rPr>
                <w:rFonts w:ascii="Arial" w:hAnsi="Arial" w:cs="Arial"/>
                <w:color w:val="808080"/>
                <w:sz w:val="18"/>
                <w:szCs w:val="18"/>
              </w:rPr>
            </w:pPr>
            <w:r>
              <w:rPr>
                <w:rFonts w:hint="eastAsia" w:ascii="Arial" w:hAnsi="Arial" w:cs="Arial"/>
                <w:color w:val="auto"/>
                <w:sz w:val="22"/>
                <w:szCs w:val="22"/>
              </w:rPr>
              <w:t>This study will adopt a school-wide census approach. The list of all registered students in grades 7-9 from the Academic Affairs Office of Chenguang Middle School will be used as the research subject pool. A three-stage standardized recruitment process will be implemented: Firstly, the head teachers will distribute electronic versions of informed consent forms through class WeChat groups and parent meetings, requiring parents to sign online and complete SMS verification; Secondly, on the test day, trained research assistants will conduct on-site confirmation using the "questioning-answer" method to obtain students' oral consent; Finally, a dynamic participation database will be established to update the list of students in real time, including those who have agreed, those awaiting confirmation, and those who have withdrawn. The entire recruitment process will strictly follow the requirements of the "Personal Information Protection Law" and the "Law on the Protection of Minors", and special channels for confirming the grandparents of left-behind children and alternative solutions for students who refuse to be interviewed will be set up. Attention detection questions and contradictory options will be used to ensure data quality. All operations will be carried out under the supervision of the school's ethics committee.</w:t>
            </w:r>
          </w:p>
        </w:tc>
      </w:tr>
    </w:tbl>
    <w:p w14:paraId="07917111">
      <w:pPr>
        <w:rPr>
          <w:rFonts w:ascii="Arial" w:hAnsi="Arial" w:cs="Arial"/>
          <w:bCs/>
          <w:sz w:val="24"/>
          <w:szCs w:val="24"/>
        </w:rPr>
      </w:pPr>
    </w:p>
    <w:p w14:paraId="71AB43E2">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221905F9">
            <w:pPr>
              <w:keepNext w:val="0"/>
              <w:keepLines w:val="0"/>
              <w:pageBreakBefore w:val="0"/>
              <w:widowControl/>
              <w:numPr>
                <w:ilvl w:val="0"/>
                <w:numId w:val="0"/>
              </w:numPr>
              <w:kinsoku/>
              <w:wordWrap/>
              <w:overflowPunct/>
              <w:topLinePunct w:val="0"/>
              <w:autoSpaceDE w:val="0"/>
              <w:autoSpaceDN w:val="0"/>
              <w:bidi w:val="0"/>
              <w:adjustRightInd w:val="0"/>
              <w:snapToGrid/>
              <w:spacing w:line="360" w:lineRule="auto"/>
              <w:jc w:val="both"/>
              <w:textAlignment w:val="auto"/>
              <w:rPr>
                <w:rFonts w:hint="default" w:ascii="Arial" w:hAnsi="Arial" w:eastAsia="宋体" w:cs="Arial"/>
                <w:sz w:val="22"/>
                <w:szCs w:val="22"/>
                <w:lang w:val="en-US" w:eastAsia="zh-CN"/>
              </w:rPr>
            </w:pPr>
            <w:r>
              <w:rPr>
                <w:rFonts w:hint="eastAsia" w:ascii="Arial" w:hAnsi="Arial" w:eastAsia="宋体" w:cs="Arial"/>
                <w:sz w:val="22"/>
                <w:szCs w:val="22"/>
                <w:lang w:val="en-US" w:eastAsia="zh-CN"/>
              </w:rPr>
              <w:t>Risks to participants</w:t>
            </w:r>
          </w:p>
          <w:p w14:paraId="0787107E">
            <w:pPr>
              <w:keepNext w:val="0"/>
              <w:keepLines w:val="0"/>
              <w:pageBreakBefore w:val="0"/>
              <w:widowControl/>
              <w:numPr>
                <w:ilvl w:val="0"/>
                <w:numId w:val="3"/>
              </w:numPr>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The Math Anxiety Scale may cause temporary anxiety or self-doubt. </w:t>
            </w:r>
          </w:p>
          <w:p w14:paraId="2980CB47">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2. The electronic questionnaire system harbors potential risks of data leakage. </w:t>
            </w:r>
          </w:p>
          <w:p w14:paraId="3015E855">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3. Cross-border data transmission may violate Article 38 of the Personal Information Protection Law. </w:t>
            </w:r>
          </w:p>
          <w:p w14:paraId="47D8E8E4">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4. Research activities may intensify the academic pressure under the "Double Reduction" policy. </w:t>
            </w:r>
          </w:p>
          <w:p w14:paraId="2695E7D9">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5. Some expressions in the PISA scale do not conform to the cultural context of China.</w:t>
            </w:r>
          </w:p>
          <w:p w14:paraId="6645975A">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hint="eastAsia" w:ascii="Arial" w:hAnsi="Arial" w:cs="Arial"/>
                <w:sz w:val="22"/>
                <w:szCs w:val="22"/>
              </w:rPr>
              <w:t>6. The electronic questionnaire system may be subject to cyber attacks.</w:t>
            </w:r>
          </w:p>
        </w:tc>
        <w:tc>
          <w:tcPr>
            <w:tcW w:w="4932" w:type="dxa"/>
            <w:gridSpan w:val="3"/>
            <w:tcBorders>
              <w:top w:val="single" w:color="auto" w:sz="4" w:space="0"/>
              <w:bottom w:val="single" w:color="auto" w:sz="4" w:space="0"/>
            </w:tcBorders>
          </w:tcPr>
          <w:p w14:paraId="16CC4C10">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i/>
                <w:sz w:val="22"/>
                <w:szCs w:val="22"/>
              </w:rPr>
            </w:pPr>
            <w:r>
              <w:rPr>
                <w:rFonts w:ascii="Arial" w:hAnsi="Arial" w:cs="Arial"/>
                <w:i/>
                <w:sz w:val="22"/>
                <w:szCs w:val="22"/>
              </w:rPr>
              <w:t>How you will mitigate the risk to participants:</w:t>
            </w:r>
          </w:p>
          <w:p w14:paraId="063F35E8">
            <w:pPr>
              <w:keepNext w:val="0"/>
              <w:keepLines w:val="0"/>
              <w:pageBreakBefore w:val="0"/>
              <w:widowControl/>
              <w:numPr>
                <w:ilvl w:val="0"/>
                <w:numId w:val="4"/>
              </w:numPr>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Employ full-time psychological counselors on duty to provide immediate consultation and support (linkage mechanism of school psychological counseling room) </w:t>
            </w:r>
          </w:p>
          <w:p w14:paraId="2D5D4894">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2. Adopt end-to-end encryption transmission (using national cryptography SM2/SM3 algorithms)</w:t>
            </w:r>
          </w:p>
          <w:p w14:paraId="111F6C09">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3. Establish a data classification outbound system: original data is stored within the country, and only statistical results are allowed to be exported</w:t>
            </w:r>
          </w:p>
          <w:p w14:paraId="46DB2AA0">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4. Obtain special approval from the education bureau for research proof, clearly stating that it does not count towards the assessment of academic burden</w:t>
            </w:r>
          </w:p>
          <w:p w14:paraId="4A907373">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 Set up an "excessive academic pressure" exit option, which does not affect the normal teaching order </w:t>
            </w:r>
          </w:p>
          <w:p w14:paraId="67AF7D70">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hint="eastAsia" w:ascii="Arial" w:hAnsi="Arial" w:cs="Arial"/>
                <w:sz w:val="22"/>
                <w:szCs w:val="22"/>
              </w:rPr>
            </w:pPr>
            <w:r>
              <w:rPr>
                <w:rFonts w:hint="eastAsia" w:ascii="Arial" w:hAnsi="Arial" w:cs="Arial"/>
                <w:sz w:val="22"/>
                <w:szCs w:val="22"/>
              </w:rPr>
              <w:t xml:space="preserve">5. Add the "Cultural Annotation" floating explanatory function to the questionnaire. </w:t>
            </w:r>
          </w:p>
          <w:p w14:paraId="5D00AF2B">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i/>
              </w:rPr>
            </w:pPr>
            <w:r>
              <w:rPr>
                <w:rFonts w:hint="eastAsia" w:ascii="Arial" w:hAnsi="Arial" w:cs="Arial"/>
                <w:sz w:val="22"/>
                <w:szCs w:val="22"/>
              </w:rPr>
              <w:t>6. Implement multi-level protection: Web Application Firewall + Intrusion Detection System + AI Anomaly Behavior Analysis</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27012CE9">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hint="eastAsia" w:ascii="Arial" w:hAnsi="Arial" w:cs="Arial"/>
                <w:sz w:val="22"/>
                <w:szCs w:val="22"/>
              </w:rPr>
            </w:pPr>
            <w:r>
              <w:rPr>
                <w:rFonts w:hint="eastAsia" w:ascii="Arial" w:hAnsi="Arial" w:cs="Arial"/>
                <w:sz w:val="22"/>
                <w:szCs w:val="22"/>
              </w:rPr>
              <w:t xml:space="preserve">There might be two aspects of potentially sensitive content that require special attention: Firstly, some items in the PISA Mathematics Anxiety Scale (such as "I tremble when doing math problems" and other expressions) may trigger students' past negative learning experiences and cause temporary emotional fluctuations. To address this situation, it is recommended to clearly state in the informed consent form that "This research may involve discussions on students' feelings about mathematics learning. If you feel uncomfortable, you can withdraw at any time", and at the end of the questionnaire, attach the Jiujiang Youth Psychological Assistance Hotline 0792-8223001 (24-hour service) for seeking professional support when needed. </w:t>
            </w:r>
          </w:p>
          <w:p w14:paraId="27D860D6">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rPr>
            </w:pPr>
            <w:r>
              <w:rPr>
                <w:rFonts w:hint="eastAsia" w:ascii="Arial" w:hAnsi="Arial" w:cs="Arial"/>
                <w:sz w:val="22"/>
                <w:szCs w:val="22"/>
              </w:rPr>
              <w:t>Secondly, the analysis of academic performance data involved in the research may indirectly reflect students' psychological stress status. In this regard, it is suggested to state in the data collection protocol that "academic performance is only used for research analysis and the results will not be fed back to the school or parents", and establish corresponding privacy protection mechanisms. When extreme abnormal values (such as sudden drop in grades and so on) are found during the data analysis process, anonymous notification should be made to the school's psychological counseling room to provide necessary psychological attention and support without infringing on students' privacy. These measures not only comply with research ethics requirements but also effectively safeguard the mental health rights of participating students.</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25" w:hRule="atLeast"/>
        </w:trPr>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ascii="Arial" w:hAnsi="Arial" w:cs="Arial"/>
                <w:sz w:val="22"/>
                <w:szCs w:val="22"/>
              </w:rPr>
              <w:t>Risk to the investigator:</w:t>
            </w:r>
          </w:p>
          <w:p w14:paraId="0D6D8D2D">
            <w:pPr>
              <w:keepNext w:val="0"/>
              <w:keepLines w:val="0"/>
              <w:pageBreakBefore w:val="0"/>
              <w:widowControl/>
              <w:numPr>
                <w:ilvl w:val="0"/>
                <w:numId w:val="5"/>
              </w:numPr>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hint="eastAsia" w:ascii="Arial" w:hAnsi="Arial" w:cs="Arial"/>
                <w:sz w:val="22"/>
                <w:szCs w:val="22"/>
              </w:rPr>
              <w:t xml:space="preserve">Handling feedback from students regarding their negative emotions (such as discomfort caused by anxiety scales) may impose psychological burdens on researchers. </w:t>
            </w:r>
          </w:p>
          <w:p w14:paraId="0435A036">
            <w:pPr>
              <w:keepNext w:val="0"/>
              <w:keepLines w:val="0"/>
              <w:pageBreakBefore w:val="0"/>
              <w:widowControl/>
              <w:numPr>
                <w:ilvl w:val="0"/>
                <w:numId w:val="0"/>
              </w:numPr>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hint="eastAsia" w:ascii="Arial" w:hAnsi="Arial" w:cs="Arial"/>
                <w:sz w:val="22"/>
                <w:szCs w:val="22"/>
              </w:rPr>
              <w:t>2. Suspected of violating regulations due to data privacy issues (such as complaints from parents about data leakage).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3A25E522">
            <w:pPr>
              <w:keepNext w:val="0"/>
              <w:keepLines w:val="0"/>
              <w:pageBreakBefore w:val="0"/>
              <w:widowControl/>
              <w:numPr>
                <w:ilvl w:val="0"/>
                <w:numId w:val="6"/>
              </w:numPr>
              <w:kinsoku/>
              <w:wordWrap/>
              <w:overflowPunct/>
              <w:topLinePunct w:val="0"/>
              <w:autoSpaceDE w:val="0"/>
              <w:autoSpaceDN w:val="0"/>
              <w:bidi w:val="0"/>
              <w:adjustRightInd w:val="0"/>
              <w:snapToGrid/>
              <w:spacing w:line="360" w:lineRule="auto"/>
              <w:jc w:val="both"/>
              <w:textAlignment w:val="auto"/>
              <w:rPr>
                <w:rFonts w:ascii="Arial" w:hAnsi="Arial" w:cs="Arial"/>
              </w:rPr>
            </w:pPr>
            <w:r>
              <w:rPr>
                <w:rFonts w:hint="eastAsia" w:ascii="Arial" w:hAnsi="Arial" w:cs="Arial"/>
                <w:sz w:val="22"/>
                <w:szCs w:val="22"/>
              </w:rPr>
              <w:t xml:space="preserve">Provide psychological support resources (such as internal emotional counseling meetings within the team, psychological counseling hotlines). </w:t>
            </w:r>
          </w:p>
          <w:p w14:paraId="4416A3BD">
            <w:pPr>
              <w:keepNext w:val="0"/>
              <w:keepLines w:val="0"/>
              <w:pageBreakBefore w:val="0"/>
              <w:widowControl/>
              <w:numPr>
                <w:ilvl w:val="0"/>
                <w:numId w:val="0"/>
              </w:numPr>
              <w:kinsoku/>
              <w:wordWrap/>
              <w:overflowPunct/>
              <w:topLinePunct w:val="0"/>
              <w:autoSpaceDE w:val="0"/>
              <w:autoSpaceDN w:val="0"/>
              <w:bidi w:val="0"/>
              <w:adjustRightInd w:val="0"/>
              <w:snapToGrid/>
              <w:spacing w:line="360" w:lineRule="auto"/>
              <w:jc w:val="both"/>
              <w:textAlignment w:val="auto"/>
              <w:rPr>
                <w:rFonts w:ascii="Arial" w:hAnsi="Arial" w:cs="Arial"/>
              </w:rPr>
            </w:pPr>
            <w:r>
              <w:rPr>
                <w:rFonts w:hint="eastAsia" w:ascii="Arial" w:hAnsi="Arial" w:cs="Arial"/>
                <w:sz w:val="22"/>
                <w:szCs w:val="22"/>
              </w:rPr>
              <w:t>2. Strictly abide by the Personal Information Protection Law and the Law on the Protection of Minors, and ensure that all processes are compliant. (Data leakage)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3CC70174">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hint="eastAsia" w:ascii="Arial" w:hAnsi="Arial" w:cs="Arial"/>
                <w:sz w:val="22"/>
                <w:szCs w:val="22"/>
              </w:rPr>
              <w:t>If there are fluctuations in students' emotions or problems in data management during the research process, it may lead to negative media coverage.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35C5940">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rPr>
            </w:pPr>
            <w:r>
              <w:rPr>
                <w:rFonts w:hint="eastAsia" w:ascii="Arial" w:hAnsi="Arial" w:cs="Arial"/>
                <w:sz w:val="22"/>
                <w:szCs w:val="22"/>
              </w:rPr>
              <w:t>A statement was released through official channels, emphasizing that the research has undergone strict ethical review and is equipped with comprehensive psychological support measures. At the same time, transparent progress of the incident handling was provided to safeguard the academic reputation of the institution.</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03328CC0">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sz w:val="22"/>
                <w:szCs w:val="22"/>
              </w:rPr>
            </w:pPr>
            <w:r>
              <w:rPr>
                <w:rFonts w:hint="eastAsia" w:ascii="Arial" w:hAnsi="Arial" w:cs="Arial"/>
                <w:sz w:val="22"/>
                <w:szCs w:val="22"/>
              </w:rPr>
              <w:t>The electronic questionnaire relies on the server to operate and may increase energy consumption.</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2D9B576E">
            <w:pPr>
              <w:keepNext w:val="0"/>
              <w:keepLines w:val="0"/>
              <w:pageBreakBefore w:val="0"/>
              <w:widowControl/>
              <w:kinsoku/>
              <w:wordWrap/>
              <w:overflowPunct/>
              <w:topLinePunct w:val="0"/>
              <w:autoSpaceDE w:val="0"/>
              <w:autoSpaceDN w:val="0"/>
              <w:bidi w:val="0"/>
              <w:adjustRightInd w:val="0"/>
              <w:snapToGrid/>
              <w:spacing w:line="360" w:lineRule="auto"/>
              <w:jc w:val="both"/>
              <w:textAlignment w:val="auto"/>
              <w:rPr>
                <w:rFonts w:ascii="Arial" w:hAnsi="Arial" w:cs="Arial"/>
              </w:rPr>
            </w:pPr>
            <w:r>
              <w:rPr>
                <w:rFonts w:hint="eastAsia" w:ascii="Arial" w:hAnsi="Arial" w:cs="Arial"/>
                <w:sz w:val="22"/>
                <w:szCs w:val="22"/>
              </w:rPr>
              <w:t>Choose green data centers (such as cloud service providers that utilize renewable energy).</w:t>
            </w:r>
          </w:p>
        </w:tc>
      </w:tr>
    </w:tbl>
    <w:p w14:paraId="366FFC79">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hint="default" w:ascii="Arial" w:hAnsi="Arial" w:eastAsia="宋体" w:cs="Arial"/>
                <w:b/>
                <w:bCs/>
                <w:sz w:val="22"/>
                <w:szCs w:val="22"/>
                <w:lang w:val="en-US" w:eastAsia="zh-CN"/>
              </w:rPr>
            </w:pPr>
            <w:r>
              <w:rPr>
                <w:rFonts w:hint="eastAsia" w:ascii="Arial" w:hAnsi="Arial" w:eastAsia="宋体" w:cs="Arial"/>
                <w:b/>
                <w:bCs/>
                <w:sz w:val="22"/>
                <w:szCs w:val="22"/>
                <w:lang w:val="en-US" w:eastAsia="zh-CN"/>
              </w:rPr>
              <w:t>Pending</w:t>
            </w: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3E747859">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hint="eastAsia" w:ascii="Arial" w:hAnsi="Arial" w:eastAsia="宋体" w:cs="Arial"/>
                <w:lang w:val="en-US" w:eastAsia="zh-CN"/>
              </w:rPr>
            </w:pPr>
            <w:r>
              <w:rPr>
                <w:rFonts w:hint="eastAsia" w:ascii="Arial" w:hAnsi="Arial" w:cs="Arial"/>
                <w:sz w:val="22"/>
                <w:szCs w:val="22"/>
              </w:rPr>
              <w:t>Before the survey, I would send a letter to each student or parent via text message or cloud platform, telling them that the participants' responses would provide important references for educational research, which would help educators better understand the psychological factors that affect math learning outcomes, and provide scientific basis for improving math teaching methods. It also encourages schools to build more effective learning support systems. They are also informed that during the entire research process, participation is completely voluntary, can be withdrawn at any time without any adverse effects, and all data will be strictly confidential and used only for academic research. Personal information will not appear in any research report or publication. The results of the study will be fed back to the school in a non-personalized form</w:t>
            </w:r>
            <w:r>
              <w:rPr>
                <w:rFonts w:hint="eastAsia" w:ascii="Arial" w:hAnsi="Arial" w:eastAsia="宋体" w:cs="Arial"/>
                <w:sz w:val="22"/>
                <w:szCs w:val="22"/>
                <w:lang w:val="en-US" w:eastAsia="zh-CN"/>
              </w:rPr>
              <w:t>.</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39FFDC65">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hint="eastAsia" w:ascii="Arial" w:hAnsi="Arial" w:eastAsia="宋体" w:cs="Arial"/>
                <w:lang w:val="en-US" w:eastAsia="zh-CN"/>
              </w:rPr>
            </w:pPr>
            <w:r>
              <w:rPr>
                <w:rFonts w:hint="eastAsia" w:ascii="Arial" w:hAnsi="Arial" w:cs="Arial"/>
                <w:sz w:val="22"/>
                <w:szCs w:val="22"/>
              </w:rPr>
              <w:t>This study will strictly follow the principle of informed consent. Before data collection, the following procedures will be adopted to ensure that participants are fully informed and voluntarily participate in the study: First, the research team will issue a bilingual "Research Informed Manual" to students and parents through the official channels of Chenguang Middle School, detailing the purpose, content, potential risks and rights protection measures of the study, and set a one-week answer period; Secondly, the "double consent" mechanism is adopted, requiring parents to sign electronic consent through the wechat platform of the school and the enterprise (including SMS verification function), and at the same time, the trained research assistant will obtain the verbal confirmation of the students at the test site</w:t>
            </w:r>
            <w:r>
              <w:rPr>
                <w:rFonts w:hint="eastAsia" w:ascii="Arial" w:hAnsi="Arial" w:eastAsia="宋体" w:cs="Arial"/>
                <w:sz w:val="22"/>
                <w:szCs w:val="22"/>
                <w:lang w:val="en-US" w:eastAsia="zh-CN"/>
              </w:rPr>
              <w:t>.</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4B749E1A">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rPr>
            </w:pPr>
            <w:r>
              <w:rPr>
                <w:rFonts w:hint="eastAsia" w:ascii="Arial" w:hAnsi="Arial" w:cs="Arial"/>
                <w:sz w:val="22"/>
                <w:szCs w:val="22"/>
              </w:rPr>
              <w:t>Multiple measures will be taken to ensure participants' anonymity and data confidentiality: all questionnaires will use randomly generated codes (such as CG2023-001) instead of personal information; Electronic data is encrypted and stored using SM4 national secret algorithm, and only researchers can access it through two-factor authentication; Only aggregated statistics are presented when the findings are published, ensuring that individual identities cannot be traced.</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9"/>
              <w:autoSpaceDE w:val="0"/>
              <w:autoSpaceDN w:val="0"/>
              <w:adjustRightInd w:val="0"/>
              <w:jc w:val="center"/>
              <w:rPr>
                <w:rFonts w:ascii="Arial" w:hAnsi="Arial" w:eastAsia="MS Gothic" w:cs="Arial"/>
                <w:sz w:val="22"/>
                <w:szCs w:val="22"/>
                <w:lang w:val="en-US"/>
              </w:rPr>
            </w:pPr>
            <w:r>
              <w:rPr>
                <w:rFonts w:hint="eastAsia" w:ascii="Segoe UI Symbol" w:hAnsi="Segoe UI Symbol" w:eastAsia="MS Gothic" w:cs="Segoe UI Symbol"/>
                <w:sz w:val="22"/>
                <w:szCs w:val="22"/>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rPr>
                <w:rFonts w:ascii="Arial" w:hAnsi="Arial" w:cs="Arial"/>
                <w:sz w:val="22"/>
                <w:szCs w:val="22"/>
              </w:rPr>
            </w:pP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9"/>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9"/>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9"/>
              <w:autoSpaceDE w:val="0"/>
              <w:autoSpaceDN w:val="0"/>
              <w:adjustRightInd w:val="0"/>
              <w:jc w:val="center"/>
              <w:rPr>
                <w:rFonts w:ascii="Arial" w:hAnsi="Arial" w:cs="Arial"/>
              </w:rPr>
            </w:pPr>
            <w:r>
              <w:rPr>
                <w:rFonts w:hint="eastAsia" w:ascii="Segoe UI Symbol" w:hAnsi="Segoe UI Symbol" w:eastAsia="MS Gothic" w:cs="Segoe UI Symbol"/>
                <w:sz w:val="22"/>
                <w:szCs w:val="22"/>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3993C9F4">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b/>
                <w:bCs/>
                <w:sz w:val="22"/>
                <w:szCs w:val="22"/>
              </w:rPr>
            </w:pPr>
            <w:r>
              <w:rPr>
                <w:rFonts w:hint="eastAsia" w:ascii="Arial" w:hAnsi="Arial" w:cs="Arial"/>
                <w:sz w:val="22"/>
                <w:szCs w:val="22"/>
              </w:rPr>
              <w:t>In order to ensure the security and confidentiality of the research data, the following comprehensive protection measures will be taken: All the collected questionnaire data will be immediately de-identified, and direct identifiers such as name and student number will be deleted and replaced with randomly generated codes (such as CG2023-001); When data is stored in a personal computer, it will be encrypted in a dedicated folder and set double password protection (boot password + folder password); Firewalls and anti-virus software will be installed, cloud synchronization will be disabled to prevent accidental uploads, and all operation logs will be fully saved. These measures strictly follow the requirements of China's Cybersecurity Law and Personal Information Protection Law to ensure that even if a device is lost, it will not lead to data leakage. After the end of the study, the original data will be completely deleted under supervision, and only the anonymized analytical data sets will be retained.</w:t>
            </w:r>
          </w:p>
        </w:tc>
      </w:tr>
    </w:tbl>
    <w:p w14:paraId="0D05EC9E">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84"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25112752">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rPr>
            </w:pPr>
            <w:r>
              <w:rPr>
                <w:rFonts w:hint="eastAsia" w:ascii="Arial" w:hAnsi="Arial" w:cs="Arial"/>
                <w:sz w:val="22"/>
                <w:szCs w:val="22"/>
              </w:rPr>
              <w:t>This study will strictly protect the privacy of students. All questionnaire data will be anonymized (random number will be used instead of name), encrypted and stored in a password-protected computer, and transmitted through encryption. Only the necessary information is collected, nothing personally identifiable will appear in the research report, the original data is safely deleted within 6 months after the end of the study, the whole process complies with the requirements of Chinese and EU data protection regulations, and is subject to the supervision of the school and relevant departments.</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7F9CFD02">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Researcher</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033AC69F">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Researcher</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718D7CC2">
            <w:pPr>
              <w:keepNext w:val="0"/>
              <w:keepLines w:val="0"/>
              <w:pageBreakBefore w:val="0"/>
              <w:widowControl/>
              <w:kinsoku/>
              <w:wordWrap/>
              <w:overflowPunct/>
              <w:topLinePunct w:val="0"/>
              <w:autoSpaceDE w:val="0"/>
              <w:autoSpaceDN w:val="0"/>
              <w:bidi w:val="0"/>
              <w:adjustRightInd w:val="0"/>
              <w:snapToGrid/>
              <w:spacing w:line="360" w:lineRule="auto"/>
              <w:ind w:firstLine="440" w:firstLineChars="200"/>
              <w:jc w:val="both"/>
              <w:textAlignment w:val="auto"/>
              <w:rPr>
                <w:rFonts w:ascii="Arial" w:hAnsi="Arial" w:cs="Arial"/>
                <w:sz w:val="22"/>
                <w:szCs w:val="22"/>
              </w:rPr>
            </w:pPr>
            <w:r>
              <w:rPr>
                <w:rFonts w:hint="eastAsia" w:ascii="Arial" w:hAnsi="Arial" w:cs="Arial"/>
                <w:sz w:val="22"/>
                <w:szCs w:val="22"/>
              </w:rPr>
              <w:t>Data is not archived, because according to the requirements of China's Personal Information Protection Law and the EU GDPR, research data should be deleted in a timely manner after completing the analysis, and the six-month retention period ensures the integrity of the paper writing and review, while avoiding the risk of personal information being stored for a long time, which is the most responsible way to protect the privacy of students.</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87434F5">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Mengying Huang</w:t>
            </w:r>
          </w:p>
        </w:tc>
        <w:tc>
          <w:tcPr>
            <w:tcW w:w="2139" w:type="dxa"/>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 March 2025</w:t>
            </w: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0"/>
              <w:ind w:left="0"/>
              <w:rPr>
                <w:rFonts w:hint="default" w:ascii="Arial" w:hAnsi="Arial" w:eastAsia="宋体" w:cs="Arial"/>
                <w:lang w:val="en-US" w:eastAsia="zh-CN"/>
              </w:rPr>
            </w:pPr>
            <w:r>
              <w:rPr>
                <w:rFonts w:hint="eastAsia" w:ascii="Arial" w:hAnsi="Arial" w:eastAsia="宋体" w:cs="Arial"/>
                <w:lang w:val="en-US" w:eastAsia="zh-CN"/>
              </w:rPr>
              <w:t>Catherine Morgan</w:t>
            </w:r>
          </w:p>
        </w:tc>
        <w:tc>
          <w:tcPr>
            <w:tcW w:w="1014" w:type="pct"/>
            <w:vMerge w:val="restart"/>
          </w:tcPr>
          <w:p w14:paraId="7BA89991">
            <w:pPr>
              <w:pStyle w:val="30"/>
              <w:ind w:left="0"/>
              <w:rPr>
                <w:rFonts w:ascii="Arial" w:hAnsi="Arial" w:cs="Arial"/>
              </w:rPr>
            </w:pPr>
            <w:r>
              <w:rPr>
                <w:rFonts w:ascii="Arial" w:hAnsi="Arial" w:cs="Arial"/>
                <w:b/>
                <w:bCs/>
              </w:rPr>
              <w:t>Date:</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2176" w:type="pct"/>
            <w:shd w:val="clear" w:color="auto" w:fill="auto"/>
            <w:vAlign w:val="center"/>
          </w:tcPr>
          <w:p w14:paraId="7D041473">
            <w:pPr>
              <w:pStyle w:val="30"/>
              <w:ind w:left="0"/>
              <w:rPr>
                <w:rFonts w:ascii="Arial" w:hAnsi="Arial" w:cs="Arial"/>
              </w:rPr>
            </w:pPr>
          </w:p>
          <w:p w14:paraId="20916ADA">
            <w:pPr>
              <w:pStyle w:val="30"/>
              <w:ind w:left="0"/>
              <w:rPr>
                <w:rFonts w:ascii="Arial" w:hAnsi="Arial" w:cs="Arial"/>
              </w:rPr>
            </w:pPr>
          </w:p>
        </w:tc>
        <w:tc>
          <w:tcPr>
            <w:tcW w:w="1014" w:type="pct"/>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0"/>
              <w:ind w:left="0"/>
              <w:rPr>
                <w:rFonts w:ascii="Arial" w:hAnsi="Arial" w:cs="Arial"/>
              </w:rPr>
            </w:pPr>
          </w:p>
        </w:tc>
        <w:tc>
          <w:tcPr>
            <w:tcW w:w="1013" w:type="pct"/>
            <w:vMerge w:val="restart"/>
          </w:tcPr>
          <w:p w14:paraId="68B145B4">
            <w:pPr>
              <w:pStyle w:val="30"/>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0"/>
              <w:ind w:left="0"/>
              <w:rPr>
                <w:rFonts w:ascii="Arial" w:hAnsi="Arial" w:cs="Arial"/>
              </w:rPr>
            </w:pPr>
            <w:r>
              <w:rPr>
                <w:rFonts w:ascii="Arial" w:hAnsi="Arial" w:cs="Arial"/>
              </w:rPr>
              <w:t>Signature:</w:t>
            </w:r>
          </w:p>
        </w:tc>
        <w:tc>
          <w:tcPr>
            <w:tcW w:w="2176" w:type="pct"/>
            <w:shd w:val="clear" w:color="auto" w:fill="auto"/>
            <w:vAlign w:val="center"/>
          </w:tcPr>
          <w:p w14:paraId="3AC0A20C">
            <w:pPr>
              <w:pStyle w:val="30"/>
              <w:ind w:left="0"/>
              <w:rPr>
                <w:rFonts w:ascii="Arial" w:hAnsi="Arial" w:cs="Arial"/>
              </w:rPr>
            </w:pPr>
          </w:p>
          <w:p w14:paraId="0B158BE4">
            <w:pPr>
              <w:pStyle w:val="30"/>
              <w:ind w:left="0"/>
              <w:rPr>
                <w:rFonts w:ascii="Arial" w:hAnsi="Arial" w:cs="Arial"/>
              </w:rPr>
            </w:pPr>
          </w:p>
        </w:tc>
        <w:tc>
          <w:tcPr>
            <w:tcW w:w="1013" w:type="pct"/>
            <w:vMerge w:val="continue"/>
            <w:vAlign w:val="center"/>
          </w:tcPr>
          <w:p w14:paraId="54A46206">
            <w:pPr>
              <w:pStyle w:val="30"/>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w:t>
            </w:r>
            <w:bookmarkStart w:id="0" w:name="_GoBack"/>
            <w:bookmarkEnd w:id="0"/>
            <w:r>
              <w:rPr>
                <w:rFonts w:ascii="Arial" w:hAnsi="Arial" w:cs="Arial"/>
                <w:sz w:val="22"/>
                <w:szCs w:val="22"/>
              </w:rPr>
              <w:t xml:space="preserve">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p w14:paraId="402F7CC4">
      <w:pPr>
        <w:tabs>
          <w:tab w:val="left" w:pos="5103"/>
        </w:tabs>
        <w:rPr>
          <w:rFonts w:ascii="Arial" w:hAnsi="Arial" w:cs="Arial"/>
          <w:bCs/>
          <w:sz w:val="22"/>
          <w:szCs w:val="22"/>
        </w:rPr>
      </w:pPr>
    </w:p>
    <w:p w14:paraId="343B4961">
      <w:pPr>
        <w:tabs>
          <w:tab w:val="left" w:pos="5103"/>
        </w:tabs>
        <w:rPr>
          <w:rFonts w:ascii="Arial" w:hAnsi="Arial" w:cs="Arial"/>
          <w:bCs/>
          <w:sz w:val="22"/>
          <w:szCs w:val="22"/>
        </w:rPr>
      </w:pPr>
    </w:p>
    <w:p w14:paraId="4212255A">
      <w:pPr>
        <w:tabs>
          <w:tab w:val="left" w:pos="5103"/>
        </w:tabs>
        <w:rPr>
          <w:rFonts w:ascii="Arial" w:hAnsi="Arial" w:cs="Arial"/>
          <w:bCs/>
          <w:sz w:val="22"/>
          <w:szCs w:val="22"/>
        </w:rPr>
      </w:pPr>
    </w:p>
    <w:p w14:paraId="35F62E2A">
      <w:pPr>
        <w:rPr>
          <w:rFonts w:asciiTheme="minorHAnsi" w:hAnsiTheme="minorHAnsi" w:cstheme="minorHAnsi"/>
          <w:b/>
          <w:bCs/>
          <w:sz w:val="28"/>
          <w:szCs w:val="28"/>
        </w:rPr>
      </w:pPr>
    </w:p>
    <w:p w14:paraId="4203DE5F">
      <w:pPr>
        <w:rPr>
          <w:rFonts w:ascii="Arial" w:hAnsi="Arial" w:cs="Arial"/>
          <w:b/>
          <w:bCs/>
          <w:sz w:val="32"/>
          <w:szCs w:val="32"/>
          <w:u w:val="single"/>
        </w:rPr>
      </w:pPr>
      <w:r>
        <w:rPr>
          <w:rFonts w:ascii="Arial" w:hAnsi="Arial" w:cs="Arial"/>
          <w:b/>
          <w:bCs/>
          <w:sz w:val="32"/>
          <w:szCs w:val="32"/>
          <w:u w:val="single"/>
        </w:rPr>
        <w:t>AI Acknowledgement</w:t>
      </w:r>
    </w:p>
    <w:p w14:paraId="2976AA85"/>
    <w:p w14:paraId="65662EF2">
      <w:pPr>
        <w:rPr>
          <w:rFonts w:ascii="Aptos" w:hAnsi="Aptos"/>
          <w:sz w:val="21"/>
          <w:szCs w:val="21"/>
        </w:rPr>
      </w:pPr>
      <w:r>
        <w:rPr>
          <w:rFonts w:ascii="Aptos" w:hAnsi="Aptos"/>
          <w:sz w:val="21"/>
          <w:szCs w:val="21"/>
        </w:rPr>
        <w:t xml:space="preserve">I acknowledge the use of </w:t>
      </w:r>
      <w:r>
        <w:rPr>
          <w:rFonts w:hint="eastAsia" w:ascii="Aptos" w:hAnsi="Aptos" w:eastAsia="宋体"/>
          <w:sz w:val="21"/>
          <w:szCs w:val="21"/>
          <w:lang w:val="en-US" w:eastAsia="zh-CN"/>
        </w:rPr>
        <w:t>Wenxinyiyan</w:t>
      </w:r>
      <w:r>
        <w:rPr>
          <w:rFonts w:ascii="Aptos" w:hAnsi="Aptos"/>
          <w:sz w:val="21"/>
          <w:szCs w:val="21"/>
        </w:rPr>
        <w:t xml:space="preserve"> (</w:t>
      </w:r>
      <w:r>
        <w:rPr>
          <w:rFonts w:hint="eastAsia" w:ascii="Aptos" w:hAnsi="Aptos"/>
          <w:sz w:val="21"/>
          <w:szCs w:val="21"/>
        </w:rPr>
        <w:t>https://yiyan.baidu.com/welcome</w:t>
      </w:r>
      <w:r>
        <w:rPr>
          <w:rFonts w:ascii="Aptos" w:hAnsi="Aptos"/>
          <w:sz w:val="21"/>
          <w:szCs w:val="21"/>
        </w:rPr>
        <w:t xml:space="preserve">) on </w:t>
      </w:r>
      <w:r>
        <w:rPr>
          <w:rFonts w:hint="eastAsia" w:ascii="Aptos" w:hAnsi="Aptos" w:eastAsia="宋体"/>
          <w:sz w:val="21"/>
          <w:szCs w:val="21"/>
          <w:lang w:val="en-US" w:eastAsia="zh-CN"/>
        </w:rPr>
        <w:t>10</w:t>
      </w:r>
      <w:r>
        <w:rPr>
          <w:rFonts w:ascii="Aptos" w:hAnsi="Aptos"/>
          <w:sz w:val="21"/>
          <w:szCs w:val="21"/>
        </w:rPr>
        <w:t xml:space="preserve"> </w:t>
      </w:r>
      <w:r>
        <w:rPr>
          <w:rFonts w:hint="eastAsia" w:ascii="Aptos" w:hAnsi="Aptos" w:eastAsia="宋体"/>
          <w:sz w:val="21"/>
          <w:szCs w:val="21"/>
          <w:lang w:val="en-US" w:eastAsia="zh-CN"/>
        </w:rPr>
        <w:t>March</w:t>
      </w:r>
      <w:r>
        <w:rPr>
          <w:rFonts w:ascii="Aptos" w:hAnsi="Aptos"/>
          <w:sz w:val="21"/>
          <w:szCs w:val="21"/>
        </w:rPr>
        <w:t xml:space="preserve"> 202</w:t>
      </w:r>
      <w:r>
        <w:rPr>
          <w:rFonts w:hint="eastAsia" w:ascii="Aptos" w:hAnsi="Aptos" w:eastAsia="宋体"/>
          <w:sz w:val="21"/>
          <w:szCs w:val="21"/>
          <w:lang w:val="en-US" w:eastAsia="zh-CN"/>
        </w:rPr>
        <w:t>5</w:t>
      </w:r>
      <w:r>
        <w:rPr>
          <w:rFonts w:ascii="Aptos" w:hAnsi="Aptos"/>
          <w:sz w:val="21"/>
          <w:szCs w:val="21"/>
        </w:rPr>
        <w:t xml:space="preserve"> to support my research using the prompt(s): </w:t>
      </w:r>
    </w:p>
    <w:p w14:paraId="1C23E105">
      <w:pPr>
        <w:rPr>
          <w:rFonts w:ascii="Aptos" w:hAnsi="Aptos"/>
          <w:sz w:val="21"/>
          <w:szCs w:val="21"/>
        </w:rPr>
      </w:pPr>
      <w:r>
        <w:rPr>
          <w:rFonts w:ascii="Aptos" w:hAnsi="Aptos"/>
          <w:sz w:val="21"/>
          <w:szCs w:val="21"/>
        </w:rPr>
        <w:t xml:space="preserve">1. Please provide me with materials on the </w:t>
      </w:r>
      <w:r>
        <w:rPr>
          <w:rFonts w:hint="eastAsia" w:ascii="Aptos" w:hAnsi="Aptos" w:eastAsia="宋体"/>
          <w:sz w:val="21"/>
          <w:szCs w:val="21"/>
          <w:lang w:val="en-US" w:eastAsia="zh-CN"/>
        </w:rPr>
        <w:t>law of protecting data in Jiangxi Province.</w:t>
      </w:r>
      <w:r>
        <w:rPr>
          <w:rFonts w:ascii="Aptos" w:hAnsi="Aptos"/>
          <w:sz w:val="21"/>
          <w:szCs w:val="21"/>
        </w:rPr>
        <w:t xml:space="preserve"> </w:t>
      </w:r>
    </w:p>
    <w:p w14:paraId="277C2DE5">
      <w:pPr>
        <w:rPr>
          <w:rFonts w:ascii="Aptos" w:hAnsi="Aptos"/>
          <w:sz w:val="21"/>
          <w:szCs w:val="21"/>
        </w:rPr>
      </w:pPr>
      <w:r>
        <w:rPr>
          <w:rFonts w:ascii="Aptos" w:hAnsi="Aptos"/>
          <w:sz w:val="21"/>
          <w:szCs w:val="21"/>
        </w:rPr>
        <w:t xml:space="preserve">2. Please provide me with materials on the </w:t>
      </w:r>
      <w:r>
        <w:rPr>
          <w:rFonts w:hint="eastAsia" w:ascii="Aptos" w:hAnsi="Aptos" w:eastAsia="宋体"/>
          <w:sz w:val="21"/>
          <w:szCs w:val="21"/>
          <w:lang w:val="en-US" w:eastAsia="zh-CN"/>
        </w:rPr>
        <w:t>DBS</w:t>
      </w:r>
      <w:r>
        <w:rPr>
          <w:rFonts w:ascii="Aptos" w:hAnsi="Aptos"/>
          <w:sz w:val="21"/>
          <w:szCs w:val="21"/>
        </w:rPr>
        <w:t xml:space="preserve">. </w:t>
      </w:r>
    </w:p>
    <w:p w14:paraId="62BAAA6A">
      <w:pPr>
        <w:rPr>
          <w:rFonts w:hint="eastAsia" w:ascii="Aptos" w:hAnsi="Aptos" w:eastAsia="宋体"/>
          <w:sz w:val="21"/>
          <w:szCs w:val="21"/>
          <w:lang w:val="en-US" w:eastAsia="zh-CN"/>
        </w:rPr>
      </w:pPr>
      <w:r>
        <w:rPr>
          <w:rFonts w:hint="eastAsia" w:ascii="Aptos" w:hAnsi="Aptos" w:eastAsia="宋体"/>
          <w:sz w:val="21"/>
          <w:szCs w:val="21"/>
          <w:lang w:val="en-US" w:eastAsia="zh-CN"/>
        </w:rPr>
        <w:t>3. Please provide me with some information about the store of questionnaire data.</w:t>
      </w:r>
    </w:p>
    <w:p w14:paraId="1AB0BC81">
      <w:pPr>
        <w:rPr>
          <w:rFonts w:hint="default" w:ascii="Aptos" w:hAnsi="Aptos" w:eastAsia="宋体"/>
          <w:sz w:val="21"/>
          <w:szCs w:val="21"/>
          <w:lang w:val="en-US" w:eastAsia="zh-CN"/>
        </w:rPr>
      </w:pPr>
      <w:r>
        <w:rPr>
          <w:rFonts w:hint="eastAsia" w:ascii="Aptos" w:hAnsi="Aptos" w:eastAsia="宋体"/>
          <w:sz w:val="21"/>
          <w:szCs w:val="21"/>
          <w:lang w:val="en-US" w:eastAsia="zh-CN"/>
        </w:rPr>
        <w:t>4. Please provide me with some information on the law of protecting research data in the UK and China.</w:t>
      </w:r>
    </w:p>
    <w:p w14:paraId="61F9830E">
      <w:pPr>
        <w:rPr>
          <w:rFonts w:ascii="Aptos" w:hAnsi="Aptos"/>
          <w:sz w:val="21"/>
          <w:szCs w:val="21"/>
        </w:rPr>
      </w:pPr>
      <w:r>
        <w:rPr>
          <w:rFonts w:ascii="Aptos" w:hAnsi="Aptos"/>
          <w:sz w:val="21"/>
          <w:szCs w:val="21"/>
        </w:rPr>
        <w:t xml:space="preserve">I confirm that I have not presented any AI generated text as my own work. I confirm that I have copies of my drafts, notes, and other resources I used before, and after the use of AI tools which I may be asked to provide in evidence. </w:t>
      </w:r>
    </w:p>
    <w:p w14:paraId="3EC15087">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Aptos">
    <w:altName w:val="Segoe Print"/>
    <w:panose1 w:val="00000000000000000000"/>
    <w:charset w:val="00"/>
    <w:family w:val="swiss"/>
    <w:pitch w:val="default"/>
    <w:sig w:usb0="00000000" w:usb1="00000000" w:usb2="00000000" w:usb3="00000000" w:csb0="0000019F"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97F6FF1"/>
    <w:multiLevelType w:val="singleLevel"/>
    <w:tmpl w:val="F97F6FF1"/>
    <w:lvl w:ilvl="0" w:tentative="0">
      <w:start w:val="1"/>
      <w:numFmt w:val="decimal"/>
      <w:suff w:val="space"/>
      <w:lvlText w:val="%1."/>
      <w:lvlJc w:val="left"/>
    </w:lvl>
  </w:abstractNum>
  <w:abstractNum w:abstractNumId="1">
    <w:nsid w:val="F9EEA47E"/>
    <w:multiLevelType w:val="singleLevel"/>
    <w:tmpl w:val="F9EEA47E"/>
    <w:lvl w:ilvl="0" w:tentative="0">
      <w:start w:val="1"/>
      <w:numFmt w:val="decimal"/>
      <w:suff w:val="space"/>
      <w:lvlText w:val="%1."/>
      <w:lvlJc w:val="left"/>
    </w:lvl>
  </w:abstractNum>
  <w:abstractNum w:abstractNumId="2">
    <w:nsid w:val="1B4F5161"/>
    <w:multiLevelType w:val="singleLevel"/>
    <w:tmpl w:val="1B4F5161"/>
    <w:lvl w:ilvl="0" w:tentative="0">
      <w:start w:val="1"/>
      <w:numFmt w:val="bullet"/>
      <w:lvlText w:val=""/>
      <w:lvlJc w:val="left"/>
      <w:pPr>
        <w:ind w:left="420" w:hanging="420"/>
      </w:pPr>
      <w:rPr>
        <w:rFonts w:hint="default" w:ascii="Wingdings" w:hAnsi="Wingdings"/>
      </w:rPr>
    </w:lvl>
  </w:abstractNum>
  <w:abstractNum w:abstractNumId="3">
    <w:nsid w:val="2D7233FE"/>
    <w:multiLevelType w:val="singleLevel"/>
    <w:tmpl w:val="2D7233FE"/>
    <w:lvl w:ilvl="0" w:tentative="0">
      <w:start w:val="1"/>
      <w:numFmt w:val="decimal"/>
      <w:suff w:val="space"/>
      <w:lvlText w:val="%1."/>
      <w:lvlJc w:val="left"/>
    </w:lvl>
  </w:abstractNum>
  <w:abstractNum w:abstractNumId="4">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D732B84"/>
    <w:multiLevelType w:val="singleLevel"/>
    <w:tmpl w:val="7D732B84"/>
    <w:lvl w:ilvl="0" w:tentative="0">
      <w:start w:val="1"/>
      <w:numFmt w:val="decimal"/>
      <w:suff w:val="space"/>
      <w:lvlText w:val="%1."/>
      <w:lvlJc w:val="left"/>
    </w:lvl>
  </w:abstractNum>
  <w:num w:numId="1">
    <w:abstractNumId w:val="4"/>
  </w:num>
  <w:num w:numId="2">
    <w:abstractNumId w:val="2"/>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0003"/>
    <w:rsid w:val="00003E64"/>
    <w:rsid w:val="00004CF7"/>
    <w:rsid w:val="000142F0"/>
    <w:rsid w:val="00021B2B"/>
    <w:rsid w:val="00025AC4"/>
    <w:rsid w:val="00025D7B"/>
    <w:rsid w:val="00025F69"/>
    <w:rsid w:val="00026523"/>
    <w:rsid w:val="00030BE1"/>
    <w:rsid w:val="00030F51"/>
    <w:rsid w:val="000314CE"/>
    <w:rsid w:val="0003212E"/>
    <w:rsid w:val="000352E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8D5"/>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5352"/>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16E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46CF"/>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7C8"/>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0CE9"/>
    <w:rsid w:val="00EA26D8"/>
    <w:rsid w:val="00EA47DC"/>
    <w:rsid w:val="00EA5DE3"/>
    <w:rsid w:val="00EB6877"/>
    <w:rsid w:val="00EB722E"/>
    <w:rsid w:val="00EC0070"/>
    <w:rsid w:val="00EC11CA"/>
    <w:rsid w:val="00ED0C59"/>
    <w:rsid w:val="00ED4396"/>
    <w:rsid w:val="00ED4E18"/>
    <w:rsid w:val="00ED7B18"/>
    <w:rsid w:val="00EE2953"/>
    <w:rsid w:val="00EE29BA"/>
    <w:rsid w:val="00EE3A7B"/>
    <w:rsid w:val="00EE44C0"/>
    <w:rsid w:val="00EF0051"/>
    <w:rsid w:val="00EF6306"/>
    <w:rsid w:val="00F039C7"/>
    <w:rsid w:val="00F03BA1"/>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2B5"/>
    <w:rsid w:val="00FB4F7A"/>
    <w:rsid w:val="00FB58A3"/>
    <w:rsid w:val="00FB6B35"/>
    <w:rsid w:val="00FD436F"/>
    <w:rsid w:val="00FD5A26"/>
    <w:rsid w:val="00FE3EC4"/>
    <w:rsid w:val="00FF3E46"/>
    <w:rsid w:val="00FF5A58"/>
    <w:rsid w:val="084F7B9A"/>
    <w:rsid w:val="1BB770AB"/>
    <w:rsid w:val="48B2278C"/>
    <w:rsid w:val="565E1151"/>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0"/>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BC5284CE-34FD-4106-8995-A918ACFEB8E6}">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2857FF35-5366-499E-B809-698EAB6C742D}">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17</Pages>
  <Words>2096</Words>
  <Characters>12498</Characters>
  <Lines>194</Lines>
  <Paragraphs>54</Paragraphs>
  <TotalTime>849</TotalTime>
  <ScaleCrop>false</ScaleCrop>
  <LinksUpToDate>false</LinksUpToDate>
  <CharactersWithSpaces>14408</CharactersWithSpaces>
  <Application>WPS Office_12.1.0.20305_F1E327BC-269C-435d-A152-05C5408002CA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lastModifiedBy>　　南方酒馆</cp:lastModifiedBy>
  <cp:lastPrinted>2016-10-24T12:21:00Z</cp:lastPrinted>
  <dcterms:modified xsi:type="dcterms:W3CDTF">2025-04-02T13:00:34Z</dcterms:modified>
  <dc:title>PG2-E1</dc:title>
  <cp:revision>41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TemplateDocerSaveRecord">
    <vt:lpwstr>eyJoZGlkIjoiNTM1YjU3MTEzMTFmMGVjYThkODE5OTAzMDQ4ZjIwZjEiLCJ1c2VySWQiOiI3NjkzNDk2MjMifQ==</vt:lpwstr>
  </property>
  <property fmtid="{D5CDD505-2E9C-101B-9397-08002B2CF9AE}" pid="5" name="KSOProductBuildVer">
    <vt:lpwstr>2052-12.1.0.20305</vt:lpwstr>
  </property>
  <property fmtid="{D5CDD505-2E9C-101B-9397-08002B2CF9AE}" pid="6" name="ICV">
    <vt:lpwstr>E4B522C49F464FC8932C29E9317A8CA8_13</vt:lpwstr>
  </property>
</Properties>
</file>