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DCE45" w14:textId="77777777" w:rsidR="00155965" w:rsidRDefault="00155965" w:rsidP="004B44C4">
      <w:pPr>
        <w:jc w:val="center"/>
        <w:rPr>
          <w:rFonts w:ascii="Arial" w:hAnsi="Arial" w:cs="Arial"/>
          <w:b/>
          <w:bCs/>
          <w:sz w:val="28"/>
          <w:szCs w:val="28"/>
        </w:rPr>
      </w:pPr>
      <w:r>
        <w:rPr>
          <w:rFonts w:ascii="Arial" w:hAnsi="Arial" w:cs="Arial"/>
          <w:b/>
          <w:bCs/>
          <w:sz w:val="28"/>
          <w:szCs w:val="28"/>
        </w:rPr>
        <w:t>PRIVATE &amp; CONFIDENTIAL – this letter is subject to legal privilege.</w:t>
      </w:r>
    </w:p>
    <w:p w14:paraId="54CEE3B0" w14:textId="77777777" w:rsidR="00155965" w:rsidRDefault="00155965" w:rsidP="004B44C4">
      <w:pPr>
        <w:jc w:val="right"/>
        <w:rPr>
          <w:rFonts w:ascii="Arial" w:hAnsi="Arial" w:cs="Arial"/>
          <w:sz w:val="24"/>
          <w:szCs w:val="24"/>
        </w:rPr>
      </w:pPr>
    </w:p>
    <w:p w14:paraId="2001C0BD" w14:textId="77777777" w:rsidR="00155965" w:rsidRDefault="00155965" w:rsidP="004B44C4">
      <w:pPr>
        <w:jc w:val="right"/>
        <w:rPr>
          <w:rFonts w:ascii="Arial" w:hAnsi="Arial" w:cs="Arial"/>
          <w:sz w:val="24"/>
          <w:szCs w:val="24"/>
        </w:rPr>
      </w:pPr>
      <w:r>
        <w:rPr>
          <w:rFonts w:ascii="Arial" w:hAnsi="Arial" w:cs="Arial"/>
          <w:sz w:val="24"/>
          <w:szCs w:val="24"/>
        </w:rPr>
        <w:t>Singleton Solicitors</w:t>
      </w:r>
    </w:p>
    <w:p w14:paraId="7E4BD86A" w14:textId="77777777" w:rsidR="00155965" w:rsidRDefault="00155965" w:rsidP="004B44C4">
      <w:pPr>
        <w:jc w:val="right"/>
        <w:rPr>
          <w:rFonts w:ascii="Arial" w:hAnsi="Arial" w:cs="Arial"/>
          <w:sz w:val="24"/>
          <w:szCs w:val="24"/>
        </w:rPr>
      </w:pPr>
      <w:r>
        <w:rPr>
          <w:rFonts w:ascii="Arial" w:hAnsi="Arial" w:cs="Arial"/>
          <w:sz w:val="24"/>
          <w:szCs w:val="24"/>
        </w:rPr>
        <w:t>High Street</w:t>
      </w:r>
    </w:p>
    <w:p w14:paraId="3EBA5ED5" w14:textId="77777777" w:rsidR="00155965" w:rsidRDefault="00155965" w:rsidP="004B44C4">
      <w:pPr>
        <w:jc w:val="right"/>
        <w:rPr>
          <w:rFonts w:ascii="Arial" w:hAnsi="Arial" w:cs="Arial"/>
          <w:sz w:val="24"/>
          <w:szCs w:val="24"/>
        </w:rPr>
      </w:pPr>
      <w:r>
        <w:rPr>
          <w:rFonts w:ascii="Arial" w:hAnsi="Arial" w:cs="Arial"/>
          <w:sz w:val="24"/>
          <w:szCs w:val="24"/>
        </w:rPr>
        <w:t>Swansea</w:t>
      </w:r>
    </w:p>
    <w:p w14:paraId="0ED4E2AE" w14:textId="77777777" w:rsidR="00155965" w:rsidRDefault="00155965" w:rsidP="004B44C4">
      <w:pPr>
        <w:jc w:val="right"/>
        <w:rPr>
          <w:rFonts w:ascii="Arial" w:hAnsi="Arial" w:cs="Arial"/>
          <w:sz w:val="24"/>
          <w:szCs w:val="24"/>
        </w:rPr>
      </w:pPr>
      <w:r>
        <w:rPr>
          <w:rFonts w:ascii="Arial" w:hAnsi="Arial" w:cs="Arial"/>
          <w:sz w:val="24"/>
          <w:szCs w:val="24"/>
        </w:rPr>
        <w:t>SA1 1AB</w:t>
      </w:r>
    </w:p>
    <w:p w14:paraId="1808E3C3" w14:textId="77777777" w:rsidR="00155965" w:rsidRDefault="00155965" w:rsidP="004B44C4">
      <w:pPr>
        <w:rPr>
          <w:rFonts w:ascii="Arial" w:hAnsi="Arial" w:cs="Arial"/>
          <w:sz w:val="24"/>
          <w:szCs w:val="24"/>
        </w:rPr>
      </w:pPr>
      <w:r>
        <w:rPr>
          <w:rFonts w:ascii="Arial" w:hAnsi="Arial" w:cs="Arial"/>
          <w:sz w:val="24"/>
          <w:szCs w:val="24"/>
        </w:rPr>
        <w:t>Ms A Jones</w:t>
      </w:r>
    </w:p>
    <w:p w14:paraId="28166C4F" w14:textId="77777777" w:rsidR="00155965" w:rsidRDefault="00155965" w:rsidP="004B44C4">
      <w:pPr>
        <w:rPr>
          <w:rFonts w:ascii="Arial" w:hAnsi="Arial" w:cs="Arial"/>
          <w:sz w:val="24"/>
          <w:szCs w:val="24"/>
        </w:rPr>
      </w:pPr>
      <w:r>
        <w:rPr>
          <w:rFonts w:ascii="Arial" w:hAnsi="Arial" w:cs="Arial"/>
          <w:sz w:val="24"/>
          <w:szCs w:val="24"/>
        </w:rPr>
        <w:t>1 Road Avenue</w:t>
      </w:r>
    </w:p>
    <w:p w14:paraId="7F45DC93" w14:textId="77777777" w:rsidR="00155965" w:rsidRDefault="00155965" w:rsidP="004B44C4">
      <w:pPr>
        <w:rPr>
          <w:rFonts w:ascii="Arial" w:hAnsi="Arial" w:cs="Arial"/>
          <w:sz w:val="24"/>
          <w:szCs w:val="24"/>
        </w:rPr>
      </w:pPr>
      <w:r>
        <w:rPr>
          <w:rFonts w:ascii="Arial" w:hAnsi="Arial" w:cs="Arial"/>
          <w:sz w:val="24"/>
          <w:szCs w:val="24"/>
        </w:rPr>
        <w:t>Swansea</w:t>
      </w:r>
    </w:p>
    <w:p w14:paraId="362BF75A" w14:textId="77777777" w:rsidR="00155965" w:rsidRDefault="00155965" w:rsidP="004B44C4">
      <w:pPr>
        <w:rPr>
          <w:rFonts w:ascii="Arial" w:hAnsi="Arial" w:cs="Arial"/>
          <w:sz w:val="24"/>
          <w:szCs w:val="24"/>
        </w:rPr>
      </w:pPr>
      <w:r>
        <w:rPr>
          <w:rFonts w:ascii="Arial" w:hAnsi="Arial" w:cs="Arial"/>
          <w:sz w:val="24"/>
          <w:szCs w:val="24"/>
        </w:rPr>
        <w:t>SA1 1AB</w:t>
      </w:r>
    </w:p>
    <w:p w14:paraId="4FBD0C97" w14:textId="77777777" w:rsidR="00155965" w:rsidRDefault="00155965" w:rsidP="004B44C4">
      <w:pPr>
        <w:jc w:val="right"/>
        <w:rPr>
          <w:rFonts w:ascii="Arial" w:hAnsi="Arial" w:cs="Arial"/>
          <w:sz w:val="24"/>
          <w:szCs w:val="24"/>
        </w:rPr>
      </w:pPr>
      <w:r>
        <w:rPr>
          <w:rFonts w:ascii="Arial" w:hAnsi="Arial" w:cs="Arial"/>
          <w:sz w:val="24"/>
          <w:szCs w:val="24"/>
        </w:rPr>
        <w:t>29/11/2023</w:t>
      </w:r>
    </w:p>
    <w:p w14:paraId="2298CEFB" w14:textId="77777777" w:rsidR="00155965" w:rsidRDefault="00155965" w:rsidP="004B44C4">
      <w:pPr>
        <w:rPr>
          <w:rFonts w:ascii="Arial" w:hAnsi="Arial" w:cs="Arial"/>
          <w:sz w:val="24"/>
          <w:szCs w:val="24"/>
        </w:rPr>
      </w:pPr>
    </w:p>
    <w:p w14:paraId="5B4929A8" w14:textId="77777777" w:rsidR="00155965" w:rsidRDefault="00155965" w:rsidP="004B44C4">
      <w:pPr>
        <w:rPr>
          <w:rFonts w:ascii="Arial" w:hAnsi="Arial" w:cs="Arial"/>
          <w:sz w:val="24"/>
          <w:szCs w:val="24"/>
        </w:rPr>
      </w:pPr>
      <w:r>
        <w:rPr>
          <w:rFonts w:ascii="Arial" w:hAnsi="Arial" w:cs="Arial"/>
          <w:sz w:val="24"/>
          <w:szCs w:val="24"/>
        </w:rPr>
        <w:t>Dear Ms Jones</w:t>
      </w:r>
    </w:p>
    <w:p w14:paraId="20CFEDE5" w14:textId="77777777" w:rsidR="00155965" w:rsidRDefault="00155965" w:rsidP="004B44C4">
      <w:pPr>
        <w:rPr>
          <w:rFonts w:ascii="Arial" w:hAnsi="Arial" w:cs="Arial"/>
          <w:b/>
          <w:bCs/>
          <w:sz w:val="24"/>
          <w:szCs w:val="24"/>
          <w:u w:val="single"/>
        </w:rPr>
      </w:pPr>
    </w:p>
    <w:p w14:paraId="63E63831" w14:textId="77777777" w:rsidR="00155965" w:rsidRDefault="00155965" w:rsidP="004B44C4">
      <w:pPr>
        <w:rPr>
          <w:rFonts w:ascii="Arial" w:hAnsi="Arial" w:cs="Arial"/>
          <w:b/>
          <w:bCs/>
          <w:sz w:val="24"/>
          <w:szCs w:val="24"/>
          <w:u w:val="single"/>
        </w:rPr>
      </w:pPr>
      <w:r>
        <w:rPr>
          <w:rFonts w:ascii="Arial" w:hAnsi="Arial" w:cs="Arial"/>
          <w:b/>
          <w:bCs/>
          <w:sz w:val="24"/>
          <w:szCs w:val="24"/>
          <w:u w:val="single"/>
        </w:rPr>
        <w:t>In the matter of: R v A Jones</w:t>
      </w:r>
    </w:p>
    <w:p w14:paraId="12068D04" w14:textId="77777777" w:rsidR="00155965" w:rsidRDefault="00155965" w:rsidP="004B44C4">
      <w:pPr>
        <w:rPr>
          <w:rFonts w:ascii="Arial" w:hAnsi="Arial" w:cs="Arial"/>
          <w:b/>
          <w:bCs/>
          <w:sz w:val="24"/>
          <w:szCs w:val="24"/>
          <w:u w:val="single"/>
        </w:rPr>
      </w:pPr>
      <w:r>
        <w:rPr>
          <w:rFonts w:ascii="Arial" w:hAnsi="Arial" w:cs="Arial"/>
          <w:b/>
          <w:bCs/>
          <w:sz w:val="24"/>
          <w:szCs w:val="24"/>
          <w:u w:val="single"/>
        </w:rPr>
        <w:t>Case number: 01234567</w:t>
      </w:r>
    </w:p>
    <w:p w14:paraId="205C846F" w14:textId="77777777" w:rsidR="00155965" w:rsidRDefault="00155965" w:rsidP="004B44C4">
      <w:pPr>
        <w:rPr>
          <w:rFonts w:ascii="Arial" w:hAnsi="Arial" w:cs="Arial"/>
          <w:b/>
          <w:bCs/>
          <w:sz w:val="24"/>
          <w:szCs w:val="24"/>
          <w:u w:val="single"/>
        </w:rPr>
      </w:pPr>
      <w:r>
        <w:rPr>
          <w:rFonts w:ascii="Arial" w:hAnsi="Arial" w:cs="Arial"/>
          <w:b/>
          <w:bCs/>
          <w:sz w:val="24"/>
          <w:szCs w:val="24"/>
          <w:u w:val="single"/>
        </w:rPr>
        <w:t>Letter of Advice</w:t>
      </w:r>
    </w:p>
    <w:p w14:paraId="18514FB9" w14:textId="77777777" w:rsidR="00155965" w:rsidRDefault="00155965" w:rsidP="004B44C4">
      <w:pPr>
        <w:rPr>
          <w:rFonts w:ascii="Arial" w:hAnsi="Arial" w:cs="Arial"/>
          <w:b/>
          <w:bCs/>
          <w:sz w:val="24"/>
          <w:szCs w:val="24"/>
          <w:u w:val="single"/>
        </w:rPr>
      </w:pPr>
    </w:p>
    <w:p w14:paraId="026C24EF" w14:textId="77777777" w:rsidR="00155965" w:rsidRDefault="00155965" w:rsidP="004B44C4">
      <w:pPr>
        <w:rPr>
          <w:rFonts w:ascii="Arial" w:hAnsi="Arial" w:cs="Arial"/>
          <w:b/>
          <w:bCs/>
          <w:sz w:val="24"/>
          <w:szCs w:val="24"/>
          <w:u w:val="single"/>
        </w:rPr>
      </w:pPr>
      <w:r>
        <w:rPr>
          <w:rFonts w:ascii="Arial" w:hAnsi="Arial" w:cs="Arial"/>
          <w:sz w:val="24"/>
          <w:szCs w:val="24"/>
        </w:rPr>
        <w:t xml:space="preserve">In recent correspondence with myself, you requested that I write a statement on behalf of your partner stating that you were together at the time of the alleged burglary at your partner, Mr Smith’s home. Since the beginning of legal proceedings against yourself, you have brought to my attention that these allegations are in fact accurate, meaning yourself and Mr Smith were not at home at the time. </w:t>
      </w:r>
    </w:p>
    <w:p w14:paraId="09D18532" w14:textId="77777777" w:rsidR="00155965" w:rsidRDefault="00155965" w:rsidP="004B44C4">
      <w:pPr>
        <w:rPr>
          <w:rFonts w:ascii="Arial" w:hAnsi="Arial" w:cs="Arial"/>
          <w:b/>
          <w:bCs/>
          <w:sz w:val="24"/>
          <w:szCs w:val="24"/>
          <w:u w:val="single"/>
        </w:rPr>
      </w:pPr>
    </w:p>
    <w:p w14:paraId="45EF94A0" w14:textId="77777777" w:rsidR="00155965" w:rsidRDefault="00155965" w:rsidP="004B44C4">
      <w:pPr>
        <w:rPr>
          <w:rFonts w:ascii="Arial" w:hAnsi="Arial" w:cs="Arial"/>
          <w:sz w:val="24"/>
          <w:szCs w:val="24"/>
        </w:rPr>
      </w:pPr>
      <w:r>
        <w:rPr>
          <w:rFonts w:ascii="Arial" w:hAnsi="Arial" w:cs="Arial"/>
          <w:sz w:val="24"/>
          <w:szCs w:val="24"/>
        </w:rPr>
        <w:t xml:space="preserve">As per section 2.2 of the SRA code of conduct which I must follow, as it is the regulating authority for all solicitors, I would be unable to write such a statement due to its content being falsified (SRA, 2023). Section 2.2 of the SRA code of conduct reads as follows “You do not seek to influence the substance of evidence, including generating false evidence…”, which would include a false statement. </w:t>
      </w:r>
    </w:p>
    <w:p w14:paraId="13259735" w14:textId="77777777" w:rsidR="00155965" w:rsidRDefault="00155965" w:rsidP="004B44C4">
      <w:pPr>
        <w:rPr>
          <w:rFonts w:ascii="Arial" w:hAnsi="Arial" w:cs="Arial"/>
          <w:sz w:val="24"/>
          <w:szCs w:val="24"/>
        </w:rPr>
      </w:pPr>
    </w:p>
    <w:p w14:paraId="242695B0" w14:textId="77777777" w:rsidR="00155965" w:rsidRDefault="00155965" w:rsidP="004B44C4">
      <w:pPr>
        <w:rPr>
          <w:rFonts w:ascii="Arial" w:hAnsi="Arial" w:cs="Arial"/>
          <w:sz w:val="24"/>
          <w:szCs w:val="24"/>
        </w:rPr>
      </w:pPr>
      <w:r>
        <w:rPr>
          <w:rFonts w:ascii="Arial" w:hAnsi="Arial" w:cs="Arial"/>
          <w:sz w:val="24"/>
          <w:szCs w:val="24"/>
        </w:rPr>
        <w:t xml:space="preserve">This is further compounded by section 1.4, which disallows me from misleading the court or any other persons involved with legal proceedings, such as using falsified evidence (SRA, 2023). The SRA principles, which are the underlying tenets of ethical behaviour that all professionals certified by the SRA must follow, similarly disallow </w:t>
      </w:r>
      <w:r>
        <w:rPr>
          <w:rFonts w:ascii="Arial" w:hAnsi="Arial" w:cs="Arial"/>
          <w:sz w:val="24"/>
          <w:szCs w:val="24"/>
        </w:rPr>
        <w:lastRenderedPageBreak/>
        <w:t xml:space="preserve">behaviour that is dishonest, as well as requiring that all actions must be taken in a way that upholds the rule of law and the proper administration of justice (SRA, 2018). </w:t>
      </w:r>
    </w:p>
    <w:p w14:paraId="774934B6" w14:textId="77777777" w:rsidR="00155965" w:rsidRDefault="00155965" w:rsidP="004B44C4">
      <w:pPr>
        <w:rPr>
          <w:rFonts w:ascii="Arial" w:hAnsi="Arial" w:cs="Arial"/>
          <w:sz w:val="24"/>
          <w:szCs w:val="24"/>
        </w:rPr>
      </w:pPr>
    </w:p>
    <w:p w14:paraId="4E7817A9" w14:textId="77777777" w:rsidR="00155965" w:rsidRDefault="00155965" w:rsidP="004B44C4">
      <w:pPr>
        <w:rPr>
          <w:rFonts w:ascii="Arial" w:hAnsi="Arial" w:cs="Arial"/>
          <w:sz w:val="24"/>
          <w:szCs w:val="24"/>
        </w:rPr>
      </w:pPr>
      <w:r>
        <w:rPr>
          <w:rFonts w:ascii="Arial" w:hAnsi="Arial" w:cs="Arial"/>
          <w:sz w:val="24"/>
          <w:szCs w:val="24"/>
        </w:rPr>
        <w:t xml:space="preserve">While I cannot provide or produce such evidence, I am still able to provide legal guidance in the best interest of yourself and submit truthful evidence to the court. I would advise that you do not take this action in creating such a statement, as this would be perjury. Alternatively, there are still options available to you in this matter. If you so choose, you may still be able to take a guilty plea, which will reduce your sentence. You will also be able to continue the case, however I would advise against this. Finally, I may be able to withdraw myself from this case, allowing you to find other legal representation. </w:t>
      </w:r>
    </w:p>
    <w:p w14:paraId="70309DA9" w14:textId="77777777" w:rsidR="00155965" w:rsidRDefault="00155965" w:rsidP="004B44C4">
      <w:pPr>
        <w:rPr>
          <w:rFonts w:ascii="Arial" w:hAnsi="Arial" w:cs="Arial"/>
          <w:b/>
          <w:bCs/>
          <w:sz w:val="24"/>
          <w:szCs w:val="24"/>
          <w:u w:val="single"/>
        </w:rPr>
      </w:pPr>
    </w:p>
    <w:p w14:paraId="141D527C" w14:textId="77777777" w:rsidR="00155965" w:rsidRDefault="00155965" w:rsidP="004B44C4">
      <w:pPr>
        <w:rPr>
          <w:rFonts w:ascii="Arial" w:hAnsi="Arial" w:cs="Arial"/>
          <w:sz w:val="24"/>
          <w:szCs w:val="24"/>
        </w:rPr>
      </w:pPr>
      <w:r>
        <w:rPr>
          <w:rFonts w:ascii="Arial" w:hAnsi="Arial" w:cs="Arial"/>
          <w:sz w:val="24"/>
          <w:szCs w:val="24"/>
        </w:rPr>
        <w:t>Yours sincerely,</w:t>
      </w:r>
    </w:p>
    <w:p w14:paraId="39D6E9F1" w14:textId="520B42A9" w:rsidR="00155965" w:rsidRDefault="00155965" w:rsidP="004B44C4">
      <w:pPr>
        <w:rPr>
          <w:rFonts w:ascii="Arial" w:hAnsi="Arial" w:cs="Arial"/>
          <w:i/>
          <w:iCs/>
          <w:sz w:val="24"/>
          <w:szCs w:val="24"/>
        </w:rPr>
      </w:pPr>
      <w:r>
        <w:rPr>
          <w:rFonts w:ascii="Arial" w:hAnsi="Arial" w:cs="Arial"/>
          <w:i/>
          <w:iCs/>
          <w:sz w:val="24"/>
          <w:szCs w:val="24"/>
        </w:rPr>
        <w:t>Gabrial Harris</w:t>
      </w:r>
    </w:p>
    <w:p w14:paraId="1C0D70A4" w14:textId="77777777" w:rsidR="00E1581B" w:rsidRDefault="00E1581B" w:rsidP="004B44C4">
      <w:pPr>
        <w:rPr>
          <w:rFonts w:ascii="Arial" w:hAnsi="Arial" w:cs="Arial"/>
          <w:i/>
          <w:iCs/>
          <w:sz w:val="24"/>
          <w:szCs w:val="24"/>
        </w:rPr>
      </w:pPr>
    </w:p>
    <w:p w14:paraId="74C93470" w14:textId="77777777" w:rsidR="00E1581B" w:rsidRDefault="00E1581B" w:rsidP="004B44C4">
      <w:pPr>
        <w:rPr>
          <w:rFonts w:ascii="Arial" w:hAnsi="Arial" w:cs="Arial"/>
          <w:i/>
          <w:iCs/>
          <w:sz w:val="24"/>
          <w:szCs w:val="24"/>
        </w:rPr>
      </w:pPr>
    </w:p>
    <w:p w14:paraId="69733F8E" w14:textId="77777777" w:rsidR="00E1581B" w:rsidRDefault="00E1581B" w:rsidP="004B44C4">
      <w:pPr>
        <w:rPr>
          <w:rFonts w:ascii="Arial" w:hAnsi="Arial" w:cs="Arial"/>
          <w:i/>
          <w:iCs/>
          <w:sz w:val="24"/>
          <w:szCs w:val="24"/>
        </w:rPr>
      </w:pPr>
    </w:p>
    <w:p w14:paraId="6EFD3AFE" w14:textId="77777777" w:rsidR="00E1581B" w:rsidRDefault="00E1581B" w:rsidP="004B44C4">
      <w:pPr>
        <w:rPr>
          <w:rFonts w:ascii="Arial" w:hAnsi="Arial" w:cs="Arial"/>
          <w:i/>
          <w:iCs/>
          <w:sz w:val="24"/>
          <w:szCs w:val="24"/>
        </w:rPr>
      </w:pPr>
    </w:p>
    <w:p w14:paraId="6D632E80" w14:textId="77777777" w:rsidR="00E1581B" w:rsidRDefault="00E1581B" w:rsidP="004B44C4">
      <w:pPr>
        <w:rPr>
          <w:rFonts w:ascii="Arial" w:hAnsi="Arial" w:cs="Arial"/>
          <w:i/>
          <w:iCs/>
          <w:sz w:val="24"/>
          <w:szCs w:val="24"/>
        </w:rPr>
      </w:pPr>
    </w:p>
    <w:p w14:paraId="2A8FFE6B" w14:textId="77777777" w:rsidR="00E1581B" w:rsidRDefault="00E1581B" w:rsidP="004B44C4">
      <w:pPr>
        <w:rPr>
          <w:rFonts w:ascii="Arial" w:hAnsi="Arial" w:cs="Arial"/>
          <w:i/>
          <w:iCs/>
          <w:sz w:val="24"/>
          <w:szCs w:val="24"/>
        </w:rPr>
      </w:pPr>
    </w:p>
    <w:p w14:paraId="769EE420" w14:textId="77777777" w:rsidR="00E1581B" w:rsidRDefault="00E1581B" w:rsidP="004B44C4">
      <w:pPr>
        <w:rPr>
          <w:rFonts w:ascii="Arial" w:hAnsi="Arial" w:cs="Arial"/>
          <w:i/>
          <w:iCs/>
          <w:sz w:val="24"/>
          <w:szCs w:val="24"/>
        </w:rPr>
      </w:pPr>
    </w:p>
    <w:p w14:paraId="22DD0E20" w14:textId="77777777" w:rsidR="00E1581B" w:rsidRDefault="00E1581B" w:rsidP="004B44C4">
      <w:pPr>
        <w:rPr>
          <w:rFonts w:ascii="Arial" w:hAnsi="Arial" w:cs="Arial"/>
          <w:i/>
          <w:iCs/>
          <w:sz w:val="24"/>
          <w:szCs w:val="24"/>
        </w:rPr>
      </w:pPr>
    </w:p>
    <w:p w14:paraId="110E96E2" w14:textId="77777777" w:rsidR="00E1581B" w:rsidRDefault="00E1581B" w:rsidP="004B44C4">
      <w:pPr>
        <w:rPr>
          <w:rFonts w:ascii="Arial" w:hAnsi="Arial" w:cs="Arial"/>
          <w:i/>
          <w:iCs/>
          <w:sz w:val="24"/>
          <w:szCs w:val="24"/>
        </w:rPr>
      </w:pPr>
    </w:p>
    <w:p w14:paraId="79F5F937" w14:textId="77777777" w:rsidR="00E1581B" w:rsidRDefault="00E1581B" w:rsidP="004B44C4">
      <w:pPr>
        <w:rPr>
          <w:rFonts w:ascii="Arial" w:hAnsi="Arial" w:cs="Arial"/>
          <w:i/>
          <w:iCs/>
          <w:sz w:val="24"/>
          <w:szCs w:val="24"/>
        </w:rPr>
      </w:pPr>
    </w:p>
    <w:p w14:paraId="3B3420FA" w14:textId="77777777" w:rsidR="00E1581B" w:rsidRDefault="00E1581B" w:rsidP="004B44C4">
      <w:pPr>
        <w:rPr>
          <w:rFonts w:ascii="Arial" w:hAnsi="Arial" w:cs="Arial"/>
          <w:i/>
          <w:iCs/>
          <w:sz w:val="24"/>
          <w:szCs w:val="24"/>
        </w:rPr>
      </w:pPr>
    </w:p>
    <w:p w14:paraId="1FAF4308" w14:textId="77777777" w:rsidR="00E1581B" w:rsidRPr="00E1581B" w:rsidRDefault="00E1581B" w:rsidP="004B44C4">
      <w:pPr>
        <w:rPr>
          <w:rFonts w:ascii="Arial" w:hAnsi="Arial" w:cs="Arial"/>
          <w:i/>
          <w:iCs/>
          <w:sz w:val="24"/>
          <w:szCs w:val="24"/>
        </w:rPr>
      </w:pPr>
    </w:p>
    <w:p w14:paraId="04D98F35" w14:textId="77777777" w:rsidR="00155965" w:rsidRDefault="00155965" w:rsidP="004B44C4">
      <w:r>
        <w:t>References</w:t>
      </w:r>
    </w:p>
    <w:p w14:paraId="295790C3" w14:textId="77777777" w:rsidR="00155965" w:rsidRDefault="00155965" w:rsidP="004B44C4"/>
    <w:p w14:paraId="1F595EA3" w14:textId="77777777" w:rsidR="00155965" w:rsidRDefault="00155965" w:rsidP="004B44C4">
      <w:r>
        <w:t xml:space="preserve">Solicitors Regulatory Authority. (2018) SRA Principles. Available at: </w:t>
      </w:r>
      <w:hyperlink r:id="rId4" w:history="1">
        <w:r w:rsidRPr="001D4D70">
          <w:rPr>
            <w:rStyle w:val="Hyperlink"/>
          </w:rPr>
          <w:t>https://www.sra.org.uk/solicitors/standards-regulations/principles/</w:t>
        </w:r>
      </w:hyperlink>
      <w:r>
        <w:t xml:space="preserve"> (Accessed: 29 November 2023)</w:t>
      </w:r>
    </w:p>
    <w:p w14:paraId="429045DE" w14:textId="77777777" w:rsidR="00155965" w:rsidRDefault="00155965" w:rsidP="004B44C4"/>
    <w:p w14:paraId="33D52765" w14:textId="77777777" w:rsidR="00155965" w:rsidRDefault="00155965" w:rsidP="004B44C4">
      <w:r>
        <w:t xml:space="preserve">Solicitors Regulatory Authority. (2023) SRA Code of Conduct for Solicitors, RELs and RFLs. Available at: </w:t>
      </w:r>
      <w:hyperlink r:id="rId5" w:history="1">
        <w:r w:rsidRPr="001D4D70">
          <w:rPr>
            <w:rStyle w:val="Hyperlink"/>
          </w:rPr>
          <w:t>https://www.sra.org.uk/solicitors/standards-regulations/code-conduct-solicitors/</w:t>
        </w:r>
      </w:hyperlink>
      <w:r>
        <w:t xml:space="preserve"> (Accessed: 29 November 2023)</w:t>
      </w:r>
    </w:p>
    <w:p w14:paraId="7533E89A" w14:textId="77777777" w:rsidR="003C6661" w:rsidRDefault="003C6661" w:rsidP="004B44C4">
      <w:pPr>
        <w:jc w:val="both"/>
        <w:rPr>
          <w:rFonts w:ascii="Arial" w:hAnsi="Arial" w:cs="Arial"/>
          <w:sz w:val="24"/>
          <w:szCs w:val="24"/>
        </w:rPr>
      </w:pPr>
      <w:r>
        <w:rPr>
          <w:rFonts w:ascii="Arial" w:hAnsi="Arial" w:cs="Arial"/>
          <w:b/>
          <w:bCs/>
          <w:i/>
          <w:iCs/>
          <w:sz w:val="24"/>
          <w:szCs w:val="24"/>
        </w:rPr>
        <w:lastRenderedPageBreak/>
        <w:t>Gabrial Harris</w:t>
      </w:r>
    </w:p>
    <w:p w14:paraId="636F588D" w14:textId="77777777" w:rsidR="003C6661" w:rsidRDefault="003C6661" w:rsidP="004B44C4">
      <w:pPr>
        <w:jc w:val="both"/>
        <w:rPr>
          <w:rFonts w:ascii="Arial" w:hAnsi="Arial" w:cs="Arial"/>
          <w:sz w:val="24"/>
          <w:szCs w:val="24"/>
        </w:rPr>
      </w:pPr>
      <w:r>
        <w:rPr>
          <w:rFonts w:ascii="Arial" w:hAnsi="Arial" w:cs="Arial"/>
          <w:b/>
          <w:bCs/>
          <w:sz w:val="24"/>
          <w:szCs w:val="24"/>
        </w:rPr>
        <w:t>To:</w:t>
      </w:r>
      <w:r>
        <w:rPr>
          <w:rFonts w:ascii="Arial" w:hAnsi="Arial" w:cs="Arial"/>
          <w:sz w:val="24"/>
          <w:szCs w:val="24"/>
        </w:rPr>
        <w:t xml:space="preserve"> Ms Reynolds, client</w:t>
      </w:r>
    </w:p>
    <w:p w14:paraId="41A4F5C2" w14:textId="77777777" w:rsidR="003C6661" w:rsidRDefault="003C6661" w:rsidP="004B44C4">
      <w:pPr>
        <w:ind w:left="720"/>
        <w:jc w:val="both"/>
        <w:rPr>
          <w:rFonts w:ascii="Arial" w:hAnsi="Arial" w:cs="Arial"/>
          <w:sz w:val="24"/>
          <w:szCs w:val="24"/>
        </w:rPr>
      </w:pPr>
    </w:p>
    <w:p w14:paraId="7074F9D3" w14:textId="77777777" w:rsidR="003C6661" w:rsidRDefault="003C6661" w:rsidP="004B44C4">
      <w:pPr>
        <w:jc w:val="both"/>
        <w:rPr>
          <w:rFonts w:ascii="Arial" w:hAnsi="Arial" w:cs="Arial"/>
          <w:b/>
          <w:bCs/>
          <w:sz w:val="24"/>
          <w:szCs w:val="24"/>
        </w:rPr>
      </w:pPr>
      <w:r>
        <w:rPr>
          <w:rFonts w:ascii="Arial" w:hAnsi="Arial" w:cs="Arial"/>
          <w:b/>
          <w:bCs/>
          <w:sz w:val="24"/>
          <w:szCs w:val="24"/>
        </w:rPr>
        <w:t>Subject: Choice of Barrister</w:t>
      </w:r>
    </w:p>
    <w:p w14:paraId="52A11880" w14:textId="77777777" w:rsidR="003C6661" w:rsidRDefault="003C6661" w:rsidP="004B44C4">
      <w:pPr>
        <w:jc w:val="both"/>
        <w:rPr>
          <w:rFonts w:ascii="Arial" w:hAnsi="Arial" w:cs="Arial"/>
          <w:sz w:val="24"/>
          <w:szCs w:val="24"/>
        </w:rPr>
      </w:pPr>
    </w:p>
    <w:p w14:paraId="0935C24A" w14:textId="77777777" w:rsidR="003C6661" w:rsidRDefault="003C6661" w:rsidP="004B44C4">
      <w:pPr>
        <w:jc w:val="both"/>
        <w:rPr>
          <w:rFonts w:ascii="Arial" w:hAnsi="Arial" w:cs="Arial"/>
          <w:sz w:val="24"/>
          <w:szCs w:val="24"/>
        </w:rPr>
      </w:pPr>
      <w:r>
        <w:rPr>
          <w:rFonts w:ascii="Arial" w:hAnsi="Arial" w:cs="Arial"/>
          <w:sz w:val="24"/>
          <w:szCs w:val="24"/>
        </w:rPr>
        <w:t>Dear Ms Reynolds,</w:t>
      </w:r>
    </w:p>
    <w:p w14:paraId="6E6B57EA" w14:textId="77777777" w:rsidR="003C6661" w:rsidRDefault="003C6661" w:rsidP="004B44C4">
      <w:pPr>
        <w:ind w:left="720"/>
        <w:jc w:val="both"/>
        <w:rPr>
          <w:rFonts w:ascii="Arial" w:hAnsi="Arial" w:cs="Arial"/>
          <w:sz w:val="24"/>
          <w:szCs w:val="24"/>
        </w:rPr>
      </w:pPr>
    </w:p>
    <w:p w14:paraId="27188D57" w14:textId="77777777" w:rsidR="003C6661" w:rsidRDefault="003C6661" w:rsidP="004B44C4">
      <w:pPr>
        <w:jc w:val="both"/>
        <w:rPr>
          <w:rFonts w:ascii="Arial" w:hAnsi="Arial" w:cs="Arial"/>
          <w:sz w:val="24"/>
          <w:szCs w:val="24"/>
        </w:rPr>
      </w:pPr>
      <w:r>
        <w:rPr>
          <w:rFonts w:ascii="Arial" w:hAnsi="Arial" w:cs="Arial"/>
          <w:sz w:val="24"/>
          <w:szCs w:val="24"/>
        </w:rPr>
        <w:t xml:space="preserve">In our recent correspondence, I recommended 3 barristers to represent you in your upcoming divorce hearing. You responded with a request that I find a white, female barrister to represent you in court. I am contacting you in relation to this matter. </w:t>
      </w:r>
    </w:p>
    <w:p w14:paraId="73F31AA5" w14:textId="77777777" w:rsidR="003C6661" w:rsidRDefault="003C6661" w:rsidP="004B44C4">
      <w:pPr>
        <w:jc w:val="both"/>
        <w:rPr>
          <w:rFonts w:ascii="Arial" w:hAnsi="Arial" w:cs="Arial"/>
          <w:sz w:val="24"/>
          <w:szCs w:val="24"/>
        </w:rPr>
      </w:pPr>
    </w:p>
    <w:p w14:paraId="50521630" w14:textId="77777777" w:rsidR="003C6661" w:rsidRDefault="003C6661" w:rsidP="004B44C4">
      <w:pPr>
        <w:jc w:val="both"/>
        <w:rPr>
          <w:rFonts w:ascii="Arial" w:hAnsi="Arial" w:cs="Arial"/>
          <w:sz w:val="24"/>
          <w:szCs w:val="24"/>
        </w:rPr>
      </w:pPr>
      <w:r>
        <w:rPr>
          <w:rFonts w:ascii="Arial" w:hAnsi="Arial" w:cs="Arial"/>
          <w:sz w:val="24"/>
          <w:szCs w:val="24"/>
        </w:rPr>
        <w:t xml:space="preserve">I would recommend that you reconsider the options that I have brought forth previously due to there only being two weeks until your hearing, which may cause it to be impractical to find a new barrister. As per section 3.2, I must provide service in a timely manner, which may become difficult or impossible due to such time constraints (SRA, 2023). </w:t>
      </w:r>
    </w:p>
    <w:p w14:paraId="782A1F01" w14:textId="77777777" w:rsidR="003C6661" w:rsidRDefault="003C6661" w:rsidP="004B44C4">
      <w:pPr>
        <w:jc w:val="both"/>
        <w:rPr>
          <w:rFonts w:ascii="Arial" w:hAnsi="Arial" w:cs="Arial"/>
          <w:sz w:val="24"/>
          <w:szCs w:val="24"/>
        </w:rPr>
      </w:pPr>
    </w:p>
    <w:p w14:paraId="02F454F7" w14:textId="77777777" w:rsidR="003C6661" w:rsidRDefault="003C6661" w:rsidP="004B44C4">
      <w:pPr>
        <w:jc w:val="both"/>
        <w:rPr>
          <w:rFonts w:ascii="Arial" w:hAnsi="Arial" w:cs="Arial"/>
          <w:sz w:val="24"/>
          <w:szCs w:val="24"/>
        </w:rPr>
      </w:pPr>
      <w:r>
        <w:rPr>
          <w:rFonts w:ascii="Arial" w:hAnsi="Arial" w:cs="Arial"/>
          <w:sz w:val="24"/>
          <w:szCs w:val="24"/>
        </w:rPr>
        <w:t>Additionally, section 6 of the SRA principles state that I must act in a way that encourages equality, diversity and inclusion which would be in direct conflict with the request you have made (SRA, 2018). This would create a conflict of interest between us, which would make me unable to fulfil the request you have made under section 6.1 of the SRA code of conduct (SRA, 2023)</w:t>
      </w:r>
    </w:p>
    <w:p w14:paraId="726C34E9" w14:textId="77777777" w:rsidR="003C6661" w:rsidRDefault="003C6661" w:rsidP="004B44C4">
      <w:pPr>
        <w:jc w:val="both"/>
        <w:rPr>
          <w:rFonts w:ascii="Arial" w:hAnsi="Arial" w:cs="Arial"/>
          <w:sz w:val="24"/>
          <w:szCs w:val="24"/>
        </w:rPr>
      </w:pPr>
    </w:p>
    <w:p w14:paraId="3C36BCCB" w14:textId="77777777" w:rsidR="003C6661" w:rsidRDefault="003C6661" w:rsidP="004B44C4">
      <w:pPr>
        <w:jc w:val="both"/>
        <w:rPr>
          <w:rFonts w:ascii="Arial" w:hAnsi="Arial" w:cs="Arial"/>
          <w:sz w:val="24"/>
          <w:szCs w:val="24"/>
        </w:rPr>
      </w:pPr>
      <w:r>
        <w:rPr>
          <w:rFonts w:ascii="Arial" w:hAnsi="Arial" w:cs="Arial"/>
          <w:sz w:val="24"/>
          <w:szCs w:val="24"/>
        </w:rPr>
        <w:t xml:space="preserve">If you still believe that it is ultimately in your best interest to find a new barrister to represent you, then I will have to withdraw myself from this case as I am unable to allow myself or my clients to be motivated by race or discrimination. </w:t>
      </w:r>
    </w:p>
    <w:p w14:paraId="1AF5829A" w14:textId="77777777" w:rsidR="003C6661" w:rsidRDefault="003C6661" w:rsidP="004B44C4">
      <w:pPr>
        <w:jc w:val="both"/>
        <w:rPr>
          <w:rFonts w:ascii="Arial" w:hAnsi="Arial" w:cs="Arial"/>
          <w:sz w:val="24"/>
          <w:szCs w:val="24"/>
        </w:rPr>
      </w:pPr>
    </w:p>
    <w:p w14:paraId="57A01307" w14:textId="77777777" w:rsidR="003C6661" w:rsidRDefault="003C6661" w:rsidP="004B44C4">
      <w:pPr>
        <w:jc w:val="both"/>
        <w:rPr>
          <w:rFonts w:ascii="Arial" w:hAnsi="Arial" w:cs="Arial"/>
          <w:sz w:val="24"/>
          <w:szCs w:val="24"/>
        </w:rPr>
      </w:pPr>
      <w:r>
        <w:rPr>
          <w:rFonts w:ascii="Arial" w:hAnsi="Arial" w:cs="Arial"/>
          <w:sz w:val="24"/>
          <w:szCs w:val="24"/>
        </w:rPr>
        <w:t>Yours sincerely,</w:t>
      </w:r>
    </w:p>
    <w:p w14:paraId="3306DF84" w14:textId="77777777" w:rsidR="003C6661" w:rsidRDefault="003C6661" w:rsidP="004B44C4">
      <w:r>
        <w:rPr>
          <w:rFonts w:ascii="Arial" w:hAnsi="Arial" w:cs="Arial"/>
          <w:i/>
          <w:iCs/>
          <w:sz w:val="24"/>
          <w:szCs w:val="24"/>
        </w:rPr>
        <w:t>Gabrial Harris</w:t>
      </w:r>
    </w:p>
    <w:p w14:paraId="29B99AFA" w14:textId="77777777" w:rsidR="003C6661" w:rsidRDefault="003C6661" w:rsidP="004B44C4"/>
    <w:p w14:paraId="507B425C" w14:textId="77777777" w:rsidR="003C6661" w:rsidRDefault="003C6661" w:rsidP="004B44C4"/>
    <w:p w14:paraId="23AD9F96" w14:textId="77777777" w:rsidR="003C6661" w:rsidRDefault="003C6661" w:rsidP="004B44C4"/>
    <w:p w14:paraId="56D00100" w14:textId="77777777" w:rsidR="003C6661" w:rsidRDefault="003C6661" w:rsidP="004B44C4"/>
    <w:p w14:paraId="04C35018" w14:textId="77777777" w:rsidR="003C6661" w:rsidRDefault="003C6661" w:rsidP="004B44C4"/>
    <w:p w14:paraId="53E45C32" w14:textId="77777777" w:rsidR="003C6661" w:rsidRDefault="003C6661" w:rsidP="004B44C4"/>
    <w:p w14:paraId="7AB1BBD5" w14:textId="77777777" w:rsidR="003C6661" w:rsidRDefault="003C6661" w:rsidP="004B44C4"/>
    <w:p w14:paraId="0F7FDA23" w14:textId="77777777" w:rsidR="003C6661" w:rsidRDefault="003C6661" w:rsidP="004B44C4"/>
    <w:p w14:paraId="36E018A7" w14:textId="77777777" w:rsidR="003C6661" w:rsidRDefault="003C6661" w:rsidP="004B44C4">
      <w:r>
        <w:t>References</w:t>
      </w:r>
    </w:p>
    <w:p w14:paraId="4E1E9163" w14:textId="77777777" w:rsidR="003C6661" w:rsidRDefault="003C6661" w:rsidP="004B44C4"/>
    <w:p w14:paraId="05BC7130" w14:textId="77777777" w:rsidR="003C6661" w:rsidRDefault="003C6661" w:rsidP="004B44C4">
      <w:r>
        <w:t xml:space="preserve">Solicitors Regulatory Authority. (2018) SRA Principles. Available at: </w:t>
      </w:r>
      <w:hyperlink r:id="rId6" w:history="1">
        <w:r w:rsidRPr="001D4D70">
          <w:rPr>
            <w:rStyle w:val="Hyperlink"/>
          </w:rPr>
          <w:t>https://www.sra.org.uk/solicitors/standards-regulations/principles/</w:t>
        </w:r>
      </w:hyperlink>
      <w:r>
        <w:t xml:space="preserve"> (Accessed: 29 November 2023)</w:t>
      </w:r>
    </w:p>
    <w:p w14:paraId="294EF955" w14:textId="77777777" w:rsidR="003C6661" w:rsidRDefault="003C6661" w:rsidP="004B44C4"/>
    <w:p w14:paraId="55C002E0" w14:textId="77777777" w:rsidR="003C6661" w:rsidRDefault="003C6661" w:rsidP="004B44C4">
      <w:r>
        <w:t xml:space="preserve">Solicitors Regulatory Authority. (2023) SRA Code of Conduct for Solicitors, RELs and RFLs. Available at: </w:t>
      </w:r>
      <w:hyperlink r:id="rId7" w:history="1">
        <w:r w:rsidRPr="001D4D70">
          <w:rPr>
            <w:rStyle w:val="Hyperlink"/>
          </w:rPr>
          <w:t>https://www.sra.org.uk/solicitors/standards-regulations/code-conduct-solicitors/</w:t>
        </w:r>
      </w:hyperlink>
      <w:r>
        <w:t xml:space="preserve"> (Accessed: 29 November 2023)</w:t>
      </w:r>
    </w:p>
    <w:p w14:paraId="13552E0D" w14:textId="77777777" w:rsidR="00155965" w:rsidRDefault="00155965" w:rsidP="004B44C4"/>
    <w:p w14:paraId="19467FE7" w14:textId="77777777" w:rsidR="00251D59" w:rsidRDefault="00251D59" w:rsidP="004B44C4">
      <w:pPr>
        <w:rPr>
          <w:rFonts w:ascii="Arial" w:hAnsi="Arial" w:cs="Arial"/>
          <w:i/>
          <w:iCs/>
          <w:sz w:val="24"/>
          <w:szCs w:val="24"/>
        </w:rPr>
      </w:pPr>
    </w:p>
    <w:p w14:paraId="3925FBA7" w14:textId="77777777" w:rsidR="00251D59" w:rsidRDefault="00251D59" w:rsidP="00A92F3E">
      <w:pPr>
        <w:pStyle w:val="Title"/>
        <w:jc w:val="center"/>
      </w:pPr>
    </w:p>
    <w:p w14:paraId="4224A3DA" w14:textId="77777777" w:rsidR="00251D59" w:rsidRDefault="00251D59" w:rsidP="00A92F3E">
      <w:pPr>
        <w:pStyle w:val="Title"/>
        <w:jc w:val="center"/>
      </w:pPr>
    </w:p>
    <w:p w14:paraId="53960C3C" w14:textId="77777777" w:rsidR="00251D59" w:rsidRDefault="00251D59" w:rsidP="00A92F3E">
      <w:pPr>
        <w:pStyle w:val="Title"/>
        <w:jc w:val="center"/>
      </w:pPr>
    </w:p>
    <w:p w14:paraId="0B5669A4" w14:textId="77777777" w:rsidR="00251D59" w:rsidRDefault="00251D59" w:rsidP="00A92F3E">
      <w:pPr>
        <w:pStyle w:val="Title"/>
        <w:jc w:val="center"/>
      </w:pPr>
    </w:p>
    <w:p w14:paraId="0A197FE8" w14:textId="77777777" w:rsidR="00251D59" w:rsidRDefault="00251D59" w:rsidP="00A92F3E">
      <w:pPr>
        <w:pStyle w:val="Title"/>
        <w:jc w:val="center"/>
      </w:pPr>
    </w:p>
    <w:p w14:paraId="7417C93E" w14:textId="77777777" w:rsidR="003C6661" w:rsidRDefault="003C6661" w:rsidP="00A92F3E">
      <w:pPr>
        <w:pStyle w:val="Title"/>
        <w:jc w:val="center"/>
      </w:pPr>
    </w:p>
    <w:p w14:paraId="6BB1A25F" w14:textId="77777777" w:rsidR="003C6661" w:rsidRDefault="003C6661" w:rsidP="00A92F3E">
      <w:pPr>
        <w:pStyle w:val="Title"/>
        <w:jc w:val="center"/>
      </w:pPr>
    </w:p>
    <w:p w14:paraId="10211AFE" w14:textId="77777777" w:rsidR="003C6661" w:rsidRDefault="003C6661" w:rsidP="00A92F3E">
      <w:pPr>
        <w:pStyle w:val="Title"/>
        <w:jc w:val="center"/>
      </w:pPr>
    </w:p>
    <w:p w14:paraId="05DB7701" w14:textId="77777777" w:rsidR="003C6661" w:rsidRDefault="003C6661" w:rsidP="00A92F3E">
      <w:pPr>
        <w:pStyle w:val="Title"/>
        <w:jc w:val="center"/>
      </w:pPr>
    </w:p>
    <w:p w14:paraId="3F1CBA95" w14:textId="77777777" w:rsidR="003C6661" w:rsidRDefault="003C6661" w:rsidP="00A92F3E">
      <w:pPr>
        <w:pStyle w:val="Title"/>
        <w:jc w:val="center"/>
      </w:pPr>
    </w:p>
    <w:p w14:paraId="365C97BA" w14:textId="77777777" w:rsidR="003C6661" w:rsidRDefault="003C6661" w:rsidP="00A92F3E">
      <w:pPr>
        <w:pStyle w:val="Title"/>
        <w:jc w:val="center"/>
      </w:pPr>
    </w:p>
    <w:p w14:paraId="35F04450" w14:textId="77777777" w:rsidR="003C6661" w:rsidRDefault="003C6661" w:rsidP="00A92F3E">
      <w:pPr>
        <w:pStyle w:val="Title"/>
        <w:jc w:val="center"/>
      </w:pPr>
    </w:p>
    <w:p w14:paraId="17155CA8" w14:textId="77777777" w:rsidR="003C6661" w:rsidRDefault="003C6661" w:rsidP="00A92F3E">
      <w:pPr>
        <w:pStyle w:val="Title"/>
        <w:jc w:val="center"/>
      </w:pPr>
    </w:p>
    <w:p w14:paraId="17CE3D37" w14:textId="5D7971F3" w:rsidR="00A92F3E" w:rsidRDefault="00A92F3E" w:rsidP="00A92F3E">
      <w:pPr>
        <w:pStyle w:val="Title"/>
        <w:jc w:val="center"/>
      </w:pPr>
      <w:r>
        <w:lastRenderedPageBreak/>
        <w:t>Poster Brief</w:t>
      </w:r>
    </w:p>
    <w:p w14:paraId="089B7C75" w14:textId="77777777" w:rsidR="00A92F3E" w:rsidRPr="00A92F3E" w:rsidRDefault="00A92F3E" w:rsidP="00A92F3E">
      <w:pPr>
        <w:spacing w:line="360" w:lineRule="auto"/>
        <w:jc w:val="both"/>
        <w:rPr>
          <w:rFonts w:ascii="Arial" w:hAnsi="Arial" w:cs="Arial"/>
        </w:rPr>
      </w:pPr>
    </w:p>
    <w:p w14:paraId="32D3F971" w14:textId="3D77AEBA" w:rsidR="000A1C87" w:rsidRPr="00A92F3E" w:rsidRDefault="00E958F2" w:rsidP="00A92F3E">
      <w:pPr>
        <w:spacing w:line="360" w:lineRule="auto"/>
        <w:jc w:val="both"/>
        <w:rPr>
          <w:rFonts w:ascii="Arial" w:hAnsi="Arial" w:cs="Arial"/>
        </w:rPr>
      </w:pPr>
      <w:r w:rsidRPr="00A92F3E">
        <w:rPr>
          <w:rFonts w:ascii="Arial" w:hAnsi="Arial" w:cs="Arial"/>
        </w:rPr>
        <w:t xml:space="preserve">The tagline “Have you been involved in an accident? If so, we may be able to help.” Should be placed in bold on the poster to catch attention, as well as being significantly larger than other text. The main body of the poster should contain information on the legal funding routes available for </w:t>
      </w:r>
      <w:r w:rsidR="000A1C87" w:rsidRPr="00A92F3E">
        <w:rPr>
          <w:rFonts w:ascii="Arial" w:hAnsi="Arial" w:cs="Arial"/>
        </w:rPr>
        <w:t xml:space="preserve">personal injury claims. These include (Legal Ombudsman, 2021): </w:t>
      </w:r>
    </w:p>
    <w:p w14:paraId="10BFC8A8" w14:textId="2B9F7F3D" w:rsidR="000A1C87" w:rsidRPr="00A92F3E" w:rsidRDefault="000A1C87" w:rsidP="00A92F3E">
      <w:pPr>
        <w:spacing w:line="360" w:lineRule="auto"/>
        <w:jc w:val="both"/>
        <w:rPr>
          <w:rFonts w:ascii="Arial" w:hAnsi="Arial" w:cs="Arial"/>
        </w:rPr>
      </w:pPr>
      <w:r w:rsidRPr="00A92F3E">
        <w:rPr>
          <w:rFonts w:ascii="Arial" w:hAnsi="Arial" w:cs="Arial"/>
        </w:rPr>
        <w:t xml:space="preserve">-Paying Privately, in which the claimant uses their own money to fund their legal expenses, however this can be quite costly. </w:t>
      </w:r>
    </w:p>
    <w:p w14:paraId="7779B1A5" w14:textId="7CE7FA5C" w:rsidR="000A1C87" w:rsidRDefault="000A1C87" w:rsidP="00A92F3E">
      <w:pPr>
        <w:spacing w:line="360" w:lineRule="auto"/>
        <w:jc w:val="both"/>
        <w:rPr>
          <w:rFonts w:ascii="Arial" w:hAnsi="Arial" w:cs="Arial"/>
        </w:rPr>
      </w:pPr>
      <w:r w:rsidRPr="00A92F3E">
        <w:rPr>
          <w:rFonts w:ascii="Arial" w:hAnsi="Arial" w:cs="Arial"/>
        </w:rPr>
        <w:t xml:space="preserve">-Conditional Fee Agreements, or “No win no fee”. This is a generally accepted and popular method of payment, in which the claimant only pays legal fees in the case that they win the dispute. These may or may not include After the Event insurance cover, which will cover any unforeseen legal costs. </w:t>
      </w:r>
      <w:r w:rsidR="00A92F3E" w:rsidRPr="00A92F3E">
        <w:rPr>
          <w:rFonts w:ascii="Arial" w:hAnsi="Arial" w:cs="Arial"/>
        </w:rPr>
        <w:t xml:space="preserve">This however can be risky for </w:t>
      </w:r>
      <w:r w:rsidR="00A92F3E">
        <w:rPr>
          <w:rFonts w:ascii="Arial" w:hAnsi="Arial" w:cs="Arial"/>
        </w:rPr>
        <w:t xml:space="preserve">the legal service provider as well as the insurance provider. </w:t>
      </w:r>
    </w:p>
    <w:p w14:paraId="59AA9FA4" w14:textId="35B4EBF4" w:rsidR="00646D82" w:rsidRDefault="00646D82" w:rsidP="00A92F3E">
      <w:pPr>
        <w:spacing w:line="360" w:lineRule="auto"/>
        <w:jc w:val="both"/>
        <w:rPr>
          <w:rFonts w:ascii="Arial" w:hAnsi="Arial" w:cs="Arial"/>
        </w:rPr>
      </w:pPr>
      <w:r>
        <w:rPr>
          <w:rFonts w:ascii="Arial" w:hAnsi="Arial" w:cs="Arial"/>
        </w:rPr>
        <w:t>-Damages based agreements, in which legal costs and fees are charged from the damages awarded to the claimant. This is often agreed as a percentage or flat rate before</w:t>
      </w:r>
      <w:r w:rsidR="004A075F">
        <w:rPr>
          <w:rFonts w:ascii="Arial" w:hAnsi="Arial" w:cs="Arial"/>
        </w:rPr>
        <w:t xml:space="preserve"> case is accepted by the legal service provider. </w:t>
      </w:r>
    </w:p>
    <w:p w14:paraId="63BC00F5" w14:textId="125273CA" w:rsidR="004A075F" w:rsidRDefault="004A075F" w:rsidP="00A92F3E">
      <w:pPr>
        <w:spacing w:line="360" w:lineRule="auto"/>
        <w:jc w:val="both"/>
        <w:rPr>
          <w:rFonts w:ascii="Arial" w:hAnsi="Arial" w:cs="Arial"/>
        </w:rPr>
      </w:pPr>
      <w:r>
        <w:rPr>
          <w:rFonts w:ascii="Arial" w:hAnsi="Arial" w:cs="Arial"/>
        </w:rPr>
        <w:t xml:space="preserve">-Legal expenses insurance, which will pay for any solicitors or barristers fees, alongside other legal fees as needed, however this require premiums, which are often upfront and expensive. </w:t>
      </w:r>
    </w:p>
    <w:p w14:paraId="69292480" w14:textId="77777777" w:rsidR="004A075F" w:rsidRDefault="004A075F" w:rsidP="00A92F3E">
      <w:pPr>
        <w:spacing w:line="360" w:lineRule="auto"/>
        <w:jc w:val="both"/>
        <w:rPr>
          <w:rFonts w:ascii="Arial" w:hAnsi="Arial" w:cs="Arial"/>
        </w:rPr>
      </w:pPr>
    </w:p>
    <w:p w14:paraId="06B3B44D" w14:textId="0B84187A" w:rsidR="004A075F" w:rsidRDefault="004A075F" w:rsidP="00A92F3E">
      <w:pPr>
        <w:spacing w:line="360" w:lineRule="auto"/>
        <w:jc w:val="both"/>
        <w:rPr>
          <w:rFonts w:ascii="Arial" w:hAnsi="Arial" w:cs="Arial"/>
        </w:rPr>
      </w:pPr>
      <w:r>
        <w:rPr>
          <w:rFonts w:ascii="Arial" w:hAnsi="Arial" w:cs="Arial"/>
        </w:rPr>
        <w:t xml:space="preserve">References </w:t>
      </w:r>
    </w:p>
    <w:p w14:paraId="13E8BB10" w14:textId="5609641F" w:rsidR="00E10000" w:rsidRPr="00A92F3E" w:rsidRDefault="00E10000" w:rsidP="00E10000">
      <w:pPr>
        <w:spacing w:line="360" w:lineRule="auto"/>
        <w:rPr>
          <w:rFonts w:ascii="Arial" w:hAnsi="Arial" w:cs="Arial"/>
        </w:rPr>
      </w:pPr>
      <w:r>
        <w:rPr>
          <w:rFonts w:ascii="Arial" w:hAnsi="Arial" w:cs="Arial"/>
        </w:rPr>
        <w:t xml:space="preserve">Legal Ombudsman. (2021) Making a personal injury claim. Available at: </w:t>
      </w:r>
      <w:hyperlink r:id="rId8" w:history="1">
        <w:r w:rsidRPr="002F4AE7">
          <w:rPr>
            <w:rStyle w:val="Hyperlink"/>
            <w:rFonts w:ascii="Arial" w:hAnsi="Arial" w:cs="Arial"/>
          </w:rPr>
          <w:t>https://www.legalombudsman.org.uk/media/oiejksio/personal-injury-factsheet-2-funding-a-claim-v1-1.pdf</w:t>
        </w:r>
      </w:hyperlink>
      <w:r>
        <w:rPr>
          <w:rFonts w:ascii="Arial" w:hAnsi="Arial" w:cs="Arial"/>
        </w:rPr>
        <w:t xml:space="preserve"> (accessed 30 November 2023)</w:t>
      </w:r>
    </w:p>
    <w:sectPr w:rsidR="00E10000" w:rsidRPr="00A92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4FD"/>
    <w:rsid w:val="000A1C87"/>
    <w:rsid w:val="00155965"/>
    <w:rsid w:val="00251D59"/>
    <w:rsid w:val="00266A64"/>
    <w:rsid w:val="003C6661"/>
    <w:rsid w:val="004A075F"/>
    <w:rsid w:val="00646D82"/>
    <w:rsid w:val="006D14FD"/>
    <w:rsid w:val="006D4435"/>
    <w:rsid w:val="008C680E"/>
    <w:rsid w:val="00A50A58"/>
    <w:rsid w:val="00A92F3E"/>
    <w:rsid w:val="00C85290"/>
    <w:rsid w:val="00CF2555"/>
    <w:rsid w:val="00E10000"/>
    <w:rsid w:val="00E1581B"/>
    <w:rsid w:val="00E533AC"/>
    <w:rsid w:val="00E95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F7BC9"/>
  <w15:chartTrackingRefBased/>
  <w15:docId w15:val="{2C132E31-8175-4822-884E-13C7BE7A3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2F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F3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92F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F3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10000"/>
    <w:rPr>
      <w:color w:val="0563C1" w:themeColor="hyperlink"/>
      <w:u w:val="single"/>
    </w:rPr>
  </w:style>
  <w:style w:type="character" w:styleId="UnresolvedMention">
    <w:name w:val="Unresolved Mention"/>
    <w:basedOn w:val="DefaultParagraphFont"/>
    <w:uiPriority w:val="99"/>
    <w:semiHidden/>
    <w:unhideWhenUsed/>
    <w:rsid w:val="00E100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alombudsman.org.uk/media/oiejksio/personal-injury-factsheet-2-funding-a-claim-v1-1.pdf" TargetMode="External"/><Relationship Id="rId3" Type="http://schemas.openxmlformats.org/officeDocument/2006/relationships/webSettings" Target="webSettings.xml"/><Relationship Id="rId7" Type="http://schemas.openxmlformats.org/officeDocument/2006/relationships/hyperlink" Target="https://www.sra.org.uk/solicitors/standards-regulations/code-conduct-solicito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ra.org.uk/solicitors/standards-regulations/principles/" TargetMode="External"/><Relationship Id="rId5" Type="http://schemas.openxmlformats.org/officeDocument/2006/relationships/hyperlink" Target="https://www.sra.org.uk/solicitors/standards-regulations/code-conduct-solicitors/" TargetMode="External"/><Relationship Id="rId10" Type="http://schemas.openxmlformats.org/officeDocument/2006/relationships/theme" Target="theme/theme1.xml"/><Relationship Id="rId4" Type="http://schemas.openxmlformats.org/officeDocument/2006/relationships/hyperlink" Target="https://www.sra.org.uk/solicitors/standards-regulations/principle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955</Words>
  <Characters>5445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Cerys Davies</cp:lastModifiedBy>
  <cp:revision>2</cp:revision>
  <dcterms:created xsi:type="dcterms:W3CDTF">2024-06-13T12:21:00Z</dcterms:created>
  <dcterms:modified xsi:type="dcterms:W3CDTF">2024-06-13T12:21:00Z</dcterms:modified>
</cp:coreProperties>
</file>