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2DF0" w:rsidRDefault="00272DF0" w:rsidP="0041093B">
      <w:pPr>
        <w:pStyle w:val="Alex"/>
        <w:rPr>
          <w:rFonts w:ascii="Georgia" w:hAnsi="Georgia"/>
          <w:b/>
          <w:bCs/>
        </w:rPr>
      </w:pPr>
      <w:bookmarkStart w:id="0" w:name="_GoBack"/>
      <w:r w:rsidRPr="00272DF0">
        <w:rPr>
          <w:rFonts w:ascii="Georgia" w:hAnsi="Georgia"/>
          <w:b/>
          <w:bCs/>
        </w:rPr>
        <w:t>History Independent Project (HPHI5017)</w:t>
      </w:r>
    </w:p>
    <w:p w:rsidR="00272DF0" w:rsidRDefault="00272DF0" w:rsidP="0041093B">
      <w:pPr>
        <w:pStyle w:val="Alex"/>
        <w:rPr>
          <w:rFonts w:ascii="Georgia" w:hAnsi="Georgia"/>
          <w:b/>
          <w:bCs/>
        </w:rPr>
      </w:pPr>
    </w:p>
    <w:p w:rsidR="00272DF0" w:rsidRDefault="00272DF0" w:rsidP="0041093B">
      <w:pPr>
        <w:pStyle w:val="Alex"/>
        <w:rPr>
          <w:rFonts w:ascii="Georgia" w:hAnsi="Georgia"/>
          <w:b/>
          <w:bCs/>
        </w:rPr>
      </w:pPr>
      <w:r>
        <w:rPr>
          <w:rFonts w:ascii="Georgia" w:hAnsi="Georgia"/>
          <w:b/>
          <w:bCs/>
        </w:rPr>
        <w:t>Block 5, Weeks 1–2</w:t>
      </w:r>
    </w:p>
    <w:p w:rsidR="009E3284" w:rsidRPr="00C73FE2" w:rsidRDefault="009E3284" w:rsidP="0041093B">
      <w:pPr>
        <w:pStyle w:val="Alex"/>
        <w:rPr>
          <w:rFonts w:ascii="Georgia" w:hAnsi="Georgia"/>
          <w:b/>
          <w:u w:val="single"/>
        </w:rPr>
      </w:pPr>
      <w:r w:rsidRPr="00C73FE2">
        <w:rPr>
          <w:rFonts w:ascii="Georgia" w:hAnsi="Georgia"/>
          <w:b/>
          <w:u w:val="single"/>
        </w:rPr>
        <w:t>Social and Cultural History</w:t>
      </w:r>
    </w:p>
    <w:p w:rsidR="002649A4" w:rsidRPr="00C73FE2" w:rsidRDefault="009E3284" w:rsidP="0041093B">
      <w:pPr>
        <w:pStyle w:val="Alex"/>
        <w:rPr>
          <w:rFonts w:ascii="Georgia" w:hAnsi="Georgia"/>
        </w:rPr>
      </w:pPr>
      <w:r w:rsidRPr="00C73FE2">
        <w:rPr>
          <w:rFonts w:ascii="Georgia" w:hAnsi="Georgia"/>
        </w:rPr>
        <w:t xml:space="preserve">The Week </w:t>
      </w:r>
      <w:r w:rsidR="00272DF0">
        <w:rPr>
          <w:rFonts w:ascii="Georgia" w:hAnsi="Georgia"/>
        </w:rPr>
        <w:t xml:space="preserve">1 </w:t>
      </w:r>
      <w:r w:rsidRPr="00C73FE2">
        <w:rPr>
          <w:rFonts w:ascii="Georgia" w:hAnsi="Georgia"/>
        </w:rPr>
        <w:t xml:space="preserve">lecture focuses on the </w:t>
      </w:r>
      <w:r w:rsidR="002649A4" w:rsidRPr="00C73FE2">
        <w:rPr>
          <w:rFonts w:ascii="Georgia" w:hAnsi="Georgia"/>
        </w:rPr>
        <w:t xml:space="preserve">emergence of Social History and Cultural Studies as two discrete ‘schools’ of historical scholarship in late-twentieth-century Britain. Each of these, the lecture argues, can trace their </w:t>
      </w:r>
      <w:r w:rsidRPr="00C73FE2">
        <w:rPr>
          <w:rFonts w:ascii="Georgia" w:hAnsi="Georgia"/>
        </w:rPr>
        <w:t xml:space="preserve">philosophical roots </w:t>
      </w:r>
      <w:r w:rsidR="002649A4" w:rsidRPr="00C73FE2">
        <w:rPr>
          <w:rFonts w:ascii="Georgia" w:hAnsi="Georgia"/>
        </w:rPr>
        <w:t xml:space="preserve">to </w:t>
      </w:r>
      <w:r w:rsidRPr="00C73FE2">
        <w:rPr>
          <w:rFonts w:ascii="Georgia" w:hAnsi="Georgia"/>
        </w:rPr>
        <w:t xml:space="preserve">Marxist thought and </w:t>
      </w:r>
      <w:r w:rsidR="002649A4" w:rsidRPr="00C73FE2">
        <w:rPr>
          <w:rFonts w:ascii="Georgia" w:hAnsi="Georgia"/>
        </w:rPr>
        <w:t>historiography, and to particular socio-political conditions in post-WWII Britain. This follow-up discussion, though, is intended to demonstrate how, in recent decades, Social and (especially) Cultural History have developed approaches which transcend these political and intellectual origins, and in the process have opened new fields of enquiry for investigating the past. Rephrased, one might argue that Cultural History has expanded the parameters of what constitutes legitimate subjects for historical enquiry.</w:t>
      </w:r>
    </w:p>
    <w:p w:rsidR="002649A4" w:rsidRPr="00C73FE2" w:rsidRDefault="002649A4" w:rsidP="0041093B">
      <w:pPr>
        <w:pStyle w:val="Alex"/>
        <w:rPr>
          <w:rFonts w:ascii="Georgia" w:hAnsi="Georgia"/>
        </w:rPr>
      </w:pPr>
      <w:r w:rsidRPr="00C73FE2">
        <w:rPr>
          <w:rFonts w:ascii="Georgia" w:hAnsi="Georgia"/>
        </w:rPr>
        <w:tab/>
        <w:t xml:space="preserve">The assigned readings are intended to do two things: </w:t>
      </w:r>
      <w:r w:rsidR="00D30193" w:rsidRPr="00C73FE2">
        <w:rPr>
          <w:rFonts w:ascii="Georgia" w:hAnsi="Georgia"/>
        </w:rPr>
        <w:t xml:space="preserve">1) to </w:t>
      </w:r>
      <w:r w:rsidRPr="00C73FE2">
        <w:rPr>
          <w:rFonts w:ascii="Georgia" w:hAnsi="Georgia"/>
        </w:rPr>
        <w:t xml:space="preserve">establish the origins, and precise meaning, of Social History as a discrete scholarly practice; </w:t>
      </w:r>
      <w:r w:rsidR="00D30193" w:rsidRPr="00C73FE2">
        <w:rPr>
          <w:rFonts w:ascii="Georgia" w:hAnsi="Georgia"/>
        </w:rPr>
        <w:t xml:space="preserve">2) </w:t>
      </w:r>
      <w:r w:rsidRPr="00C73FE2">
        <w:rPr>
          <w:rFonts w:ascii="Georgia" w:hAnsi="Georgia"/>
        </w:rPr>
        <w:t>to</w:t>
      </w:r>
      <w:r w:rsidR="00272DF0">
        <w:rPr>
          <w:rFonts w:ascii="Georgia" w:hAnsi="Georgia"/>
        </w:rPr>
        <w:t xml:space="preserve"> explore the potentialities of C</w:t>
      </w:r>
      <w:r w:rsidRPr="00C73FE2">
        <w:rPr>
          <w:rFonts w:ascii="Georgia" w:hAnsi="Georgia"/>
        </w:rPr>
        <w:t xml:space="preserve">ultural </w:t>
      </w:r>
      <w:r w:rsidR="00272DF0">
        <w:rPr>
          <w:rFonts w:ascii="Georgia" w:hAnsi="Georgia"/>
        </w:rPr>
        <w:t>H</w:t>
      </w:r>
      <w:r w:rsidRPr="00C73FE2">
        <w:rPr>
          <w:rFonts w:ascii="Georgia" w:hAnsi="Georgia"/>
        </w:rPr>
        <w:t>istory</w:t>
      </w:r>
      <w:r w:rsidR="00D30193" w:rsidRPr="00C73FE2">
        <w:rPr>
          <w:rFonts w:ascii="Georgia" w:hAnsi="Georgia"/>
        </w:rPr>
        <w:t xml:space="preserve"> as an innovative approach to studying the past. Point 1) is achieved through an examination of how historians have defined </w:t>
      </w:r>
      <w:r w:rsidR="005B2B5A" w:rsidRPr="00C73FE2">
        <w:rPr>
          <w:rFonts w:ascii="Georgia" w:hAnsi="Georgia"/>
        </w:rPr>
        <w:t xml:space="preserve">social history </w:t>
      </w:r>
      <w:r w:rsidR="00D30193" w:rsidRPr="00C73FE2">
        <w:rPr>
          <w:rFonts w:ascii="Georgia" w:hAnsi="Georgia"/>
        </w:rPr>
        <w:t xml:space="preserve">plus classic works by canonical social historians. Point 2) is achieved through a short article on Cultural History, and by inviting students to review a sample of </w:t>
      </w:r>
      <w:proofErr w:type="gramStart"/>
      <w:r w:rsidR="00D30193" w:rsidRPr="00C73FE2">
        <w:rPr>
          <w:rFonts w:ascii="Georgia" w:hAnsi="Georgia"/>
        </w:rPr>
        <w:t>texts which</w:t>
      </w:r>
      <w:proofErr w:type="gramEnd"/>
      <w:r w:rsidR="00D30193" w:rsidRPr="00C73FE2">
        <w:rPr>
          <w:rFonts w:ascii="Georgia" w:hAnsi="Georgia"/>
        </w:rPr>
        <w:t xml:space="preserve"> fall under the general rubric of </w:t>
      </w:r>
      <w:r w:rsidR="005B2B5A" w:rsidRPr="00C73FE2">
        <w:rPr>
          <w:rFonts w:ascii="Georgia" w:hAnsi="Georgia"/>
        </w:rPr>
        <w:t>cultural history</w:t>
      </w:r>
      <w:r w:rsidR="00D30193" w:rsidRPr="00C73FE2">
        <w:rPr>
          <w:rFonts w:ascii="Georgia" w:hAnsi="Georgia"/>
        </w:rPr>
        <w:t xml:space="preserve">. </w:t>
      </w:r>
      <w:r w:rsidR="004D0301">
        <w:rPr>
          <w:rFonts w:ascii="Georgia" w:hAnsi="Georgia"/>
        </w:rPr>
        <w:t xml:space="preserve">The latter will form the basis of in-class discussions in Week 2. </w:t>
      </w:r>
      <w:r w:rsidR="00D30193" w:rsidRPr="00C73FE2">
        <w:rPr>
          <w:rFonts w:ascii="Georgia" w:hAnsi="Georgia"/>
          <w:b/>
        </w:rPr>
        <w:t xml:space="preserve">Note: </w:t>
      </w:r>
      <w:r w:rsidR="00D30193" w:rsidRPr="00C73FE2">
        <w:rPr>
          <w:rFonts w:ascii="Georgia" w:hAnsi="Georgia"/>
        </w:rPr>
        <w:t xml:space="preserve">the articles and chapters cover a diffuse set of topics; this is intentional, as it reflects the diversity and heterogeneity of Cultural History as a historiographical approach. </w:t>
      </w:r>
    </w:p>
    <w:p w:rsidR="00D30193" w:rsidRPr="00C73FE2" w:rsidRDefault="00D30193" w:rsidP="0041093B">
      <w:pPr>
        <w:pStyle w:val="Alex"/>
        <w:rPr>
          <w:rFonts w:ascii="Georgia" w:hAnsi="Georgia"/>
          <w:i/>
          <w:u w:val="single"/>
        </w:rPr>
      </w:pPr>
    </w:p>
    <w:p w:rsidR="009E3284" w:rsidRPr="00C73FE2" w:rsidRDefault="004D0301" w:rsidP="0041093B">
      <w:pPr>
        <w:pStyle w:val="Alex"/>
        <w:rPr>
          <w:rFonts w:ascii="Georgia" w:hAnsi="Georgia"/>
          <w:i/>
          <w:u w:val="single"/>
        </w:rPr>
      </w:pPr>
      <w:r>
        <w:rPr>
          <w:rFonts w:ascii="Georgia" w:hAnsi="Georgia"/>
          <w:i/>
          <w:u w:val="single"/>
        </w:rPr>
        <w:t xml:space="preserve">Recommended </w:t>
      </w:r>
      <w:r w:rsidR="009E3284" w:rsidRPr="00C73FE2">
        <w:rPr>
          <w:rFonts w:ascii="Georgia" w:hAnsi="Georgia"/>
          <w:i/>
          <w:u w:val="single"/>
        </w:rPr>
        <w:t xml:space="preserve">reading for Week </w:t>
      </w:r>
      <w:r>
        <w:rPr>
          <w:rFonts w:ascii="Georgia" w:hAnsi="Georgia"/>
          <w:i/>
          <w:u w:val="single"/>
        </w:rPr>
        <w:t>1/2</w:t>
      </w:r>
      <w:r w:rsidR="009E3284" w:rsidRPr="00C73FE2">
        <w:rPr>
          <w:rFonts w:ascii="Georgia" w:hAnsi="Georgia"/>
          <w:i/>
          <w:u w:val="single"/>
        </w:rPr>
        <w:t>:</w:t>
      </w:r>
    </w:p>
    <w:p w:rsidR="009A0AAC" w:rsidRPr="004D0301" w:rsidRDefault="004D0301" w:rsidP="0041093B">
      <w:pPr>
        <w:pStyle w:val="Alex"/>
        <w:rPr>
          <w:rFonts w:ascii="Georgia" w:hAnsi="Georgia"/>
          <w:b/>
        </w:rPr>
      </w:pPr>
      <w:r w:rsidRPr="004D0301">
        <w:rPr>
          <w:rFonts w:ascii="Georgia" w:hAnsi="Georgia"/>
          <w:b/>
        </w:rPr>
        <w:t>For overviews, s</w:t>
      </w:r>
      <w:r w:rsidR="009A0AAC" w:rsidRPr="004D0301">
        <w:rPr>
          <w:rFonts w:ascii="Georgia" w:hAnsi="Georgia"/>
          <w:b/>
        </w:rPr>
        <w:t>tudents should read both of the following:</w:t>
      </w:r>
    </w:p>
    <w:p w:rsidR="009E3284" w:rsidRPr="00B65FE1" w:rsidRDefault="00272DF0" w:rsidP="00B9210A">
      <w:pPr>
        <w:pStyle w:val="Alex"/>
        <w:numPr>
          <w:ilvl w:val="0"/>
          <w:numId w:val="1"/>
        </w:numPr>
        <w:rPr>
          <w:rFonts w:ascii="Georgia" w:hAnsi="Georgia"/>
        </w:rPr>
      </w:pPr>
      <w:r w:rsidRPr="00B65FE1">
        <w:rPr>
          <w:rFonts w:ascii="Georgia" w:hAnsi="Georgia"/>
        </w:rPr>
        <w:t xml:space="preserve">Eric Evans, ‘Social History,’ </w:t>
      </w:r>
      <w:r w:rsidRPr="00B65FE1">
        <w:rPr>
          <w:rFonts w:ascii="Georgia" w:hAnsi="Georgia"/>
          <w:i/>
        </w:rPr>
        <w:t xml:space="preserve">Making History: The Changing Face of the Profession in Britain </w:t>
      </w:r>
      <w:r w:rsidR="00B65FE1" w:rsidRPr="00B65FE1">
        <w:rPr>
          <w:rFonts w:ascii="Georgia" w:hAnsi="Georgia"/>
        </w:rPr>
        <w:t>(London: Institute of Historical Research</w:t>
      </w:r>
      <w:r w:rsidR="00B65FE1">
        <w:rPr>
          <w:rFonts w:ascii="Georgia" w:hAnsi="Georgia"/>
        </w:rPr>
        <w:t xml:space="preserve">, </w:t>
      </w:r>
      <w:r w:rsidR="00B65FE1" w:rsidRPr="00B65FE1">
        <w:rPr>
          <w:rFonts w:ascii="Georgia" w:hAnsi="Georgia"/>
        </w:rPr>
        <w:t xml:space="preserve">2008) </w:t>
      </w:r>
      <w:r w:rsidR="00B65FE1">
        <w:rPr>
          <w:rFonts w:ascii="Georgia" w:hAnsi="Georgia"/>
        </w:rPr>
        <w:t>&lt;</w:t>
      </w:r>
      <w:hyperlink r:id="rId5" w:history="1">
        <w:r w:rsidR="00B65FE1" w:rsidRPr="0063540F">
          <w:rPr>
            <w:rStyle w:val="Hyperlink"/>
            <w:rFonts w:ascii="Georgia" w:hAnsi="Georgia"/>
          </w:rPr>
          <w:t>https://www.history.ac.uk/makinghistory/resources/articles/social_history.html</w:t>
        </w:r>
      </w:hyperlink>
      <w:r w:rsidR="00B65FE1">
        <w:rPr>
          <w:rFonts w:ascii="Georgia" w:hAnsi="Georgia"/>
        </w:rPr>
        <w:t xml:space="preserve">&gt; [accessed 6 March 2019]. </w:t>
      </w:r>
    </w:p>
    <w:p w:rsidR="00B65FE1" w:rsidRPr="00B65FE1" w:rsidRDefault="00B65FE1" w:rsidP="00B65FE1">
      <w:pPr>
        <w:pStyle w:val="Alex"/>
        <w:numPr>
          <w:ilvl w:val="0"/>
          <w:numId w:val="1"/>
        </w:numPr>
        <w:rPr>
          <w:rFonts w:ascii="Georgia" w:hAnsi="Georgia"/>
        </w:rPr>
      </w:pPr>
      <w:r w:rsidRPr="00B65FE1">
        <w:rPr>
          <w:rFonts w:ascii="Georgia" w:hAnsi="Georgia"/>
        </w:rPr>
        <w:t>Miri Rubin</w:t>
      </w:r>
      <w:r w:rsidRPr="00B65FE1">
        <w:rPr>
          <w:rFonts w:ascii="Georgia" w:hAnsi="Georgia"/>
        </w:rPr>
        <w:t>, ‘</w:t>
      </w:r>
      <w:r w:rsidRPr="00B65FE1">
        <w:rPr>
          <w:rFonts w:ascii="Georgia" w:hAnsi="Georgia"/>
        </w:rPr>
        <w:t xml:space="preserve">Cultural </w:t>
      </w:r>
      <w:r w:rsidRPr="00B65FE1">
        <w:rPr>
          <w:rFonts w:ascii="Georgia" w:hAnsi="Georgia"/>
        </w:rPr>
        <w:t>H</w:t>
      </w:r>
      <w:r w:rsidRPr="00B65FE1">
        <w:rPr>
          <w:rFonts w:ascii="Georgia" w:hAnsi="Georgia"/>
        </w:rPr>
        <w:t xml:space="preserve">istory: </w:t>
      </w:r>
      <w:proofErr w:type="gramStart"/>
      <w:r w:rsidRPr="00B65FE1">
        <w:rPr>
          <w:rFonts w:ascii="Georgia" w:hAnsi="Georgia"/>
        </w:rPr>
        <w:t>What’s</w:t>
      </w:r>
      <w:proofErr w:type="gramEnd"/>
      <w:r w:rsidRPr="00B65FE1">
        <w:rPr>
          <w:rFonts w:ascii="Georgia" w:hAnsi="Georgia"/>
        </w:rPr>
        <w:t xml:space="preserve"> </w:t>
      </w:r>
      <w:r w:rsidRPr="00B65FE1">
        <w:rPr>
          <w:rFonts w:ascii="Georgia" w:hAnsi="Georgia"/>
        </w:rPr>
        <w:t xml:space="preserve">in a </w:t>
      </w:r>
      <w:r w:rsidRPr="00B65FE1">
        <w:rPr>
          <w:rFonts w:ascii="Georgia" w:hAnsi="Georgia"/>
        </w:rPr>
        <w:t>Name</w:t>
      </w:r>
      <w:r w:rsidRPr="00B65FE1">
        <w:rPr>
          <w:rFonts w:ascii="Georgia" w:hAnsi="Georgia"/>
        </w:rPr>
        <w:t>?</w:t>
      </w:r>
      <w:r w:rsidRPr="00B65FE1">
        <w:rPr>
          <w:rFonts w:ascii="Georgia" w:hAnsi="Georgia"/>
        </w:rPr>
        <w:t xml:space="preserve">’ </w:t>
      </w:r>
      <w:r w:rsidRPr="00B65FE1">
        <w:rPr>
          <w:rFonts w:ascii="Georgia" w:hAnsi="Georgia"/>
          <w:i/>
        </w:rPr>
        <w:t xml:space="preserve">Making History: The Changing Face of the Profession in Britain </w:t>
      </w:r>
      <w:r w:rsidRPr="00B65FE1">
        <w:rPr>
          <w:rFonts w:ascii="Georgia" w:hAnsi="Georgia"/>
        </w:rPr>
        <w:t>(London: I</w:t>
      </w:r>
      <w:r>
        <w:rPr>
          <w:rFonts w:ascii="Georgia" w:hAnsi="Georgia"/>
        </w:rPr>
        <w:t xml:space="preserve">nstitute of Historical Research, </w:t>
      </w:r>
      <w:r w:rsidRPr="00B65FE1">
        <w:rPr>
          <w:rFonts w:ascii="Georgia" w:hAnsi="Georgia"/>
        </w:rPr>
        <w:t>2008) &lt;</w:t>
      </w:r>
      <w:r w:rsidRPr="00B65FE1">
        <w:rPr>
          <w:rFonts w:ascii="Georgia" w:hAnsi="Georgia"/>
        </w:rPr>
        <w:t>https://www.history.ac.uk/makinghistory/resources/articles/cultural_history.html</w:t>
      </w:r>
      <w:r w:rsidRPr="00B65FE1">
        <w:rPr>
          <w:rFonts w:ascii="Georgia" w:hAnsi="Georgia"/>
        </w:rPr>
        <w:t xml:space="preserve">&gt; [accessed 6 March 2019]. </w:t>
      </w:r>
    </w:p>
    <w:p w:rsidR="00D30193" w:rsidRPr="00C73FE2" w:rsidRDefault="00D30193" w:rsidP="0041093B">
      <w:pPr>
        <w:pStyle w:val="Alex"/>
        <w:ind w:left="360"/>
        <w:jc w:val="right"/>
        <w:rPr>
          <w:rFonts w:ascii="Georgia" w:hAnsi="Georgia"/>
          <w:b/>
          <w:i/>
        </w:rPr>
      </w:pPr>
      <w:r w:rsidRPr="00C73FE2">
        <w:rPr>
          <w:rFonts w:ascii="Georgia" w:hAnsi="Georgia"/>
          <w:b/>
          <w:i/>
        </w:rPr>
        <w:t xml:space="preserve">Both of these are from texts aimed at a </w:t>
      </w:r>
      <w:proofErr w:type="gramStart"/>
      <w:r w:rsidRPr="00C73FE2">
        <w:rPr>
          <w:rFonts w:ascii="Georgia" w:hAnsi="Georgia"/>
          <w:b/>
          <w:i/>
        </w:rPr>
        <w:t>general(</w:t>
      </w:r>
      <w:proofErr w:type="gramEnd"/>
      <w:r w:rsidRPr="00C73FE2">
        <w:rPr>
          <w:rFonts w:ascii="Georgia" w:hAnsi="Georgia"/>
          <w:b/>
          <w:i/>
        </w:rPr>
        <w:t>-</w:t>
      </w:r>
      <w:proofErr w:type="spellStart"/>
      <w:r w:rsidRPr="00C73FE2">
        <w:rPr>
          <w:rFonts w:ascii="Georgia" w:hAnsi="Georgia"/>
          <w:b/>
          <w:i/>
        </w:rPr>
        <w:t>ish</w:t>
      </w:r>
      <w:proofErr w:type="spellEnd"/>
      <w:r w:rsidRPr="00C73FE2">
        <w:rPr>
          <w:rFonts w:ascii="Georgia" w:hAnsi="Georgia"/>
          <w:b/>
          <w:i/>
        </w:rPr>
        <w:t>) readership, and thus offer accessible introductions to</w:t>
      </w:r>
      <w:r w:rsidR="005B2B5A" w:rsidRPr="00C73FE2">
        <w:rPr>
          <w:rFonts w:ascii="Georgia" w:hAnsi="Georgia"/>
          <w:b/>
          <w:i/>
        </w:rPr>
        <w:t xml:space="preserve"> social </w:t>
      </w:r>
      <w:r w:rsidRPr="00C73FE2">
        <w:rPr>
          <w:rFonts w:ascii="Georgia" w:hAnsi="Georgia"/>
          <w:b/>
          <w:i/>
        </w:rPr>
        <w:t xml:space="preserve">and </w:t>
      </w:r>
      <w:r w:rsidR="005B2B5A" w:rsidRPr="00C73FE2">
        <w:rPr>
          <w:rFonts w:ascii="Georgia" w:hAnsi="Georgia"/>
          <w:b/>
          <w:i/>
        </w:rPr>
        <w:t>cultural history</w:t>
      </w:r>
    </w:p>
    <w:p w:rsidR="00B65FE1" w:rsidRDefault="00B65FE1">
      <w:pPr>
        <w:rPr>
          <w:rFonts w:ascii="Georgia" w:hAnsi="Georgia"/>
          <w:b/>
          <w:u w:val="single"/>
        </w:rPr>
      </w:pPr>
      <w:r>
        <w:rPr>
          <w:rFonts w:ascii="Georgia" w:hAnsi="Georgia"/>
          <w:b/>
          <w:u w:val="single"/>
        </w:rPr>
        <w:br w:type="page"/>
      </w:r>
    </w:p>
    <w:p w:rsidR="00D30193" w:rsidRPr="00C73FE2" w:rsidRDefault="004D0301" w:rsidP="0041093B">
      <w:pPr>
        <w:pStyle w:val="Alex"/>
        <w:rPr>
          <w:rFonts w:ascii="Georgia" w:hAnsi="Georgia"/>
          <w:b/>
        </w:rPr>
      </w:pPr>
      <w:r>
        <w:rPr>
          <w:rFonts w:ascii="Georgia" w:hAnsi="Georgia"/>
          <w:b/>
          <w:u w:val="single"/>
        </w:rPr>
        <w:lastRenderedPageBreak/>
        <w:t>Social history</w:t>
      </w:r>
    </w:p>
    <w:p w:rsidR="009E3284" w:rsidRPr="00C73FE2" w:rsidRDefault="004D0301" w:rsidP="0041093B">
      <w:pPr>
        <w:pStyle w:val="Alex"/>
        <w:rPr>
          <w:rFonts w:ascii="Georgia" w:hAnsi="Georgia"/>
          <w:b/>
        </w:rPr>
      </w:pPr>
      <w:r>
        <w:rPr>
          <w:rFonts w:ascii="Georgia" w:hAnsi="Georgia"/>
          <w:b/>
        </w:rPr>
        <w:t>To gain a sense of the intellectual roots of social history, s</w:t>
      </w:r>
      <w:r w:rsidR="00D30193" w:rsidRPr="00C73FE2">
        <w:rPr>
          <w:rFonts w:ascii="Georgia" w:hAnsi="Georgia"/>
          <w:b/>
        </w:rPr>
        <w:t xml:space="preserve">tudents should choose </w:t>
      </w:r>
      <w:r w:rsidR="009E3284" w:rsidRPr="00C73FE2">
        <w:rPr>
          <w:rFonts w:ascii="Georgia" w:hAnsi="Georgia"/>
          <w:b/>
          <w:u w:val="single"/>
        </w:rPr>
        <w:t xml:space="preserve">one </w:t>
      </w:r>
      <w:proofErr w:type="gramStart"/>
      <w:r w:rsidR="009E3284" w:rsidRPr="00C73FE2">
        <w:rPr>
          <w:rFonts w:ascii="Georgia" w:hAnsi="Georgia"/>
          <w:b/>
        </w:rPr>
        <w:t>from</w:t>
      </w:r>
      <w:proofErr w:type="gramEnd"/>
      <w:r w:rsidR="009E3284" w:rsidRPr="00C73FE2">
        <w:rPr>
          <w:rFonts w:ascii="Georgia" w:hAnsi="Georgia"/>
          <w:b/>
        </w:rPr>
        <w:t>:</w:t>
      </w:r>
    </w:p>
    <w:p w:rsidR="009E3284" w:rsidRPr="00C73FE2" w:rsidRDefault="009E3284" w:rsidP="0041093B">
      <w:pPr>
        <w:pStyle w:val="Alex"/>
        <w:numPr>
          <w:ilvl w:val="0"/>
          <w:numId w:val="2"/>
        </w:numPr>
        <w:rPr>
          <w:rFonts w:ascii="Georgia" w:hAnsi="Georgia"/>
        </w:rPr>
      </w:pPr>
      <w:r w:rsidRPr="00C73FE2">
        <w:rPr>
          <w:rFonts w:ascii="Georgia" w:hAnsi="Georgia"/>
        </w:rPr>
        <w:t xml:space="preserve">RH Hilton, ‘Peasant Movements in England before 1381,’ </w:t>
      </w:r>
      <w:proofErr w:type="gramStart"/>
      <w:r w:rsidRPr="00C73FE2">
        <w:rPr>
          <w:rFonts w:ascii="Georgia" w:hAnsi="Georgia"/>
          <w:i/>
        </w:rPr>
        <w:t>The</w:t>
      </w:r>
      <w:proofErr w:type="gramEnd"/>
      <w:r w:rsidRPr="00C73FE2">
        <w:rPr>
          <w:rFonts w:ascii="Georgia" w:hAnsi="Georgia"/>
          <w:i/>
        </w:rPr>
        <w:t xml:space="preserve"> Economic History Review</w:t>
      </w:r>
      <w:r w:rsidRPr="00C73FE2">
        <w:rPr>
          <w:rFonts w:ascii="Georgia" w:hAnsi="Georgia"/>
        </w:rPr>
        <w:t xml:space="preserve">, </w:t>
      </w:r>
      <w:r w:rsidR="004D0301">
        <w:rPr>
          <w:rFonts w:ascii="Georgia" w:hAnsi="Georgia"/>
        </w:rPr>
        <w:t xml:space="preserve">2:2 </w:t>
      </w:r>
      <w:r w:rsidRPr="00C73FE2">
        <w:rPr>
          <w:rFonts w:ascii="Georgia" w:hAnsi="Georgia"/>
        </w:rPr>
        <w:t>(1949), pp. 117–136.</w:t>
      </w:r>
    </w:p>
    <w:p w:rsidR="009E3284" w:rsidRPr="00C73FE2" w:rsidRDefault="009E3284" w:rsidP="0041093B">
      <w:pPr>
        <w:pStyle w:val="Alex"/>
        <w:numPr>
          <w:ilvl w:val="0"/>
          <w:numId w:val="2"/>
        </w:numPr>
        <w:rPr>
          <w:rFonts w:ascii="Georgia" w:hAnsi="Georgia"/>
        </w:rPr>
      </w:pPr>
      <w:r w:rsidRPr="00C73FE2">
        <w:rPr>
          <w:rFonts w:ascii="Georgia" w:hAnsi="Georgia"/>
        </w:rPr>
        <w:t xml:space="preserve">EP Thompson, ‘Time, Work-Discipline and Industrial Capitalism,’ </w:t>
      </w:r>
      <w:r w:rsidRPr="00C73FE2">
        <w:rPr>
          <w:rFonts w:ascii="Georgia" w:hAnsi="Georgia"/>
          <w:i/>
        </w:rPr>
        <w:t>Past &amp; Present</w:t>
      </w:r>
      <w:r w:rsidRPr="00C73FE2">
        <w:rPr>
          <w:rFonts w:ascii="Georgia" w:hAnsi="Georgia"/>
        </w:rPr>
        <w:t>, 38 (December 1967), pp. 56–97.</w:t>
      </w:r>
    </w:p>
    <w:p w:rsidR="00D30193" w:rsidRPr="00C73FE2" w:rsidRDefault="00D30193" w:rsidP="0041093B">
      <w:pPr>
        <w:pStyle w:val="Alex"/>
        <w:ind w:left="360"/>
        <w:jc w:val="right"/>
        <w:rPr>
          <w:rFonts w:ascii="Georgia" w:hAnsi="Georgia"/>
          <w:b/>
          <w:i/>
        </w:rPr>
      </w:pPr>
      <w:r w:rsidRPr="00C73FE2">
        <w:rPr>
          <w:rFonts w:ascii="Georgia" w:hAnsi="Georgia"/>
          <w:b/>
          <w:i/>
        </w:rPr>
        <w:t>Two of ‘the’</w:t>
      </w:r>
      <w:r w:rsidR="005B2B5A" w:rsidRPr="00C73FE2">
        <w:rPr>
          <w:rFonts w:ascii="Georgia" w:hAnsi="Georgia"/>
          <w:b/>
          <w:i/>
        </w:rPr>
        <w:t xml:space="preserve"> classic s</w:t>
      </w:r>
      <w:r w:rsidRPr="00C73FE2">
        <w:rPr>
          <w:rFonts w:ascii="Georgia" w:hAnsi="Georgia"/>
          <w:b/>
          <w:i/>
        </w:rPr>
        <w:t xml:space="preserve">ocial </w:t>
      </w:r>
      <w:r w:rsidR="005B2B5A" w:rsidRPr="00C73FE2">
        <w:rPr>
          <w:rFonts w:ascii="Georgia" w:hAnsi="Georgia"/>
          <w:b/>
          <w:i/>
        </w:rPr>
        <w:t>h</w:t>
      </w:r>
      <w:r w:rsidRPr="00C73FE2">
        <w:rPr>
          <w:rFonts w:ascii="Georgia" w:hAnsi="Georgia"/>
          <w:b/>
          <w:i/>
        </w:rPr>
        <w:t xml:space="preserve">istory essays, each of which helped establish the political and intellectual contours of its historiographical approach. Students studying </w:t>
      </w:r>
      <w:r w:rsidR="005B2B5A" w:rsidRPr="00C73FE2">
        <w:rPr>
          <w:rFonts w:ascii="Georgia" w:hAnsi="Georgia"/>
          <w:b/>
          <w:i/>
        </w:rPr>
        <w:t xml:space="preserve">medieval history </w:t>
      </w:r>
      <w:r w:rsidRPr="00C73FE2">
        <w:rPr>
          <w:rFonts w:ascii="Georgia" w:hAnsi="Georgia"/>
          <w:b/>
          <w:i/>
        </w:rPr>
        <w:t xml:space="preserve">should read the former, and </w:t>
      </w:r>
      <w:r w:rsidR="005B2B5A" w:rsidRPr="00C73FE2">
        <w:rPr>
          <w:rFonts w:ascii="Georgia" w:hAnsi="Georgia"/>
          <w:b/>
          <w:i/>
        </w:rPr>
        <w:t xml:space="preserve">modern history </w:t>
      </w:r>
      <w:r w:rsidRPr="00C73FE2">
        <w:rPr>
          <w:rFonts w:ascii="Georgia" w:hAnsi="Georgia"/>
          <w:b/>
          <w:i/>
        </w:rPr>
        <w:t xml:space="preserve">the latter. </w:t>
      </w:r>
    </w:p>
    <w:p w:rsidR="004D0301" w:rsidRDefault="004D0301" w:rsidP="0041093B">
      <w:pPr>
        <w:pStyle w:val="Alex"/>
        <w:rPr>
          <w:rFonts w:ascii="Georgia" w:hAnsi="Georgia"/>
          <w:b/>
          <w:u w:val="single"/>
        </w:rPr>
      </w:pPr>
    </w:p>
    <w:p w:rsidR="004D0301" w:rsidRPr="00C73FE2" w:rsidRDefault="004D0301" w:rsidP="004D0301">
      <w:pPr>
        <w:pStyle w:val="Alex"/>
        <w:rPr>
          <w:rFonts w:ascii="Georgia" w:hAnsi="Georgia"/>
          <w:i/>
          <w:u w:val="single"/>
        </w:rPr>
      </w:pPr>
      <w:r>
        <w:rPr>
          <w:rFonts w:ascii="Georgia" w:hAnsi="Georgia"/>
          <w:i/>
          <w:u w:val="single"/>
        </w:rPr>
        <w:t xml:space="preserve">Required </w:t>
      </w:r>
      <w:r w:rsidRPr="00C73FE2">
        <w:rPr>
          <w:rFonts w:ascii="Georgia" w:hAnsi="Georgia"/>
          <w:i/>
          <w:u w:val="single"/>
        </w:rPr>
        <w:t xml:space="preserve">reading for Week </w:t>
      </w:r>
      <w:r>
        <w:rPr>
          <w:rFonts w:ascii="Georgia" w:hAnsi="Georgia"/>
          <w:i/>
          <w:u w:val="single"/>
        </w:rPr>
        <w:t>2</w:t>
      </w:r>
      <w:r w:rsidRPr="00C73FE2">
        <w:rPr>
          <w:rFonts w:ascii="Georgia" w:hAnsi="Georgia"/>
          <w:i/>
          <w:u w:val="single"/>
        </w:rPr>
        <w:t xml:space="preserve"> discussion:</w:t>
      </w:r>
    </w:p>
    <w:p w:rsidR="00D30193" w:rsidRPr="00C73FE2" w:rsidRDefault="009E3284" w:rsidP="0041093B">
      <w:pPr>
        <w:pStyle w:val="Alex"/>
        <w:rPr>
          <w:rFonts w:ascii="Georgia" w:hAnsi="Georgia"/>
          <w:b/>
        </w:rPr>
      </w:pPr>
      <w:r w:rsidRPr="00C73FE2">
        <w:rPr>
          <w:rFonts w:ascii="Georgia" w:hAnsi="Georgia"/>
          <w:b/>
          <w:u w:val="single"/>
        </w:rPr>
        <w:t xml:space="preserve">Cultural </w:t>
      </w:r>
      <w:r w:rsidR="0041093B" w:rsidRPr="00C73FE2">
        <w:rPr>
          <w:rFonts w:ascii="Georgia" w:hAnsi="Georgia"/>
          <w:b/>
          <w:u w:val="single"/>
        </w:rPr>
        <w:t>history</w:t>
      </w:r>
    </w:p>
    <w:p w:rsidR="009E3284" w:rsidRDefault="00D30193" w:rsidP="0041093B">
      <w:pPr>
        <w:pStyle w:val="Alex"/>
        <w:rPr>
          <w:rFonts w:ascii="Georgia" w:hAnsi="Georgia"/>
          <w:b/>
        </w:rPr>
      </w:pPr>
      <w:r w:rsidRPr="00C73FE2">
        <w:rPr>
          <w:rFonts w:ascii="Georgia" w:hAnsi="Georgia"/>
          <w:b/>
        </w:rPr>
        <w:t xml:space="preserve">Students should read </w:t>
      </w:r>
      <w:r w:rsidR="009E3284" w:rsidRPr="00C73FE2">
        <w:rPr>
          <w:rFonts w:ascii="Georgia" w:hAnsi="Georgia"/>
          <w:b/>
          <w:u w:val="single"/>
        </w:rPr>
        <w:t>at least one</w:t>
      </w:r>
      <w:r w:rsidR="009E3284" w:rsidRPr="00C73FE2">
        <w:rPr>
          <w:rFonts w:ascii="Georgia" w:hAnsi="Georgia"/>
          <w:b/>
        </w:rPr>
        <w:t xml:space="preserve"> from</w:t>
      </w:r>
      <w:r w:rsidR="004D0301">
        <w:rPr>
          <w:rFonts w:ascii="Georgia" w:hAnsi="Georgia"/>
          <w:b/>
        </w:rPr>
        <w:t xml:space="preserve"> the below list</w:t>
      </w:r>
      <w:r w:rsidR="009E3284" w:rsidRPr="00C73FE2">
        <w:rPr>
          <w:rFonts w:ascii="Georgia" w:hAnsi="Georgia"/>
          <w:b/>
        </w:rPr>
        <w:t>:</w:t>
      </w:r>
    </w:p>
    <w:p w:rsidR="004D0301" w:rsidRPr="004D0301" w:rsidRDefault="004D0301" w:rsidP="0041093B">
      <w:pPr>
        <w:pStyle w:val="Alex"/>
        <w:rPr>
          <w:rFonts w:ascii="Georgia" w:hAnsi="Georgia"/>
          <w:b/>
          <w:i/>
        </w:rPr>
      </w:pPr>
      <w:r w:rsidRPr="004D0301">
        <w:rPr>
          <w:rFonts w:ascii="Georgia" w:hAnsi="Georgia"/>
          <w:b/>
          <w:i/>
        </w:rPr>
        <w:t>Medieval period</w:t>
      </w:r>
    </w:p>
    <w:p w:rsidR="005B2B5A" w:rsidRPr="00C73FE2" w:rsidRDefault="005B2B5A" w:rsidP="0041093B">
      <w:pPr>
        <w:pStyle w:val="ListParagraph"/>
        <w:numPr>
          <w:ilvl w:val="0"/>
          <w:numId w:val="3"/>
        </w:numPr>
        <w:spacing w:after="0" w:line="360" w:lineRule="auto"/>
        <w:jc w:val="both"/>
        <w:rPr>
          <w:rFonts w:ascii="Georgia" w:hAnsi="Georgia"/>
        </w:rPr>
      </w:pPr>
      <w:r w:rsidRPr="00C73FE2">
        <w:rPr>
          <w:rFonts w:ascii="Georgia" w:hAnsi="Georgia"/>
        </w:rPr>
        <w:t xml:space="preserve">Christopher Fletcher, ‘News, Noise and the Nature of Politics in Late Medieval English Provincial Towns,’ </w:t>
      </w:r>
      <w:r w:rsidRPr="00C73FE2">
        <w:rPr>
          <w:rFonts w:ascii="Georgia" w:hAnsi="Georgia"/>
          <w:i/>
        </w:rPr>
        <w:t>Journal of British</w:t>
      </w:r>
      <w:r w:rsidRPr="005E1862">
        <w:rPr>
          <w:rFonts w:ascii="Georgia" w:hAnsi="Georgia"/>
          <w:i/>
        </w:rPr>
        <w:t xml:space="preserve"> Studies</w:t>
      </w:r>
      <w:r w:rsidRPr="00C73FE2">
        <w:rPr>
          <w:rFonts w:ascii="Georgia" w:hAnsi="Georgia"/>
        </w:rPr>
        <w:t>, 56</w:t>
      </w:r>
      <w:r w:rsidR="004D0301">
        <w:rPr>
          <w:rFonts w:ascii="Georgia" w:hAnsi="Georgia"/>
        </w:rPr>
        <w:t>:</w:t>
      </w:r>
      <w:r w:rsidRPr="00C73FE2">
        <w:rPr>
          <w:rFonts w:ascii="Georgia" w:hAnsi="Georgia"/>
        </w:rPr>
        <w:t>2 (April 2017), pp. 250–272.</w:t>
      </w:r>
    </w:p>
    <w:p w:rsidR="009E3284" w:rsidRPr="00C73FE2" w:rsidRDefault="009E3284" w:rsidP="0041093B">
      <w:pPr>
        <w:pStyle w:val="ListParagraph"/>
        <w:numPr>
          <w:ilvl w:val="0"/>
          <w:numId w:val="3"/>
        </w:numPr>
        <w:spacing w:after="0" w:line="360" w:lineRule="auto"/>
        <w:jc w:val="both"/>
        <w:rPr>
          <w:rFonts w:ascii="Georgia" w:hAnsi="Georgia"/>
        </w:rPr>
      </w:pPr>
      <w:r w:rsidRPr="00C73FE2">
        <w:rPr>
          <w:rFonts w:ascii="Georgia" w:hAnsi="Georgia"/>
        </w:rPr>
        <w:t xml:space="preserve">Colin Heywood, ‘Changing Conceptions of Childhood,’ </w:t>
      </w:r>
      <w:r w:rsidRPr="00C73FE2">
        <w:rPr>
          <w:rFonts w:ascii="Georgia" w:hAnsi="Georgia"/>
          <w:i/>
        </w:rPr>
        <w:t xml:space="preserve">A History of Childhood: Children and Childhood in the West from Medieval to Modern Times </w:t>
      </w:r>
      <w:r w:rsidRPr="00C73FE2">
        <w:rPr>
          <w:rFonts w:ascii="Georgia" w:hAnsi="Georgia"/>
        </w:rPr>
        <w:t>(Malden, Massachusetts: Polity Press, 2001), pp 17–50.</w:t>
      </w:r>
      <w:r w:rsidR="005B2B5A" w:rsidRPr="00C73FE2">
        <w:rPr>
          <w:rFonts w:ascii="Georgia" w:hAnsi="Georgia"/>
        </w:rPr>
        <w:t xml:space="preserve"> </w:t>
      </w:r>
      <w:r w:rsidR="005B2B5A" w:rsidRPr="00C73FE2">
        <w:rPr>
          <w:rFonts w:ascii="Georgia" w:hAnsi="Georgia"/>
          <w:b/>
        </w:rPr>
        <w:t xml:space="preserve">An overview childhood as a previously-neglected subject for historical enquiry (with emphasis on medieval period). </w:t>
      </w:r>
    </w:p>
    <w:p w:rsidR="003516F7" w:rsidRPr="005E1862" w:rsidRDefault="003516F7" w:rsidP="002302CC">
      <w:pPr>
        <w:pStyle w:val="ListParagraph"/>
        <w:numPr>
          <w:ilvl w:val="0"/>
          <w:numId w:val="3"/>
        </w:numPr>
        <w:spacing w:after="0" w:line="360" w:lineRule="auto"/>
        <w:jc w:val="both"/>
        <w:rPr>
          <w:rFonts w:ascii="Georgia" w:hAnsi="Georgia"/>
          <w:i/>
        </w:rPr>
      </w:pPr>
      <w:r w:rsidRPr="003516F7">
        <w:rPr>
          <w:rFonts w:ascii="Georgia" w:hAnsi="Georgia"/>
        </w:rPr>
        <w:t xml:space="preserve">A. Lynn Martin, </w:t>
      </w:r>
      <w:r w:rsidRPr="003516F7">
        <w:rPr>
          <w:rFonts w:ascii="Georgia" w:hAnsi="Georgia"/>
          <w:i/>
        </w:rPr>
        <w:t>Alcohol, Sex, and Gender</w:t>
      </w:r>
      <w:r w:rsidRPr="003516F7">
        <w:rPr>
          <w:rFonts w:ascii="Georgia" w:hAnsi="Georgia"/>
          <w:i/>
        </w:rPr>
        <w:t xml:space="preserve"> </w:t>
      </w:r>
      <w:r w:rsidRPr="003516F7">
        <w:rPr>
          <w:rFonts w:ascii="Georgia" w:hAnsi="Georgia"/>
          <w:i/>
        </w:rPr>
        <w:t>in Late Medieval and</w:t>
      </w:r>
      <w:r w:rsidRPr="003516F7">
        <w:rPr>
          <w:rFonts w:ascii="Georgia" w:hAnsi="Georgia"/>
          <w:i/>
        </w:rPr>
        <w:t xml:space="preserve"> </w:t>
      </w:r>
      <w:r w:rsidRPr="003516F7">
        <w:rPr>
          <w:rFonts w:ascii="Georgia" w:hAnsi="Georgia"/>
          <w:i/>
        </w:rPr>
        <w:t>Early Modern Europe</w:t>
      </w:r>
      <w:r>
        <w:rPr>
          <w:rFonts w:ascii="Georgia" w:hAnsi="Georgia"/>
          <w:i/>
        </w:rPr>
        <w:t xml:space="preserve"> </w:t>
      </w:r>
      <w:r>
        <w:rPr>
          <w:rFonts w:ascii="Georgia" w:hAnsi="Georgia"/>
        </w:rPr>
        <w:t>(London: Routledge, 2001), pp. 17–37.</w:t>
      </w:r>
    </w:p>
    <w:p w:rsidR="005E1862" w:rsidRDefault="005E1862" w:rsidP="004D0301">
      <w:pPr>
        <w:pStyle w:val="ListParagraph"/>
        <w:numPr>
          <w:ilvl w:val="0"/>
          <w:numId w:val="3"/>
        </w:numPr>
        <w:spacing w:after="0" w:line="360" w:lineRule="auto"/>
        <w:jc w:val="both"/>
        <w:rPr>
          <w:rFonts w:ascii="Georgia" w:hAnsi="Georgia"/>
        </w:rPr>
      </w:pPr>
      <w:proofErr w:type="spellStart"/>
      <w:r w:rsidRPr="005E1862">
        <w:rPr>
          <w:rFonts w:ascii="Georgia" w:hAnsi="Georgia"/>
        </w:rPr>
        <w:t>Wojtek</w:t>
      </w:r>
      <w:proofErr w:type="spellEnd"/>
      <w:r w:rsidRPr="005E1862">
        <w:rPr>
          <w:rFonts w:ascii="Georgia" w:hAnsi="Georgia"/>
        </w:rPr>
        <w:t xml:space="preserve"> </w:t>
      </w:r>
      <w:proofErr w:type="spellStart"/>
      <w:r w:rsidRPr="005E1862">
        <w:rPr>
          <w:rFonts w:ascii="Georgia" w:hAnsi="Georgia"/>
        </w:rPr>
        <w:t>Jezierski</w:t>
      </w:r>
      <w:proofErr w:type="spellEnd"/>
      <w:r w:rsidRPr="005E1862">
        <w:rPr>
          <w:rFonts w:ascii="Georgia" w:hAnsi="Georgia"/>
        </w:rPr>
        <w:t>, ‘</w:t>
      </w:r>
      <w:r w:rsidRPr="005E1862">
        <w:rPr>
          <w:rFonts w:ascii="Georgia" w:hAnsi="Georgia"/>
        </w:rPr>
        <w:t>Feelings during Sieges</w:t>
      </w:r>
      <w:r w:rsidRPr="005E1862">
        <w:rPr>
          <w:rFonts w:ascii="Georgia" w:hAnsi="Georgia"/>
        </w:rPr>
        <w:t xml:space="preserve">: </w:t>
      </w:r>
      <w:r w:rsidRPr="005E1862">
        <w:rPr>
          <w:rFonts w:ascii="Georgia" w:hAnsi="Georgia"/>
        </w:rPr>
        <w:t>Fear, Trust, and Emotional Bonding on the Missionary</w:t>
      </w:r>
      <w:r w:rsidRPr="005E1862">
        <w:rPr>
          <w:rFonts w:ascii="Georgia" w:hAnsi="Georgia"/>
        </w:rPr>
        <w:t xml:space="preserve"> </w:t>
      </w:r>
      <w:r w:rsidRPr="005E1862">
        <w:rPr>
          <w:rFonts w:ascii="Georgia" w:hAnsi="Georgia"/>
        </w:rPr>
        <w:t xml:space="preserve">and Crusader Baltic Rim, 12th–13th </w:t>
      </w:r>
      <w:proofErr w:type="gramStart"/>
      <w:r w:rsidRPr="005E1862">
        <w:rPr>
          <w:rFonts w:ascii="Georgia" w:hAnsi="Georgia"/>
        </w:rPr>
        <w:t>Centuries</w:t>
      </w:r>
      <w:r>
        <w:rPr>
          <w:rFonts w:ascii="Georgia" w:hAnsi="Georgia"/>
        </w:rPr>
        <w:t>,’</w:t>
      </w:r>
      <w:r w:rsidR="004D0301">
        <w:rPr>
          <w:rFonts w:ascii="Georgia" w:hAnsi="Georgia"/>
        </w:rPr>
        <w:t xml:space="preserve">  </w:t>
      </w:r>
      <w:proofErr w:type="spellStart"/>
      <w:r w:rsidR="004D0301" w:rsidRPr="004D0301">
        <w:rPr>
          <w:rFonts w:ascii="Georgia" w:hAnsi="Georgia"/>
          <w:i/>
        </w:rPr>
        <w:t>Frühmittelalterliche</w:t>
      </w:r>
      <w:proofErr w:type="spellEnd"/>
      <w:proofErr w:type="gramEnd"/>
      <w:r w:rsidR="004D0301" w:rsidRPr="004D0301">
        <w:rPr>
          <w:rFonts w:ascii="Georgia" w:hAnsi="Georgia"/>
          <w:i/>
        </w:rPr>
        <w:t xml:space="preserve"> </w:t>
      </w:r>
      <w:proofErr w:type="spellStart"/>
      <w:r w:rsidR="004D0301" w:rsidRPr="004D0301">
        <w:rPr>
          <w:rFonts w:ascii="Georgia" w:hAnsi="Georgia"/>
          <w:i/>
        </w:rPr>
        <w:t>Studien</w:t>
      </w:r>
      <w:proofErr w:type="spellEnd"/>
      <w:r w:rsidR="004D0301" w:rsidRPr="004D0301">
        <w:rPr>
          <w:rFonts w:ascii="Georgia" w:hAnsi="Georgia"/>
        </w:rPr>
        <w:t>, 52</w:t>
      </w:r>
      <w:r w:rsidR="004D0301">
        <w:rPr>
          <w:rFonts w:ascii="Georgia" w:hAnsi="Georgia"/>
        </w:rPr>
        <w:t>:</w:t>
      </w:r>
      <w:r w:rsidR="004D0301" w:rsidRPr="004D0301">
        <w:rPr>
          <w:rFonts w:ascii="Georgia" w:hAnsi="Georgia"/>
        </w:rPr>
        <w:t>1</w:t>
      </w:r>
      <w:r w:rsidR="004D0301">
        <w:rPr>
          <w:rFonts w:ascii="Georgia" w:hAnsi="Georgia"/>
        </w:rPr>
        <w:t xml:space="preserve"> (2018), p.253–</w:t>
      </w:r>
      <w:r w:rsidR="004D0301" w:rsidRPr="004D0301">
        <w:rPr>
          <w:rFonts w:ascii="Georgia" w:hAnsi="Georgia"/>
        </w:rPr>
        <w:t>282</w:t>
      </w:r>
      <w:r w:rsidR="004D0301">
        <w:rPr>
          <w:rFonts w:ascii="Georgia" w:hAnsi="Georgia"/>
        </w:rPr>
        <w:t>.</w:t>
      </w:r>
    </w:p>
    <w:p w:rsidR="005E1862" w:rsidRDefault="005E1862" w:rsidP="00C870AC">
      <w:pPr>
        <w:pStyle w:val="ListParagraph"/>
        <w:numPr>
          <w:ilvl w:val="0"/>
          <w:numId w:val="3"/>
        </w:numPr>
        <w:spacing w:after="0" w:line="360" w:lineRule="auto"/>
        <w:jc w:val="both"/>
        <w:rPr>
          <w:rFonts w:ascii="Georgia" w:hAnsi="Georgia"/>
        </w:rPr>
      </w:pPr>
      <w:r w:rsidRPr="005E1862">
        <w:rPr>
          <w:rFonts w:ascii="Georgia" w:hAnsi="Georgia"/>
        </w:rPr>
        <w:t xml:space="preserve">Albrecht </w:t>
      </w:r>
      <w:proofErr w:type="spellStart"/>
      <w:r w:rsidRPr="005E1862">
        <w:rPr>
          <w:rFonts w:ascii="Georgia" w:hAnsi="Georgia"/>
        </w:rPr>
        <w:t>Classen</w:t>
      </w:r>
      <w:proofErr w:type="spellEnd"/>
      <w:r w:rsidRPr="005E1862">
        <w:rPr>
          <w:rFonts w:ascii="Georgia" w:hAnsi="Georgia"/>
        </w:rPr>
        <w:t>, ‘</w:t>
      </w:r>
      <w:r w:rsidRPr="005E1862">
        <w:rPr>
          <w:rFonts w:ascii="Georgia" w:hAnsi="Georgia"/>
        </w:rPr>
        <w:t xml:space="preserve">“And </w:t>
      </w:r>
      <w:r w:rsidRPr="005E1862">
        <w:rPr>
          <w:rFonts w:ascii="Georgia" w:hAnsi="Georgia"/>
        </w:rPr>
        <w:t>They Laughed After All</w:t>
      </w:r>
      <w:r w:rsidRPr="005E1862">
        <w:rPr>
          <w:rFonts w:ascii="Georgia" w:hAnsi="Georgia"/>
        </w:rPr>
        <w:t>”</w:t>
      </w:r>
      <w:r w:rsidRPr="005E1862">
        <w:rPr>
          <w:rFonts w:ascii="Georgia" w:hAnsi="Georgia"/>
        </w:rPr>
        <w:t xml:space="preserve">: </w:t>
      </w:r>
      <w:r w:rsidRPr="005E1862">
        <w:rPr>
          <w:rFonts w:ascii="Georgia" w:hAnsi="Georgia"/>
        </w:rPr>
        <w:t>Comedy on the Late Medieval</w:t>
      </w:r>
      <w:r w:rsidRPr="005E1862">
        <w:rPr>
          <w:rFonts w:ascii="Georgia" w:hAnsi="Georgia"/>
        </w:rPr>
        <w:t xml:space="preserve"> </w:t>
      </w:r>
      <w:r w:rsidRPr="005E1862">
        <w:rPr>
          <w:rFonts w:ascii="Georgia" w:hAnsi="Georgia"/>
        </w:rPr>
        <w:t>German Stage: With a Focus on</w:t>
      </w:r>
      <w:r w:rsidRPr="005E1862">
        <w:rPr>
          <w:rFonts w:ascii="Georgia" w:hAnsi="Georgia"/>
        </w:rPr>
        <w:t xml:space="preserve"> </w:t>
      </w:r>
      <w:r w:rsidRPr="005E1862">
        <w:rPr>
          <w:rFonts w:ascii="Georgia" w:hAnsi="Georgia"/>
        </w:rPr>
        <w:t xml:space="preserve">the </w:t>
      </w:r>
      <w:proofErr w:type="spellStart"/>
      <w:r w:rsidRPr="005E1862">
        <w:rPr>
          <w:rFonts w:ascii="Georgia" w:hAnsi="Georgia"/>
          <w:i/>
        </w:rPr>
        <w:t>Hessisches</w:t>
      </w:r>
      <w:proofErr w:type="spellEnd"/>
      <w:r w:rsidRPr="005E1862">
        <w:rPr>
          <w:rFonts w:ascii="Georgia" w:hAnsi="Georgia"/>
          <w:i/>
        </w:rPr>
        <w:t xml:space="preserve"> </w:t>
      </w:r>
      <w:proofErr w:type="spellStart"/>
      <w:r w:rsidRPr="005E1862">
        <w:rPr>
          <w:rFonts w:ascii="Georgia" w:hAnsi="Georgia"/>
          <w:i/>
        </w:rPr>
        <w:t>Weihnachtsspiel</w:t>
      </w:r>
      <w:proofErr w:type="spellEnd"/>
      <w:r w:rsidRPr="005E1862">
        <w:rPr>
          <w:rFonts w:ascii="Georgia" w:hAnsi="Georgia"/>
          <w:i/>
        </w:rPr>
        <w:t xml:space="preserve"> </w:t>
      </w:r>
      <w:r w:rsidR="004D0301">
        <w:rPr>
          <w:rFonts w:ascii="Georgia" w:hAnsi="Georgia"/>
        </w:rPr>
        <w:t>and</w:t>
      </w:r>
      <w:r w:rsidRPr="005E1862">
        <w:rPr>
          <w:rFonts w:ascii="Georgia" w:hAnsi="Georgia"/>
        </w:rPr>
        <w:t xml:space="preserve"> the </w:t>
      </w:r>
      <w:proofErr w:type="spellStart"/>
      <w:r w:rsidRPr="005E1862">
        <w:rPr>
          <w:rFonts w:ascii="Georgia" w:hAnsi="Georgia"/>
        </w:rPr>
        <w:t>Innsbrucker</w:t>
      </w:r>
      <w:proofErr w:type="spellEnd"/>
      <w:r w:rsidRPr="005E1862">
        <w:rPr>
          <w:rFonts w:ascii="Georgia" w:hAnsi="Georgia"/>
        </w:rPr>
        <w:t xml:space="preserve"> </w:t>
      </w:r>
      <w:proofErr w:type="spellStart"/>
      <w:r w:rsidRPr="005E1862">
        <w:rPr>
          <w:rFonts w:ascii="Georgia" w:hAnsi="Georgia"/>
          <w:i/>
        </w:rPr>
        <w:t>Osterspiel</w:t>
      </w:r>
      <w:proofErr w:type="spellEnd"/>
      <w:r w:rsidR="004D0301">
        <w:rPr>
          <w:rFonts w:ascii="Georgia" w:hAnsi="Georgia"/>
        </w:rPr>
        <w:t xml:space="preserve">,’ </w:t>
      </w:r>
      <w:proofErr w:type="spellStart"/>
      <w:r w:rsidR="004D0301" w:rsidRPr="004D0301">
        <w:rPr>
          <w:rFonts w:ascii="Georgia" w:hAnsi="Georgia"/>
          <w:i/>
        </w:rPr>
        <w:t>Medievalia</w:t>
      </w:r>
      <w:proofErr w:type="spellEnd"/>
      <w:r w:rsidR="004D0301" w:rsidRPr="004D0301">
        <w:rPr>
          <w:rFonts w:ascii="Georgia" w:hAnsi="Georgia"/>
          <w:i/>
        </w:rPr>
        <w:t xml:space="preserve"> </w:t>
      </w:r>
      <w:proofErr w:type="gramStart"/>
      <w:r w:rsidR="004D0301" w:rsidRPr="004D0301">
        <w:rPr>
          <w:rFonts w:ascii="Georgia" w:hAnsi="Georgia"/>
          <w:i/>
        </w:rPr>
        <w:t>et</w:t>
      </w:r>
      <w:proofErr w:type="gramEnd"/>
      <w:r w:rsidR="004D0301" w:rsidRPr="004D0301">
        <w:rPr>
          <w:rFonts w:ascii="Georgia" w:hAnsi="Georgia"/>
          <w:i/>
        </w:rPr>
        <w:t xml:space="preserve"> </w:t>
      </w:r>
      <w:proofErr w:type="spellStart"/>
      <w:r w:rsidR="004D0301" w:rsidRPr="004D0301">
        <w:rPr>
          <w:rFonts w:ascii="Georgia" w:hAnsi="Georgia"/>
          <w:i/>
        </w:rPr>
        <w:t>Humanistica</w:t>
      </w:r>
      <w:proofErr w:type="spellEnd"/>
      <w:r w:rsidR="004D0301" w:rsidRPr="004D0301">
        <w:rPr>
          <w:rFonts w:ascii="Georgia" w:hAnsi="Georgia"/>
        </w:rPr>
        <w:t>,</w:t>
      </w:r>
      <w:r w:rsidR="004D0301">
        <w:rPr>
          <w:rFonts w:ascii="Georgia" w:hAnsi="Georgia"/>
        </w:rPr>
        <w:t xml:space="preserve"> 44 (</w:t>
      </w:r>
      <w:r w:rsidR="004D0301" w:rsidRPr="004D0301">
        <w:rPr>
          <w:rFonts w:ascii="Georgia" w:hAnsi="Georgia"/>
        </w:rPr>
        <w:t>2019</w:t>
      </w:r>
      <w:r w:rsidR="004D0301">
        <w:rPr>
          <w:rFonts w:ascii="Georgia" w:hAnsi="Georgia"/>
        </w:rPr>
        <w:t>)</w:t>
      </w:r>
      <w:r w:rsidR="004D0301" w:rsidRPr="004D0301">
        <w:rPr>
          <w:rFonts w:ascii="Georgia" w:hAnsi="Georgia"/>
        </w:rPr>
        <w:t xml:space="preserve">, </w:t>
      </w:r>
      <w:r w:rsidR="004D0301">
        <w:rPr>
          <w:rFonts w:ascii="Georgia" w:hAnsi="Georgia"/>
        </w:rPr>
        <w:t>p</w:t>
      </w:r>
      <w:r w:rsidR="004D0301" w:rsidRPr="004D0301">
        <w:rPr>
          <w:rFonts w:ascii="Georgia" w:hAnsi="Georgia"/>
        </w:rPr>
        <w:t>p.</w:t>
      </w:r>
      <w:r w:rsidR="004D0301">
        <w:rPr>
          <w:rFonts w:ascii="Georgia" w:hAnsi="Georgia"/>
        </w:rPr>
        <w:t xml:space="preserve"> 35–</w:t>
      </w:r>
      <w:r w:rsidR="004D0301" w:rsidRPr="004D0301">
        <w:rPr>
          <w:rFonts w:ascii="Georgia" w:hAnsi="Georgia"/>
        </w:rPr>
        <w:t>60</w:t>
      </w:r>
      <w:r w:rsidR="004D0301">
        <w:rPr>
          <w:rFonts w:ascii="Georgia" w:hAnsi="Georgia"/>
        </w:rPr>
        <w:t>.</w:t>
      </w:r>
    </w:p>
    <w:p w:rsidR="004D0301" w:rsidRPr="004D0301" w:rsidRDefault="004D0301" w:rsidP="004D0301">
      <w:pPr>
        <w:spacing w:after="0" w:line="360" w:lineRule="auto"/>
        <w:jc w:val="both"/>
        <w:rPr>
          <w:rFonts w:ascii="Georgia" w:hAnsi="Georgia"/>
          <w:b/>
          <w:i/>
        </w:rPr>
      </w:pPr>
      <w:r w:rsidRPr="004D0301">
        <w:rPr>
          <w:rFonts w:ascii="Georgia" w:hAnsi="Georgia"/>
          <w:b/>
          <w:i/>
        </w:rPr>
        <w:t>Modern period</w:t>
      </w:r>
    </w:p>
    <w:p w:rsidR="007D0207" w:rsidRPr="00C73FE2" w:rsidRDefault="007D0207" w:rsidP="0041093B">
      <w:pPr>
        <w:pStyle w:val="ListParagraph"/>
        <w:numPr>
          <w:ilvl w:val="0"/>
          <w:numId w:val="3"/>
        </w:numPr>
        <w:spacing w:after="0" w:line="360" w:lineRule="auto"/>
        <w:jc w:val="both"/>
        <w:rPr>
          <w:rFonts w:ascii="Georgia" w:hAnsi="Georgia"/>
        </w:rPr>
      </w:pPr>
      <w:r w:rsidRPr="00C73FE2">
        <w:rPr>
          <w:rFonts w:ascii="Georgia" w:hAnsi="Georgia"/>
        </w:rPr>
        <w:t xml:space="preserve">Colin Jones, ‘The King’s Two Teeth,’ </w:t>
      </w:r>
      <w:r w:rsidRPr="00C73FE2">
        <w:rPr>
          <w:rFonts w:ascii="Georgia" w:hAnsi="Georgia"/>
          <w:i/>
        </w:rPr>
        <w:t>History Workshop Journal</w:t>
      </w:r>
      <w:r w:rsidRPr="00C73FE2">
        <w:rPr>
          <w:rFonts w:ascii="Georgia" w:hAnsi="Georgia"/>
        </w:rPr>
        <w:t>, 65 (</w:t>
      </w:r>
      <w:proofErr w:type="gramStart"/>
      <w:r w:rsidRPr="00C73FE2">
        <w:rPr>
          <w:rFonts w:ascii="Georgia" w:hAnsi="Georgia"/>
        </w:rPr>
        <w:t>Spring</w:t>
      </w:r>
      <w:proofErr w:type="gramEnd"/>
      <w:r w:rsidRPr="00C73FE2">
        <w:rPr>
          <w:rFonts w:ascii="Georgia" w:hAnsi="Georgia"/>
        </w:rPr>
        <w:t>, 2008), pp. 79–95.</w:t>
      </w:r>
      <w:r w:rsidR="005B2B5A" w:rsidRPr="00C73FE2">
        <w:rPr>
          <w:rFonts w:ascii="Georgia" w:hAnsi="Georgia"/>
        </w:rPr>
        <w:t xml:space="preserve"> </w:t>
      </w:r>
      <w:r w:rsidR="005B2B5A" w:rsidRPr="00C73FE2">
        <w:rPr>
          <w:rFonts w:ascii="Georgia" w:hAnsi="Georgia"/>
          <w:b/>
        </w:rPr>
        <w:t xml:space="preserve">An essay which uses dentistry as an oblique example of the political fervour in eighteenth-century France. </w:t>
      </w:r>
    </w:p>
    <w:p w:rsidR="009E3284" w:rsidRPr="00C73FE2" w:rsidRDefault="009E3284" w:rsidP="0041093B">
      <w:pPr>
        <w:pStyle w:val="ListParagraph"/>
        <w:numPr>
          <w:ilvl w:val="0"/>
          <w:numId w:val="3"/>
        </w:numPr>
        <w:spacing w:after="0" w:line="360" w:lineRule="auto"/>
        <w:jc w:val="both"/>
        <w:rPr>
          <w:rFonts w:ascii="Georgia" w:hAnsi="Georgia"/>
        </w:rPr>
      </w:pPr>
      <w:r w:rsidRPr="00C73FE2">
        <w:rPr>
          <w:rFonts w:ascii="Georgia" w:hAnsi="Georgia"/>
        </w:rPr>
        <w:t>Jacob Middleton, ‘</w:t>
      </w:r>
      <w:proofErr w:type="gramStart"/>
      <w:r w:rsidRPr="00C73FE2">
        <w:rPr>
          <w:rFonts w:ascii="Georgia" w:hAnsi="Georgia"/>
        </w:rPr>
        <w:t>The</w:t>
      </w:r>
      <w:proofErr w:type="gramEnd"/>
      <w:r w:rsidRPr="00C73FE2">
        <w:rPr>
          <w:rFonts w:ascii="Georgia" w:hAnsi="Georgia"/>
        </w:rPr>
        <w:t xml:space="preserve"> Cock of the School: A Cultural History of Playground Violence in Britain, 1880–1940,’ </w:t>
      </w:r>
      <w:r w:rsidRPr="00C73FE2">
        <w:rPr>
          <w:rFonts w:ascii="Georgia" w:hAnsi="Georgia"/>
          <w:i/>
        </w:rPr>
        <w:t xml:space="preserve">Journal of British </w:t>
      </w:r>
      <w:r w:rsidRPr="00C73FE2">
        <w:rPr>
          <w:rFonts w:ascii="Georgia" w:hAnsi="Georgia"/>
        </w:rPr>
        <w:t>Studies, 52</w:t>
      </w:r>
      <w:r w:rsidR="004D0301">
        <w:rPr>
          <w:rFonts w:ascii="Georgia" w:hAnsi="Georgia"/>
        </w:rPr>
        <w:t>:</w:t>
      </w:r>
      <w:r w:rsidRPr="00C73FE2">
        <w:rPr>
          <w:rFonts w:ascii="Georgia" w:hAnsi="Georgia"/>
        </w:rPr>
        <w:t>4 (October 2013), pp. 887–907.</w:t>
      </w:r>
      <w:r w:rsidR="005B2B5A" w:rsidRPr="00C73FE2">
        <w:rPr>
          <w:rFonts w:ascii="Georgia" w:hAnsi="Georgia"/>
        </w:rPr>
        <w:t xml:space="preserve"> </w:t>
      </w:r>
      <w:r w:rsidR="005B2B5A" w:rsidRPr="00C73FE2">
        <w:rPr>
          <w:rFonts w:ascii="Georgia" w:hAnsi="Georgia"/>
          <w:b/>
        </w:rPr>
        <w:t xml:space="preserve">An example of a distinctive cultural history. </w:t>
      </w:r>
    </w:p>
    <w:p w:rsidR="009E3284" w:rsidRPr="004D0301" w:rsidRDefault="009E3284" w:rsidP="0041093B">
      <w:pPr>
        <w:pStyle w:val="ListParagraph"/>
        <w:numPr>
          <w:ilvl w:val="0"/>
          <w:numId w:val="3"/>
        </w:numPr>
        <w:spacing w:after="0" w:line="360" w:lineRule="auto"/>
        <w:jc w:val="both"/>
        <w:rPr>
          <w:rFonts w:ascii="Georgia" w:hAnsi="Georgia"/>
        </w:rPr>
      </w:pPr>
      <w:r w:rsidRPr="00C73FE2">
        <w:rPr>
          <w:rFonts w:ascii="Georgia" w:hAnsi="Georgia"/>
        </w:rPr>
        <w:lastRenderedPageBreak/>
        <w:t>Joe Moran, ‘Queuing Up in Post</w:t>
      </w:r>
      <w:r w:rsidR="005B2B5A" w:rsidRPr="00C73FE2">
        <w:rPr>
          <w:rFonts w:ascii="Georgia" w:hAnsi="Georgia"/>
        </w:rPr>
        <w:t>-W</w:t>
      </w:r>
      <w:r w:rsidRPr="00C73FE2">
        <w:rPr>
          <w:rFonts w:ascii="Georgia" w:hAnsi="Georgia"/>
        </w:rPr>
        <w:t xml:space="preserve">ar Britain,’ </w:t>
      </w:r>
      <w:r w:rsidRPr="00C73FE2">
        <w:rPr>
          <w:rFonts w:ascii="Georgia" w:hAnsi="Georgia"/>
          <w:i/>
        </w:rPr>
        <w:t>Twentieth Century British History</w:t>
      </w:r>
      <w:r w:rsidRPr="00C73FE2">
        <w:rPr>
          <w:rFonts w:ascii="Georgia" w:hAnsi="Georgia"/>
        </w:rPr>
        <w:t xml:space="preserve">, </w:t>
      </w:r>
      <w:r w:rsidR="004D0301">
        <w:rPr>
          <w:rFonts w:ascii="Georgia" w:hAnsi="Georgia"/>
        </w:rPr>
        <w:t>16:3</w:t>
      </w:r>
      <w:r w:rsidRPr="00C73FE2">
        <w:rPr>
          <w:rFonts w:ascii="Georgia" w:hAnsi="Georgia"/>
        </w:rPr>
        <w:t xml:space="preserve"> (October 2005), pp. 283–305.</w:t>
      </w:r>
      <w:r w:rsidR="005B2B5A" w:rsidRPr="00C73FE2">
        <w:rPr>
          <w:rFonts w:ascii="Georgia" w:hAnsi="Georgia"/>
        </w:rPr>
        <w:t xml:space="preserve"> </w:t>
      </w:r>
      <w:r w:rsidR="005B2B5A" w:rsidRPr="00C73FE2">
        <w:rPr>
          <w:rFonts w:ascii="Georgia" w:hAnsi="Georgia"/>
          <w:b/>
        </w:rPr>
        <w:t>Again, and example of the types of unusual topics studied by cultural historians.</w:t>
      </w:r>
      <w:r w:rsidR="004D0301" w:rsidRPr="004D0301">
        <w:rPr>
          <w:rFonts w:ascii="Georgia" w:hAnsi="Georgia"/>
          <w:b/>
          <w:bCs/>
        </w:rPr>
        <w:t xml:space="preserve"> </w:t>
      </w:r>
      <w:r w:rsidR="004D0301">
        <w:rPr>
          <w:rFonts w:ascii="Georgia" w:hAnsi="Georgia"/>
          <w:b/>
          <w:bCs/>
        </w:rPr>
        <w:t>Of interest to students of late 20</w:t>
      </w:r>
      <w:r w:rsidR="004D0301" w:rsidRPr="004D0301">
        <w:rPr>
          <w:rFonts w:ascii="Georgia" w:hAnsi="Georgia"/>
          <w:b/>
          <w:bCs/>
          <w:vertAlign w:val="superscript"/>
        </w:rPr>
        <w:t>th</w:t>
      </w:r>
      <w:r w:rsidR="004D0301">
        <w:rPr>
          <w:rFonts w:ascii="Georgia" w:hAnsi="Georgia"/>
          <w:b/>
          <w:bCs/>
        </w:rPr>
        <w:t>-century Britain.</w:t>
      </w:r>
    </w:p>
    <w:p w:rsidR="004D0301" w:rsidRPr="007D64B4" w:rsidRDefault="004D0301" w:rsidP="004D0301">
      <w:pPr>
        <w:pStyle w:val="ListParagraph"/>
        <w:numPr>
          <w:ilvl w:val="0"/>
          <w:numId w:val="3"/>
        </w:numPr>
        <w:spacing w:after="0" w:line="360" w:lineRule="auto"/>
        <w:contextualSpacing w:val="0"/>
        <w:jc w:val="both"/>
        <w:rPr>
          <w:rFonts w:ascii="Georgia" w:hAnsi="Georgia" w:cs="Times New Roman"/>
          <w:bCs/>
        </w:rPr>
      </w:pPr>
      <w:r w:rsidRPr="007D64B4">
        <w:rPr>
          <w:rFonts w:ascii="Georgia" w:hAnsi="Georgia"/>
          <w:bCs/>
        </w:rPr>
        <w:t xml:space="preserve">Gavin Schaffer, </w:t>
      </w:r>
      <w:r>
        <w:rPr>
          <w:rFonts w:ascii="Georgia" w:hAnsi="Georgia"/>
          <w:bCs/>
        </w:rPr>
        <w:t>‘</w:t>
      </w:r>
      <w:r w:rsidRPr="007D64B4">
        <w:rPr>
          <w:rFonts w:ascii="Georgia" w:hAnsi="Georgia"/>
          <w:bCs/>
        </w:rPr>
        <w:t>Fighting Thatcher with Comedy: What to Do When There Is No Alternative,</w:t>
      </w:r>
      <w:r>
        <w:rPr>
          <w:rFonts w:ascii="Georgia" w:hAnsi="Georgia"/>
          <w:bCs/>
        </w:rPr>
        <w:t>’</w:t>
      </w:r>
      <w:r w:rsidRPr="007D64B4">
        <w:rPr>
          <w:rFonts w:ascii="Georgia" w:hAnsi="Georgia"/>
          <w:bCs/>
        </w:rPr>
        <w:t xml:space="preserve"> </w:t>
      </w:r>
      <w:r w:rsidRPr="007D64B4">
        <w:rPr>
          <w:rFonts w:ascii="Georgia" w:hAnsi="Georgia"/>
          <w:bCs/>
          <w:i/>
        </w:rPr>
        <w:t>Journal of British Studies</w:t>
      </w:r>
      <w:r w:rsidRPr="007D64B4">
        <w:rPr>
          <w:rFonts w:ascii="Georgia" w:hAnsi="Georgia"/>
          <w:bCs/>
        </w:rPr>
        <w:t>, 55:2 (2016), pp.374–398.</w:t>
      </w:r>
      <w:r>
        <w:rPr>
          <w:rFonts w:ascii="Georgia" w:hAnsi="Georgia"/>
          <w:bCs/>
        </w:rPr>
        <w:t xml:space="preserve"> </w:t>
      </w:r>
      <w:r>
        <w:rPr>
          <w:rFonts w:ascii="Georgia" w:hAnsi="Georgia"/>
          <w:b/>
          <w:bCs/>
        </w:rPr>
        <w:t>Of interest to students of late 20</w:t>
      </w:r>
      <w:r w:rsidRPr="004D0301">
        <w:rPr>
          <w:rFonts w:ascii="Georgia" w:hAnsi="Georgia"/>
          <w:b/>
          <w:bCs/>
          <w:vertAlign w:val="superscript"/>
        </w:rPr>
        <w:t>th</w:t>
      </w:r>
      <w:r>
        <w:rPr>
          <w:rFonts w:ascii="Georgia" w:hAnsi="Georgia"/>
          <w:b/>
          <w:bCs/>
        </w:rPr>
        <w:t>-century Britain.</w:t>
      </w:r>
    </w:p>
    <w:p w:rsidR="004D0301" w:rsidRPr="00EF1AEE" w:rsidRDefault="00EF1AEE" w:rsidP="00EF1AEE">
      <w:pPr>
        <w:pStyle w:val="ListParagraph"/>
        <w:numPr>
          <w:ilvl w:val="0"/>
          <w:numId w:val="3"/>
        </w:numPr>
        <w:spacing w:after="0" w:line="360" w:lineRule="auto"/>
        <w:jc w:val="both"/>
        <w:rPr>
          <w:rFonts w:ascii="Georgia" w:hAnsi="Georgia"/>
        </w:rPr>
      </w:pPr>
      <w:r>
        <w:rPr>
          <w:rFonts w:ascii="Georgia" w:hAnsi="Georgia"/>
          <w:bCs/>
        </w:rPr>
        <w:t xml:space="preserve">Lauren A. </w:t>
      </w:r>
      <w:proofErr w:type="spellStart"/>
      <w:r w:rsidRPr="007118FF">
        <w:rPr>
          <w:rFonts w:ascii="Georgia" w:hAnsi="Georgia"/>
          <w:bCs/>
        </w:rPr>
        <w:t>Pikó</w:t>
      </w:r>
      <w:proofErr w:type="spellEnd"/>
      <w:r>
        <w:rPr>
          <w:rFonts w:ascii="Georgia" w:hAnsi="Georgia"/>
          <w:bCs/>
        </w:rPr>
        <w:t xml:space="preserve"> and </w:t>
      </w:r>
      <w:r w:rsidRPr="007118FF">
        <w:rPr>
          <w:rFonts w:ascii="Georgia" w:hAnsi="Georgia"/>
          <w:bCs/>
        </w:rPr>
        <w:t>Evan Smith</w:t>
      </w:r>
      <w:r>
        <w:rPr>
          <w:rFonts w:ascii="Georgia" w:hAnsi="Georgia"/>
          <w:bCs/>
        </w:rPr>
        <w:t>. ‘</w:t>
      </w:r>
      <w:r w:rsidRPr="007118FF">
        <w:rPr>
          <w:rFonts w:ascii="Georgia" w:hAnsi="Georgia"/>
          <w:bCs/>
        </w:rPr>
        <w:t>‘“Thatcher’s Bloody Britain!”</w:t>
      </w:r>
      <w:r>
        <w:rPr>
          <w:rFonts w:ascii="Georgia" w:hAnsi="Georgia"/>
          <w:bCs/>
        </w:rPr>
        <w:t xml:space="preserve"> </w:t>
      </w:r>
      <w:r w:rsidRPr="007118FF">
        <w:rPr>
          <w:rFonts w:ascii="Georgia" w:hAnsi="Georgia"/>
          <w:bCs/>
        </w:rPr>
        <w:t xml:space="preserve">Unemployment and Gender in Neoliberal Britain in </w:t>
      </w:r>
      <w:r w:rsidRPr="007118FF">
        <w:rPr>
          <w:rFonts w:ascii="Georgia" w:hAnsi="Georgia"/>
          <w:bCs/>
          <w:i/>
        </w:rPr>
        <w:t>The Young Ones</w:t>
      </w:r>
      <w:r w:rsidRPr="007118FF">
        <w:rPr>
          <w:rFonts w:ascii="Georgia" w:hAnsi="Georgia"/>
          <w:bCs/>
        </w:rPr>
        <w:t xml:space="preserve"> and </w:t>
      </w:r>
      <w:r w:rsidRPr="007118FF">
        <w:rPr>
          <w:rFonts w:ascii="Georgia" w:hAnsi="Georgia"/>
          <w:bCs/>
          <w:i/>
        </w:rPr>
        <w:t>Men Behaving Badly</w:t>
      </w:r>
      <w:r>
        <w:rPr>
          <w:rFonts w:ascii="Georgia" w:hAnsi="Georgia"/>
          <w:bCs/>
        </w:rPr>
        <w:t>,</w:t>
      </w:r>
      <w:r w:rsidRPr="007118FF">
        <w:rPr>
          <w:rFonts w:ascii="Georgia" w:hAnsi="Georgia"/>
          <w:bCs/>
        </w:rPr>
        <w:t>’</w:t>
      </w:r>
      <w:r>
        <w:rPr>
          <w:rFonts w:ascii="Georgia" w:hAnsi="Georgia"/>
          <w:bCs/>
        </w:rPr>
        <w:t xml:space="preserve"> in </w:t>
      </w:r>
      <w:r>
        <w:rPr>
          <w:rFonts w:ascii="Georgia" w:hAnsi="Georgia"/>
          <w:bCs/>
          <w:i/>
        </w:rPr>
        <w:t>Gender and Austerity in Popular Culture: Femininity, Masculinity and Recession in Film, TV and Literature</w:t>
      </w:r>
      <w:r>
        <w:rPr>
          <w:rFonts w:ascii="Georgia" w:hAnsi="Georgia"/>
          <w:bCs/>
        </w:rPr>
        <w:t xml:space="preserve">, </w:t>
      </w:r>
      <w:r w:rsidRPr="007118FF">
        <w:rPr>
          <w:rFonts w:ascii="Georgia" w:hAnsi="Georgia"/>
          <w:bCs/>
        </w:rPr>
        <w:t>edited by</w:t>
      </w:r>
      <w:r>
        <w:rPr>
          <w:rFonts w:ascii="Georgia" w:hAnsi="Georgia"/>
          <w:bCs/>
        </w:rPr>
        <w:t xml:space="preserve"> Helen Davies and Claire O’Callaghan (London: IB Tauris, 2017), pp. 87–109. </w:t>
      </w:r>
      <w:r w:rsidR="004D0301" w:rsidRPr="00EF1AEE">
        <w:rPr>
          <w:rFonts w:ascii="Georgia" w:hAnsi="Georgia"/>
          <w:b/>
          <w:bCs/>
        </w:rPr>
        <w:t>Of interest to students of late 20</w:t>
      </w:r>
      <w:r w:rsidR="004D0301" w:rsidRPr="00EF1AEE">
        <w:rPr>
          <w:rFonts w:ascii="Georgia" w:hAnsi="Georgia"/>
          <w:b/>
          <w:bCs/>
          <w:vertAlign w:val="superscript"/>
        </w:rPr>
        <w:t>th</w:t>
      </w:r>
      <w:r w:rsidR="004D0301" w:rsidRPr="00EF1AEE">
        <w:rPr>
          <w:rFonts w:ascii="Georgia" w:hAnsi="Georgia"/>
          <w:b/>
          <w:bCs/>
        </w:rPr>
        <w:t>-century Britain.</w:t>
      </w:r>
    </w:p>
    <w:p w:rsidR="004D0301" w:rsidRPr="00EF1AEE" w:rsidRDefault="00EF1AEE" w:rsidP="00545750">
      <w:pPr>
        <w:pStyle w:val="ListParagraph"/>
        <w:numPr>
          <w:ilvl w:val="0"/>
          <w:numId w:val="3"/>
        </w:numPr>
        <w:spacing w:after="0" w:line="360" w:lineRule="auto"/>
        <w:jc w:val="both"/>
        <w:rPr>
          <w:rFonts w:ascii="Georgia" w:hAnsi="Georgia"/>
        </w:rPr>
      </w:pPr>
      <w:r w:rsidRPr="00EF1AEE">
        <w:rPr>
          <w:rFonts w:ascii="Georgia" w:hAnsi="Georgia"/>
          <w:bCs/>
        </w:rPr>
        <w:t>Chris</w:t>
      </w:r>
      <w:r w:rsidRPr="00EF1AEE">
        <w:rPr>
          <w:rFonts w:ascii="Georgia" w:hAnsi="Georgia"/>
          <w:bCs/>
        </w:rPr>
        <w:t xml:space="preserve"> </w:t>
      </w:r>
      <w:proofErr w:type="spellStart"/>
      <w:r w:rsidRPr="00EF1AEE">
        <w:rPr>
          <w:rFonts w:ascii="Georgia" w:hAnsi="Georgia"/>
          <w:bCs/>
        </w:rPr>
        <w:t>Moores</w:t>
      </w:r>
      <w:proofErr w:type="spellEnd"/>
      <w:r w:rsidRPr="00EF1AEE">
        <w:rPr>
          <w:rFonts w:ascii="Georgia" w:hAnsi="Georgia"/>
          <w:bCs/>
        </w:rPr>
        <w:t>,</w:t>
      </w:r>
      <w:proofErr w:type="gramStart"/>
      <w:r w:rsidRPr="00EF1AEE">
        <w:rPr>
          <w:rFonts w:ascii="Georgia" w:hAnsi="Georgia"/>
          <w:bCs/>
        </w:rPr>
        <w:t>.‘Thatcher’s</w:t>
      </w:r>
      <w:proofErr w:type="gramEnd"/>
      <w:r w:rsidRPr="00EF1AEE">
        <w:rPr>
          <w:rFonts w:ascii="Georgia" w:hAnsi="Georgia"/>
          <w:bCs/>
        </w:rPr>
        <w:t xml:space="preserve"> Troops? Neighbourhood Watch Schemes and the Search for ‘Ordinary’ Thatcherism in 1980s Britain,’ </w:t>
      </w:r>
      <w:r w:rsidRPr="00EF1AEE">
        <w:rPr>
          <w:rFonts w:ascii="Georgia" w:hAnsi="Georgia"/>
          <w:i/>
        </w:rPr>
        <w:t>Contemporary British History</w:t>
      </w:r>
      <w:r w:rsidRPr="00EF1AEE">
        <w:rPr>
          <w:rFonts w:ascii="Georgia" w:hAnsi="Georgia"/>
        </w:rPr>
        <w:t>, 31:2 (2016) pp. 230–255.</w:t>
      </w:r>
      <w:r>
        <w:rPr>
          <w:rFonts w:ascii="Georgia" w:hAnsi="Georgia"/>
        </w:rPr>
        <w:t xml:space="preserve"> </w:t>
      </w:r>
      <w:r w:rsidR="004D0301" w:rsidRPr="00EF1AEE">
        <w:rPr>
          <w:rFonts w:ascii="Georgia" w:hAnsi="Georgia"/>
          <w:b/>
          <w:bCs/>
        </w:rPr>
        <w:t>Of interest to students of late 20</w:t>
      </w:r>
      <w:r w:rsidR="004D0301" w:rsidRPr="00EF1AEE">
        <w:rPr>
          <w:rFonts w:ascii="Georgia" w:hAnsi="Georgia"/>
          <w:b/>
          <w:bCs/>
          <w:vertAlign w:val="superscript"/>
        </w:rPr>
        <w:t>th</w:t>
      </w:r>
      <w:r w:rsidR="004D0301" w:rsidRPr="00EF1AEE">
        <w:rPr>
          <w:rFonts w:ascii="Georgia" w:hAnsi="Georgia"/>
          <w:b/>
          <w:bCs/>
        </w:rPr>
        <w:t>-century Britain.</w:t>
      </w:r>
    </w:p>
    <w:p w:rsidR="00C73FE2" w:rsidRPr="00C73FE2" w:rsidRDefault="00C73FE2" w:rsidP="00C73FE2">
      <w:pPr>
        <w:pStyle w:val="ListParagraph"/>
        <w:spacing w:after="0" w:line="360" w:lineRule="auto"/>
        <w:ind w:left="360"/>
        <w:jc w:val="both"/>
        <w:rPr>
          <w:rFonts w:ascii="Georgia" w:hAnsi="Georgia"/>
        </w:rPr>
      </w:pPr>
    </w:p>
    <w:p w:rsidR="005B2B5A" w:rsidRPr="00C73FE2" w:rsidRDefault="0041093B" w:rsidP="0041093B">
      <w:pPr>
        <w:spacing w:after="0" w:line="360" w:lineRule="auto"/>
        <w:jc w:val="both"/>
        <w:rPr>
          <w:rFonts w:ascii="Georgia" w:hAnsi="Georgia"/>
          <w:u w:val="single"/>
        </w:rPr>
      </w:pPr>
      <w:r w:rsidRPr="00C73FE2">
        <w:rPr>
          <w:rFonts w:ascii="Georgia" w:hAnsi="Georgia"/>
          <w:u w:val="single"/>
        </w:rPr>
        <w:t>Questions to consider:</w:t>
      </w:r>
    </w:p>
    <w:p w:rsidR="0041093B" w:rsidRPr="00C73FE2" w:rsidRDefault="0041093B" w:rsidP="0041093B">
      <w:pPr>
        <w:pStyle w:val="Alex"/>
        <w:rPr>
          <w:rFonts w:ascii="Georgia" w:hAnsi="Georgia"/>
          <w:b/>
          <w:u w:val="single"/>
        </w:rPr>
      </w:pPr>
      <w:r w:rsidRPr="00C73FE2">
        <w:rPr>
          <w:rFonts w:ascii="Georgia" w:hAnsi="Georgia"/>
          <w:b/>
          <w:u w:val="single"/>
        </w:rPr>
        <w:t>General</w:t>
      </w:r>
    </w:p>
    <w:p w:rsidR="0041093B" w:rsidRPr="00C73FE2" w:rsidRDefault="0041093B" w:rsidP="0041093B">
      <w:pPr>
        <w:pStyle w:val="ListParagraph"/>
        <w:numPr>
          <w:ilvl w:val="0"/>
          <w:numId w:val="4"/>
        </w:numPr>
        <w:spacing w:after="0" w:line="360" w:lineRule="auto"/>
        <w:jc w:val="both"/>
        <w:rPr>
          <w:rFonts w:ascii="Georgia" w:hAnsi="Georgia"/>
          <w:u w:val="single"/>
        </w:rPr>
      </w:pPr>
      <w:r w:rsidRPr="00C73FE2">
        <w:rPr>
          <w:rFonts w:ascii="Georgia" w:hAnsi="Georgia"/>
          <w:b/>
        </w:rPr>
        <w:t>What are the distinctive characteristics of Social and Cultural History? Is a definition of either achievable?</w:t>
      </w:r>
    </w:p>
    <w:p w:rsidR="00C73FE2" w:rsidRPr="00C73FE2" w:rsidRDefault="00C73FE2" w:rsidP="00C73FE2">
      <w:pPr>
        <w:pStyle w:val="ListParagraph"/>
        <w:spacing w:after="0" w:line="360" w:lineRule="auto"/>
        <w:ind w:left="360"/>
        <w:jc w:val="both"/>
        <w:rPr>
          <w:rFonts w:ascii="Georgia" w:hAnsi="Georgia"/>
          <w:u w:val="single"/>
        </w:rPr>
      </w:pPr>
    </w:p>
    <w:p w:rsidR="0041093B" w:rsidRPr="00C73FE2" w:rsidRDefault="0041093B" w:rsidP="0041093B">
      <w:pPr>
        <w:pStyle w:val="ListParagraph"/>
        <w:numPr>
          <w:ilvl w:val="0"/>
          <w:numId w:val="4"/>
        </w:numPr>
        <w:spacing w:after="0" w:line="360" w:lineRule="auto"/>
        <w:jc w:val="both"/>
        <w:rPr>
          <w:rFonts w:ascii="Georgia" w:hAnsi="Georgia"/>
          <w:b/>
        </w:rPr>
      </w:pPr>
      <w:r w:rsidRPr="00C73FE2">
        <w:rPr>
          <w:rFonts w:ascii="Georgia" w:hAnsi="Georgia"/>
          <w:b/>
        </w:rPr>
        <w:t>To what extent are Social and Cultural History distinguishable from one another?</w:t>
      </w:r>
    </w:p>
    <w:p w:rsidR="0041093B" w:rsidRPr="00C73FE2" w:rsidRDefault="0041093B" w:rsidP="0041093B">
      <w:pPr>
        <w:pStyle w:val="ListParagraph"/>
        <w:numPr>
          <w:ilvl w:val="0"/>
          <w:numId w:val="4"/>
        </w:numPr>
        <w:spacing w:after="0" w:line="360" w:lineRule="auto"/>
        <w:jc w:val="both"/>
        <w:rPr>
          <w:rFonts w:ascii="Georgia" w:hAnsi="Georgia"/>
          <w:u w:val="single"/>
        </w:rPr>
      </w:pPr>
      <w:r w:rsidRPr="00C73FE2">
        <w:rPr>
          <w:rFonts w:ascii="Georgia" w:hAnsi="Georgia"/>
          <w:b/>
        </w:rPr>
        <w:t>How have Social and Cultural History developed since their initial flowering in the post-WWII era?</w:t>
      </w:r>
    </w:p>
    <w:p w:rsidR="00C73FE2" w:rsidRPr="00C73FE2" w:rsidRDefault="00C73FE2" w:rsidP="00C73FE2">
      <w:pPr>
        <w:pStyle w:val="ListParagraph"/>
        <w:spacing w:after="0" w:line="360" w:lineRule="auto"/>
        <w:ind w:left="360"/>
        <w:jc w:val="both"/>
        <w:rPr>
          <w:rFonts w:ascii="Georgia" w:hAnsi="Georgia"/>
          <w:u w:val="single"/>
        </w:rPr>
      </w:pPr>
    </w:p>
    <w:p w:rsidR="0041093B" w:rsidRPr="00C73FE2" w:rsidRDefault="0041093B" w:rsidP="0041093B">
      <w:pPr>
        <w:pStyle w:val="ListParagraph"/>
        <w:numPr>
          <w:ilvl w:val="0"/>
          <w:numId w:val="4"/>
        </w:numPr>
        <w:spacing w:after="0" w:line="360" w:lineRule="auto"/>
        <w:jc w:val="both"/>
        <w:rPr>
          <w:rFonts w:ascii="Georgia" w:hAnsi="Georgia"/>
          <w:u w:val="single"/>
        </w:rPr>
      </w:pPr>
      <w:r w:rsidRPr="00C73FE2">
        <w:rPr>
          <w:rFonts w:ascii="Georgia" w:hAnsi="Georgia"/>
          <w:b/>
        </w:rPr>
        <w:t>What are the strengths and weaknesses – potentialities and problems – of Social and Cultural History as approaches to studying the past? Do you have a preference for either one, and if so why?</w:t>
      </w:r>
    </w:p>
    <w:p w:rsidR="0041093B" w:rsidRPr="00C73FE2" w:rsidRDefault="0041093B" w:rsidP="0041093B">
      <w:pPr>
        <w:pStyle w:val="Alex"/>
        <w:rPr>
          <w:rFonts w:ascii="Georgia" w:hAnsi="Georgia"/>
          <w:b/>
          <w:u w:val="single"/>
        </w:rPr>
      </w:pPr>
    </w:p>
    <w:p w:rsidR="0041093B" w:rsidRPr="00C73FE2" w:rsidRDefault="0041093B" w:rsidP="0041093B">
      <w:pPr>
        <w:pStyle w:val="Alex"/>
        <w:rPr>
          <w:rFonts w:ascii="Georgia" w:hAnsi="Georgia"/>
          <w:b/>
          <w:u w:val="single"/>
        </w:rPr>
      </w:pPr>
      <w:r w:rsidRPr="00C73FE2">
        <w:rPr>
          <w:rFonts w:ascii="Georgia" w:hAnsi="Georgia"/>
          <w:b/>
          <w:u w:val="single"/>
        </w:rPr>
        <w:t>Essential overviews</w:t>
      </w:r>
    </w:p>
    <w:p w:rsidR="0041093B" w:rsidRPr="00C73FE2" w:rsidRDefault="0041093B" w:rsidP="0041093B">
      <w:pPr>
        <w:pStyle w:val="ListParagraph"/>
        <w:numPr>
          <w:ilvl w:val="0"/>
          <w:numId w:val="4"/>
        </w:numPr>
        <w:spacing w:after="0" w:line="360" w:lineRule="auto"/>
        <w:jc w:val="both"/>
        <w:rPr>
          <w:rFonts w:ascii="Georgia" w:hAnsi="Georgia"/>
          <w:u w:val="single"/>
        </w:rPr>
      </w:pPr>
      <w:r w:rsidRPr="00C73FE2">
        <w:rPr>
          <w:rFonts w:ascii="Georgia" w:hAnsi="Georgia"/>
          <w:b/>
        </w:rPr>
        <w:t>What do the authors identify as the distinctive characteristics of Social and Cultural History? Do they offer any definitions of these two approaches?</w:t>
      </w:r>
    </w:p>
    <w:p w:rsidR="00C73FE2" w:rsidRPr="00C73FE2" w:rsidRDefault="00C73FE2" w:rsidP="00C73FE2">
      <w:pPr>
        <w:pStyle w:val="ListParagraph"/>
        <w:spacing w:after="0" w:line="360" w:lineRule="auto"/>
        <w:ind w:left="360"/>
        <w:jc w:val="both"/>
        <w:rPr>
          <w:rFonts w:ascii="Georgia" w:hAnsi="Georgia"/>
          <w:u w:val="single"/>
        </w:rPr>
      </w:pPr>
    </w:p>
    <w:p w:rsidR="0041093B" w:rsidRPr="00C73FE2" w:rsidRDefault="00C73FE2" w:rsidP="0041093B">
      <w:pPr>
        <w:pStyle w:val="ListParagraph"/>
        <w:numPr>
          <w:ilvl w:val="0"/>
          <w:numId w:val="4"/>
        </w:numPr>
        <w:spacing w:after="0" w:line="360" w:lineRule="auto"/>
        <w:jc w:val="both"/>
        <w:rPr>
          <w:rFonts w:ascii="Georgia" w:hAnsi="Georgia"/>
          <w:u w:val="single"/>
        </w:rPr>
      </w:pPr>
      <w:r>
        <w:rPr>
          <w:rFonts w:ascii="Georgia" w:hAnsi="Georgia"/>
          <w:b/>
        </w:rPr>
        <w:t>Based on the readings, w</w:t>
      </w:r>
      <w:r w:rsidR="0041093B" w:rsidRPr="00C73FE2">
        <w:rPr>
          <w:rFonts w:ascii="Georgia" w:hAnsi="Georgia"/>
          <w:b/>
        </w:rPr>
        <w:t>hat – if anything – distinguishes Social and Cultural History from one another?</w:t>
      </w:r>
    </w:p>
    <w:p w:rsidR="0041093B" w:rsidRPr="00C73FE2" w:rsidRDefault="0041093B" w:rsidP="0041093B">
      <w:pPr>
        <w:spacing w:after="0" w:line="360" w:lineRule="auto"/>
        <w:jc w:val="both"/>
        <w:rPr>
          <w:rFonts w:ascii="Georgia" w:hAnsi="Georgia"/>
          <w:u w:val="single"/>
        </w:rPr>
      </w:pPr>
    </w:p>
    <w:p w:rsidR="005B2B5A" w:rsidRPr="00C73FE2" w:rsidRDefault="0041093B" w:rsidP="0041093B">
      <w:pPr>
        <w:spacing w:after="0" w:line="360" w:lineRule="auto"/>
        <w:jc w:val="both"/>
        <w:rPr>
          <w:rFonts w:ascii="Georgia" w:hAnsi="Georgia"/>
          <w:b/>
          <w:u w:val="single"/>
        </w:rPr>
      </w:pPr>
      <w:r w:rsidRPr="00C73FE2">
        <w:rPr>
          <w:rFonts w:ascii="Georgia" w:hAnsi="Georgia"/>
          <w:b/>
          <w:u w:val="single"/>
        </w:rPr>
        <w:lastRenderedPageBreak/>
        <w:t>Hilton or Thompson</w:t>
      </w:r>
    </w:p>
    <w:p w:rsidR="00E7344D" w:rsidRPr="00C73FE2" w:rsidRDefault="0041093B" w:rsidP="00B064DF">
      <w:pPr>
        <w:pStyle w:val="NoSpacing"/>
        <w:numPr>
          <w:ilvl w:val="0"/>
          <w:numId w:val="5"/>
        </w:numPr>
        <w:spacing w:line="360" w:lineRule="auto"/>
        <w:jc w:val="both"/>
        <w:rPr>
          <w:rFonts w:ascii="Georgia" w:hAnsi="Georgia"/>
          <w:b/>
        </w:rPr>
      </w:pPr>
      <w:r w:rsidRPr="00C73FE2">
        <w:rPr>
          <w:rFonts w:ascii="Georgia" w:hAnsi="Georgia"/>
          <w:b/>
        </w:rPr>
        <w:t>Both Hilton and Thompson were early adopters of Social History theories and approaches,</w:t>
      </w:r>
      <w:r w:rsidR="00C73FE2">
        <w:rPr>
          <w:rFonts w:ascii="Georgia" w:hAnsi="Georgia"/>
          <w:b/>
        </w:rPr>
        <w:t xml:space="preserve"> and were </w:t>
      </w:r>
      <w:r w:rsidRPr="00C73FE2">
        <w:rPr>
          <w:rFonts w:ascii="Georgia" w:hAnsi="Georgia"/>
          <w:b/>
        </w:rPr>
        <w:t>committed to ‘history from below.’ With this in mind, how might their essays exemplify the key features of Social History as a distinct approach?</w:t>
      </w:r>
    </w:p>
    <w:p w:rsidR="0041093B" w:rsidRPr="00C73FE2" w:rsidRDefault="0041093B" w:rsidP="00B064DF">
      <w:pPr>
        <w:pStyle w:val="NoSpacing"/>
        <w:spacing w:line="360" w:lineRule="auto"/>
        <w:jc w:val="both"/>
        <w:rPr>
          <w:rFonts w:ascii="Georgia" w:hAnsi="Georgia"/>
          <w:b/>
        </w:rPr>
      </w:pPr>
    </w:p>
    <w:p w:rsidR="0041093B" w:rsidRPr="00C73FE2" w:rsidRDefault="0041093B" w:rsidP="00B064DF">
      <w:pPr>
        <w:pStyle w:val="NoSpacing"/>
        <w:numPr>
          <w:ilvl w:val="0"/>
          <w:numId w:val="5"/>
        </w:numPr>
        <w:spacing w:line="360" w:lineRule="auto"/>
        <w:jc w:val="both"/>
        <w:rPr>
          <w:rFonts w:ascii="Georgia" w:hAnsi="Georgia"/>
          <w:b/>
        </w:rPr>
      </w:pPr>
      <w:r w:rsidRPr="00C73FE2">
        <w:rPr>
          <w:rFonts w:ascii="Georgia" w:hAnsi="Georgia"/>
          <w:b/>
        </w:rPr>
        <w:t>Both Hilton and Thompson</w:t>
      </w:r>
      <w:r w:rsidRPr="00C73FE2">
        <w:rPr>
          <w:rFonts w:ascii="Georgia" w:hAnsi="Georgia"/>
        </w:rPr>
        <w:t xml:space="preserve"> </w:t>
      </w:r>
      <w:r w:rsidR="00B064DF" w:rsidRPr="00C73FE2">
        <w:rPr>
          <w:rFonts w:ascii="Georgia" w:hAnsi="Georgia"/>
          <w:b/>
        </w:rPr>
        <w:t>acknowledged the influence of Marx and Marxism on their outlook on the past. In what ways might the essays exemplify this? Are there</w:t>
      </w:r>
      <w:r w:rsidR="00C73FE2">
        <w:rPr>
          <w:rFonts w:ascii="Georgia" w:hAnsi="Georgia"/>
          <w:b/>
        </w:rPr>
        <w:t xml:space="preserve"> any </w:t>
      </w:r>
      <w:r w:rsidR="00B064DF" w:rsidRPr="00C73FE2">
        <w:rPr>
          <w:rFonts w:ascii="Georgia" w:hAnsi="Georgia"/>
          <w:b/>
        </w:rPr>
        <w:t>examples where they interpret their topic in a decidedly ‘Marxist’ fashion? Conversely, are there instances where they deviate from orthodox Marxist philosophies of history?</w:t>
      </w:r>
    </w:p>
    <w:p w:rsidR="00B064DF" w:rsidRPr="00C73FE2" w:rsidRDefault="00B064DF" w:rsidP="00B064DF">
      <w:pPr>
        <w:pStyle w:val="ListParagraph"/>
        <w:rPr>
          <w:rFonts w:ascii="Georgia" w:hAnsi="Georgia"/>
          <w:b/>
        </w:rPr>
      </w:pPr>
    </w:p>
    <w:p w:rsidR="00B064DF" w:rsidRPr="00C73FE2" w:rsidRDefault="00B064DF" w:rsidP="00B064DF">
      <w:pPr>
        <w:pStyle w:val="NoSpacing"/>
        <w:numPr>
          <w:ilvl w:val="0"/>
          <w:numId w:val="5"/>
        </w:numPr>
        <w:spacing w:line="360" w:lineRule="auto"/>
        <w:jc w:val="both"/>
        <w:rPr>
          <w:rFonts w:ascii="Georgia" w:hAnsi="Georgia"/>
          <w:b/>
        </w:rPr>
      </w:pPr>
      <w:r w:rsidRPr="00C73FE2">
        <w:rPr>
          <w:rFonts w:ascii="Georgia" w:hAnsi="Georgia"/>
          <w:b/>
        </w:rPr>
        <w:t xml:space="preserve">Both Hilton and Thompson proved influential amongst contemporaries and on subsequent generations of historians. Why do you think this was? What was attractive and insightful about their approach to history? How might their ideas have differed from earlier interpretations of the past? How might their ideas have opened up new intellectual horizons for scholars and students? </w:t>
      </w:r>
    </w:p>
    <w:p w:rsidR="00B064DF" w:rsidRPr="00C73FE2" w:rsidRDefault="00B064DF" w:rsidP="00B064DF">
      <w:pPr>
        <w:pStyle w:val="NoSpacing"/>
        <w:spacing w:line="360" w:lineRule="auto"/>
        <w:ind w:left="360"/>
        <w:jc w:val="both"/>
        <w:rPr>
          <w:rFonts w:ascii="Georgia" w:hAnsi="Georgia"/>
          <w:b/>
        </w:rPr>
      </w:pPr>
    </w:p>
    <w:p w:rsidR="00B064DF" w:rsidRPr="00C73FE2" w:rsidRDefault="00B064DF" w:rsidP="00B064DF">
      <w:pPr>
        <w:pStyle w:val="NoSpacing"/>
        <w:numPr>
          <w:ilvl w:val="0"/>
          <w:numId w:val="5"/>
        </w:numPr>
        <w:spacing w:line="360" w:lineRule="auto"/>
        <w:jc w:val="both"/>
        <w:rPr>
          <w:rFonts w:ascii="Georgia" w:hAnsi="Georgia"/>
          <w:b/>
        </w:rPr>
      </w:pPr>
      <w:r w:rsidRPr="00C73FE2">
        <w:rPr>
          <w:rFonts w:ascii="Georgia" w:hAnsi="Georgia"/>
          <w:b/>
        </w:rPr>
        <w:t xml:space="preserve">What are the strengths and weaknesses of Hilton and Thompson’s essays? Do their ideas retain relevance and potency a half-century-plus after their original publication? Can you think of anything that might have been overlooked, ignored or excluded by Hilton and Thompson, and why might this be significant? Might their ideas about history have been as prescriptive/constrictive as they were innovative? </w:t>
      </w:r>
    </w:p>
    <w:p w:rsidR="00B064DF" w:rsidRPr="00C73FE2" w:rsidRDefault="00B064DF" w:rsidP="00B064DF">
      <w:pPr>
        <w:pStyle w:val="ListParagraph"/>
        <w:rPr>
          <w:rFonts w:ascii="Georgia" w:hAnsi="Georgia"/>
          <w:b/>
        </w:rPr>
      </w:pPr>
    </w:p>
    <w:p w:rsidR="00B064DF" w:rsidRPr="00C73FE2" w:rsidRDefault="00B064DF" w:rsidP="00B064DF">
      <w:pPr>
        <w:pStyle w:val="NoSpacing"/>
        <w:spacing w:line="360" w:lineRule="auto"/>
        <w:jc w:val="both"/>
        <w:rPr>
          <w:rFonts w:ascii="Georgia" w:hAnsi="Georgia"/>
          <w:b/>
          <w:u w:val="single"/>
        </w:rPr>
      </w:pPr>
      <w:r w:rsidRPr="00C73FE2">
        <w:rPr>
          <w:rFonts w:ascii="Georgia" w:hAnsi="Georgia"/>
          <w:b/>
          <w:u w:val="single"/>
        </w:rPr>
        <w:t xml:space="preserve">Cultural </w:t>
      </w:r>
      <w:r w:rsidR="009A0AAC">
        <w:rPr>
          <w:rFonts w:ascii="Georgia" w:hAnsi="Georgia"/>
          <w:b/>
          <w:u w:val="single"/>
        </w:rPr>
        <w:t>h</w:t>
      </w:r>
      <w:r w:rsidRPr="00C73FE2">
        <w:rPr>
          <w:rFonts w:ascii="Georgia" w:hAnsi="Georgia"/>
          <w:b/>
          <w:u w:val="single"/>
        </w:rPr>
        <w:t>istory</w:t>
      </w:r>
    </w:p>
    <w:p w:rsidR="00B064DF" w:rsidRPr="00C73FE2" w:rsidRDefault="00B064DF" w:rsidP="00B064DF">
      <w:pPr>
        <w:pStyle w:val="NoSpacing"/>
        <w:numPr>
          <w:ilvl w:val="0"/>
          <w:numId w:val="6"/>
        </w:numPr>
        <w:spacing w:line="360" w:lineRule="auto"/>
        <w:jc w:val="both"/>
        <w:rPr>
          <w:rFonts w:ascii="Georgia" w:hAnsi="Georgia"/>
          <w:b/>
        </w:rPr>
      </w:pPr>
      <w:r w:rsidRPr="00C73FE2">
        <w:rPr>
          <w:rFonts w:ascii="Georgia" w:hAnsi="Georgia"/>
          <w:b/>
        </w:rPr>
        <w:t>What are the key themes and arguments of your chosen reading?</w:t>
      </w:r>
      <w:r w:rsidR="00C73FE2" w:rsidRPr="00C73FE2">
        <w:rPr>
          <w:rFonts w:ascii="Georgia" w:hAnsi="Georgia"/>
          <w:b/>
        </w:rPr>
        <w:t xml:space="preserve"> What are the key strengths and weaknesses of the reading?</w:t>
      </w:r>
      <w:r w:rsidR="00C73FE2">
        <w:rPr>
          <w:rFonts w:ascii="Georgia" w:hAnsi="Georgia"/>
          <w:b/>
        </w:rPr>
        <w:t xml:space="preserve"> What did you learn from completing the reading? Was the reading strange or surprising in any way?</w:t>
      </w:r>
    </w:p>
    <w:p w:rsidR="00B064DF" w:rsidRPr="00C73FE2" w:rsidRDefault="00B064DF" w:rsidP="00B064DF">
      <w:pPr>
        <w:pStyle w:val="NoSpacing"/>
        <w:spacing w:line="360" w:lineRule="auto"/>
        <w:ind w:left="360"/>
        <w:jc w:val="both"/>
        <w:rPr>
          <w:rFonts w:ascii="Georgia" w:hAnsi="Georgia"/>
          <w:b/>
        </w:rPr>
      </w:pPr>
    </w:p>
    <w:p w:rsidR="00B064DF" w:rsidRPr="00C73FE2" w:rsidRDefault="00B064DF" w:rsidP="00B064DF">
      <w:pPr>
        <w:pStyle w:val="NoSpacing"/>
        <w:numPr>
          <w:ilvl w:val="0"/>
          <w:numId w:val="6"/>
        </w:numPr>
        <w:spacing w:line="360" w:lineRule="auto"/>
        <w:jc w:val="both"/>
        <w:rPr>
          <w:rFonts w:ascii="Georgia" w:hAnsi="Georgia"/>
          <w:b/>
        </w:rPr>
      </w:pPr>
      <w:r w:rsidRPr="00C73FE2">
        <w:rPr>
          <w:rFonts w:ascii="Georgia" w:hAnsi="Georgia"/>
          <w:b/>
        </w:rPr>
        <w:t xml:space="preserve">All of the selected readings to some extent deviate from what have been </w:t>
      </w:r>
      <w:r w:rsidR="00C73FE2">
        <w:rPr>
          <w:rFonts w:ascii="Georgia" w:hAnsi="Georgia"/>
          <w:b/>
        </w:rPr>
        <w:t xml:space="preserve">regarded as </w:t>
      </w:r>
      <w:r w:rsidRPr="00C73FE2">
        <w:rPr>
          <w:rFonts w:ascii="Georgia" w:hAnsi="Georgia"/>
          <w:b/>
        </w:rPr>
        <w:t>traditional subjects of enquiry for historians</w:t>
      </w:r>
      <w:r w:rsidR="00C73FE2" w:rsidRPr="00C73FE2">
        <w:rPr>
          <w:rFonts w:ascii="Georgia" w:hAnsi="Georgia"/>
          <w:b/>
        </w:rPr>
        <w:t xml:space="preserve">. Why </w:t>
      </w:r>
      <w:r w:rsidR="00C73FE2">
        <w:rPr>
          <w:rFonts w:ascii="Georgia" w:hAnsi="Georgia"/>
          <w:b/>
        </w:rPr>
        <w:t xml:space="preserve">(and how) </w:t>
      </w:r>
      <w:r w:rsidR="00C73FE2" w:rsidRPr="00C73FE2">
        <w:rPr>
          <w:rFonts w:ascii="Georgia" w:hAnsi="Georgia"/>
          <w:b/>
        </w:rPr>
        <w:t xml:space="preserve">do you think the authors chose their particular topic? What did they want to achieve by </w:t>
      </w:r>
      <w:r w:rsidR="00C73FE2">
        <w:rPr>
          <w:rFonts w:ascii="Georgia" w:hAnsi="Georgia"/>
          <w:b/>
        </w:rPr>
        <w:t xml:space="preserve">focusing on their </w:t>
      </w:r>
      <w:r w:rsidR="00C73FE2" w:rsidRPr="00C73FE2">
        <w:rPr>
          <w:rFonts w:ascii="Georgia" w:hAnsi="Georgia"/>
          <w:b/>
        </w:rPr>
        <w:t>cho</w:t>
      </w:r>
      <w:r w:rsidR="00C73FE2">
        <w:rPr>
          <w:rFonts w:ascii="Georgia" w:hAnsi="Georgia"/>
          <w:b/>
        </w:rPr>
        <w:t xml:space="preserve">sen </w:t>
      </w:r>
      <w:r w:rsidR="00C73FE2" w:rsidRPr="00C73FE2">
        <w:rPr>
          <w:rFonts w:ascii="Georgia" w:hAnsi="Georgia"/>
          <w:b/>
        </w:rPr>
        <w:t>topic, and what insights might they have hoped to yield by doing so?</w:t>
      </w:r>
    </w:p>
    <w:bookmarkEnd w:id="0"/>
    <w:p w:rsidR="00C73FE2" w:rsidRPr="00C73FE2" w:rsidRDefault="00C73FE2" w:rsidP="00C73FE2">
      <w:pPr>
        <w:pStyle w:val="ListParagraph"/>
        <w:rPr>
          <w:rFonts w:ascii="Georgia" w:hAnsi="Georgia"/>
          <w:b/>
        </w:rPr>
      </w:pPr>
    </w:p>
    <w:p w:rsidR="00C73FE2" w:rsidRPr="00C73FE2" w:rsidRDefault="00C73FE2" w:rsidP="00B064DF">
      <w:pPr>
        <w:pStyle w:val="NoSpacing"/>
        <w:numPr>
          <w:ilvl w:val="0"/>
          <w:numId w:val="6"/>
        </w:numPr>
        <w:spacing w:line="360" w:lineRule="auto"/>
        <w:jc w:val="both"/>
        <w:rPr>
          <w:rFonts w:ascii="Georgia" w:hAnsi="Georgia"/>
          <w:b/>
        </w:rPr>
      </w:pPr>
      <w:r w:rsidRPr="00C73FE2">
        <w:rPr>
          <w:rFonts w:ascii="Georgia" w:hAnsi="Georgia"/>
          <w:b/>
        </w:rPr>
        <w:t xml:space="preserve">All of the selected readings to some extent deviate from what have been </w:t>
      </w:r>
      <w:r>
        <w:rPr>
          <w:rFonts w:ascii="Georgia" w:hAnsi="Georgia"/>
          <w:b/>
        </w:rPr>
        <w:t xml:space="preserve">regarded as </w:t>
      </w:r>
      <w:r w:rsidRPr="00C73FE2">
        <w:rPr>
          <w:rFonts w:ascii="Georgia" w:hAnsi="Georgia"/>
          <w:b/>
        </w:rPr>
        <w:t xml:space="preserve">traditional subjects of enquiry for historians. How do the essays expand, complicate or nuance understandings of their chosen topic and/or time period? What extra is to be gained by focusing on previously-overlooked or neglected aspects of the past? How do the essays expand, complicate or nuance understandings of history more generally? </w:t>
      </w:r>
      <w:r>
        <w:rPr>
          <w:rFonts w:ascii="Georgia" w:hAnsi="Georgia"/>
          <w:b/>
        </w:rPr>
        <w:t>Conversely, w</w:t>
      </w:r>
      <w:r w:rsidRPr="00C73FE2">
        <w:rPr>
          <w:rFonts w:ascii="Georgia" w:hAnsi="Georgia"/>
          <w:b/>
        </w:rPr>
        <w:t>hat are the limitations of cultural history approaches and theories?</w:t>
      </w:r>
      <w:r>
        <w:rPr>
          <w:rFonts w:ascii="Georgia" w:hAnsi="Georgia"/>
          <w:b/>
        </w:rPr>
        <w:t xml:space="preserve"> Does cultural history amount to more than </w:t>
      </w:r>
      <w:r w:rsidR="009A0AAC">
        <w:rPr>
          <w:rFonts w:ascii="Georgia" w:hAnsi="Georgia"/>
          <w:b/>
        </w:rPr>
        <w:t>antiquarianism and/or historical ‘trainspotting’?</w:t>
      </w:r>
    </w:p>
    <w:p w:rsidR="00C73FE2" w:rsidRPr="00C73FE2" w:rsidRDefault="00C73FE2" w:rsidP="00C73FE2">
      <w:pPr>
        <w:pStyle w:val="NoSpacing"/>
        <w:spacing w:line="360" w:lineRule="auto"/>
        <w:ind w:left="360"/>
        <w:jc w:val="both"/>
        <w:rPr>
          <w:rFonts w:ascii="Georgia" w:hAnsi="Georgia"/>
          <w:b/>
        </w:rPr>
      </w:pPr>
    </w:p>
    <w:sectPr w:rsidR="00C73FE2" w:rsidRPr="00C73F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C5637"/>
    <w:multiLevelType w:val="hybridMultilevel"/>
    <w:tmpl w:val="D758F9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8F777B6"/>
    <w:multiLevelType w:val="hybridMultilevel"/>
    <w:tmpl w:val="B91C0C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0701ACE"/>
    <w:multiLevelType w:val="hybridMultilevel"/>
    <w:tmpl w:val="5DDC3E9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27257D8D"/>
    <w:multiLevelType w:val="hybridMultilevel"/>
    <w:tmpl w:val="3A3ED5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AFF7EB4"/>
    <w:multiLevelType w:val="hybridMultilevel"/>
    <w:tmpl w:val="4508B0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13F09B7"/>
    <w:multiLevelType w:val="hybridMultilevel"/>
    <w:tmpl w:val="A8BCA0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8ED638C"/>
    <w:multiLevelType w:val="hybridMultilevel"/>
    <w:tmpl w:val="6EC601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6"/>
  </w:num>
  <w:num w:numId="3">
    <w:abstractNumId w:val="3"/>
  </w:num>
  <w:num w:numId="4">
    <w:abstractNumId w:val="5"/>
  </w:num>
  <w:num w:numId="5">
    <w:abstractNumId w:val="0"/>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3284"/>
    <w:rsid w:val="00030711"/>
    <w:rsid w:val="00200474"/>
    <w:rsid w:val="002649A4"/>
    <w:rsid w:val="00272DF0"/>
    <w:rsid w:val="003516F7"/>
    <w:rsid w:val="0041093B"/>
    <w:rsid w:val="004D0301"/>
    <w:rsid w:val="005B2B5A"/>
    <w:rsid w:val="005E1862"/>
    <w:rsid w:val="007C5BDA"/>
    <w:rsid w:val="007D0207"/>
    <w:rsid w:val="009A0AAC"/>
    <w:rsid w:val="009E3284"/>
    <w:rsid w:val="00B064DF"/>
    <w:rsid w:val="00B65FE1"/>
    <w:rsid w:val="00C73FE2"/>
    <w:rsid w:val="00D30193"/>
    <w:rsid w:val="00E7344D"/>
    <w:rsid w:val="00EF1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4625B"/>
  <w15:docId w15:val="{B338402A-4B32-4194-BF94-F3A97929A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ListParagraph">
    <w:name w:val="List Paragraph"/>
    <w:basedOn w:val="Normal"/>
    <w:link w:val="ListParagraphChar"/>
    <w:uiPriority w:val="34"/>
    <w:qFormat/>
    <w:rsid w:val="009E3284"/>
    <w:pPr>
      <w:ind w:left="720"/>
      <w:contextualSpacing/>
    </w:pPr>
  </w:style>
  <w:style w:type="character" w:styleId="Hyperlink">
    <w:name w:val="Hyperlink"/>
    <w:basedOn w:val="DefaultParagraphFont"/>
    <w:uiPriority w:val="99"/>
    <w:unhideWhenUsed/>
    <w:rsid w:val="007D0207"/>
    <w:rPr>
      <w:color w:val="0000FF" w:themeColor="hyperlink"/>
      <w:u w:val="single"/>
    </w:rPr>
  </w:style>
  <w:style w:type="character" w:customStyle="1" w:styleId="ListParagraphChar">
    <w:name w:val="List Paragraph Char"/>
    <w:link w:val="ListParagraph"/>
    <w:uiPriority w:val="34"/>
    <w:qFormat/>
    <w:locked/>
    <w:rsid w:val="004D03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story.ac.uk/makinghistory/resources/articles/social_history.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1359</Words>
  <Characters>7748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2</cp:revision>
  <dcterms:created xsi:type="dcterms:W3CDTF">2019-02-06T12:09:00Z</dcterms:created>
  <dcterms:modified xsi:type="dcterms:W3CDTF">2019-02-06T12:09:00Z</dcterms:modified>
</cp:coreProperties>
</file>