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41AA71C" w14:textId="77777777" w:rsidR="00006F75" w:rsidRDefault="00006F75" w:rsidP="00006F7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Charlotte Hopwood</w:t>
            </w:r>
          </w:p>
          <w:p w14:paraId="3D89E3AB" w14:textId="77777777" w:rsidR="00006F75" w:rsidRDefault="00006F75" w:rsidP="00006F75">
            <w:pPr>
              <w:overflowPunct/>
              <w:autoSpaceDE/>
              <w:autoSpaceDN/>
              <w:adjustRightInd/>
              <w:ind w:right="-957"/>
              <w:textAlignment w:val="auto"/>
              <w:rPr>
                <w:rFonts w:ascii="Times New Roman" w:hAnsi="Times New Roman" w:cs="Times New Roman"/>
                <w:b/>
                <w:color w:val="auto"/>
                <w:sz w:val="48"/>
              </w:rPr>
            </w:pPr>
          </w:p>
          <w:p w14:paraId="6DEFF2C2" w14:textId="77777777" w:rsidR="00006F75" w:rsidRDefault="00006F75" w:rsidP="00006F7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2221514@student.uwtsd.ac.uk</w:t>
            </w:r>
          </w:p>
          <w:p w14:paraId="2940DBF0" w14:textId="77777777" w:rsidR="00006F75" w:rsidRDefault="00006F75" w:rsidP="00006F75">
            <w:pPr>
              <w:overflowPunct/>
              <w:autoSpaceDE/>
              <w:autoSpaceDN/>
              <w:adjustRightInd/>
              <w:ind w:right="-957"/>
              <w:textAlignment w:val="auto"/>
              <w:rPr>
                <w:rFonts w:ascii="Times New Roman" w:hAnsi="Times New Roman" w:cs="Times New Roman"/>
                <w:b/>
                <w:color w:val="auto"/>
                <w:sz w:val="48"/>
              </w:rPr>
            </w:pPr>
          </w:p>
          <w:p w14:paraId="3842498D" w14:textId="77777777" w:rsidR="00006F75" w:rsidRPr="005D3F07" w:rsidRDefault="00006F75" w:rsidP="00006F7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2221514</w:t>
            </w:r>
          </w:p>
          <w:p w14:paraId="620C6503" w14:textId="77777777" w:rsidR="00006F75" w:rsidRPr="005D3F07" w:rsidRDefault="00006F75" w:rsidP="00006F75">
            <w:pPr>
              <w:overflowPunct/>
              <w:autoSpaceDE/>
              <w:autoSpaceDN/>
              <w:adjustRightInd/>
              <w:ind w:right="-957"/>
              <w:textAlignment w:val="auto"/>
              <w:rPr>
                <w:rFonts w:ascii="Times New Roman" w:hAnsi="Times New Roman" w:cs="Times New Roman"/>
                <w:b/>
                <w:color w:val="auto"/>
                <w:sz w:val="48"/>
              </w:rPr>
            </w:pPr>
          </w:p>
          <w:p w14:paraId="5F84129B" w14:textId="108C062D" w:rsidR="0085230E" w:rsidRPr="005D3F07" w:rsidRDefault="00006F75" w:rsidP="00006F7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0C9BAB8C" w:rsidR="00FC0334" w:rsidRDefault="000E1CAB" w:rsidP="00EE24E8">
            <w:pPr>
              <w:spacing w:line="360" w:lineRule="auto"/>
              <w:jc w:val="both"/>
              <w:rPr>
                <w:sz w:val="24"/>
                <w:szCs w:val="24"/>
              </w:rPr>
            </w:pPr>
            <w:r>
              <w:rPr>
                <w:sz w:val="24"/>
                <w:szCs w:val="24"/>
              </w:rPr>
              <w:t xml:space="preserve">For this essay I will focus on adult safeguarding as this is not my usual area of work. Within Wales, Adult’s Safeguarding is underpinned by the Social Services and Wellbeing Act (Wales) 2014 (SSWBA, 2014). This Act focuses on safeguarding legislation for both children and adults within Wales and as a qualified social worker, I have a duty to safeguard all individuals who are at risk of harm. </w:t>
            </w:r>
            <w:r w:rsidR="004C6C66">
              <w:rPr>
                <w:sz w:val="24"/>
                <w:szCs w:val="24"/>
              </w:rPr>
              <w:t xml:space="preserve">When working with children, I also support the adults involved who may also need protecting from harm therefore, it is essential I have knowledge and understanding of the duties to safeguard adults as well. </w:t>
            </w:r>
          </w:p>
          <w:p w14:paraId="4B10C3BE" w14:textId="5D323E77" w:rsidR="004C6C66" w:rsidRDefault="004C6C66" w:rsidP="00EE24E8">
            <w:pPr>
              <w:spacing w:line="360" w:lineRule="auto"/>
              <w:jc w:val="both"/>
              <w:rPr>
                <w:sz w:val="24"/>
                <w:szCs w:val="24"/>
              </w:rPr>
            </w:pPr>
          </w:p>
          <w:p w14:paraId="6B935164" w14:textId="670B297C" w:rsidR="004C6C66" w:rsidRDefault="004C6C66" w:rsidP="00EE24E8">
            <w:pPr>
              <w:spacing w:line="360" w:lineRule="auto"/>
              <w:jc w:val="both"/>
              <w:rPr>
                <w:sz w:val="24"/>
                <w:szCs w:val="24"/>
              </w:rPr>
            </w:pPr>
            <w:r>
              <w:rPr>
                <w:sz w:val="24"/>
                <w:szCs w:val="24"/>
              </w:rPr>
              <w:t xml:space="preserve">Before the SSWBA (2014), adult safeguarding in Wales was underpinned by the Protection of Vulnerable Adults (POVA, 2004) within the Care Standard’s Act (2000) Section 7. This is still the case in England with adults safeguarding continuing to be underpinned by the Care Standard’s Act (2000). </w:t>
            </w:r>
            <w:r w:rsidR="00C9707B">
              <w:rPr>
                <w:sz w:val="24"/>
                <w:szCs w:val="24"/>
              </w:rPr>
              <w:t>This,</w:t>
            </w:r>
            <w:r>
              <w:rPr>
                <w:sz w:val="24"/>
                <w:szCs w:val="24"/>
              </w:rPr>
              <w:t xml:space="preserve"> however, does no</w:t>
            </w:r>
            <w:r w:rsidR="00FB7C88">
              <w:rPr>
                <w:sz w:val="24"/>
                <w:szCs w:val="24"/>
              </w:rPr>
              <w:t>t</w:t>
            </w:r>
            <w:r>
              <w:rPr>
                <w:sz w:val="24"/>
                <w:szCs w:val="24"/>
              </w:rPr>
              <w:t xml:space="preserve"> incorporate children’s safeguarding </w:t>
            </w:r>
            <w:r w:rsidR="00FB7C88">
              <w:rPr>
                <w:sz w:val="24"/>
                <w:szCs w:val="24"/>
              </w:rPr>
              <w:t>whi</w:t>
            </w:r>
            <w:r w:rsidR="00C9707B">
              <w:rPr>
                <w:sz w:val="24"/>
                <w:szCs w:val="24"/>
              </w:rPr>
              <w:t>ls</w:t>
            </w:r>
            <w:r w:rsidR="00FB7C88">
              <w:rPr>
                <w:sz w:val="24"/>
                <w:szCs w:val="24"/>
              </w:rPr>
              <w:t xml:space="preserve">t the SSWBA (2014) covers safeguarding for both adults and children in Wales. </w:t>
            </w:r>
          </w:p>
          <w:p w14:paraId="324372E8" w14:textId="10D3DDFD" w:rsidR="004C1AD7" w:rsidRDefault="004C1AD7" w:rsidP="00EE24E8">
            <w:pPr>
              <w:spacing w:line="360" w:lineRule="auto"/>
              <w:jc w:val="both"/>
              <w:rPr>
                <w:sz w:val="24"/>
                <w:szCs w:val="24"/>
              </w:rPr>
            </w:pPr>
          </w:p>
          <w:p w14:paraId="6FF60950" w14:textId="4EC472AD" w:rsidR="00B82321" w:rsidRDefault="004C1AD7" w:rsidP="00EE24E8">
            <w:pPr>
              <w:spacing w:line="360" w:lineRule="auto"/>
              <w:jc w:val="both"/>
              <w:rPr>
                <w:sz w:val="24"/>
                <w:szCs w:val="24"/>
              </w:rPr>
            </w:pPr>
            <w:r>
              <w:rPr>
                <w:sz w:val="24"/>
                <w:szCs w:val="24"/>
              </w:rPr>
              <w:t>The SSWBA (2014) came into force in 2016 with an aim to</w:t>
            </w:r>
            <w:r w:rsidR="00B82321">
              <w:rPr>
                <w:sz w:val="24"/>
                <w:szCs w:val="24"/>
              </w:rPr>
              <w:t xml:space="preserve"> bring together and modernise social services law to promote the wellbeing of those who need care and support (Welsh Government, 2015). </w:t>
            </w:r>
            <w:r w:rsidR="00D9487A">
              <w:rPr>
                <w:sz w:val="24"/>
                <w:szCs w:val="24"/>
              </w:rPr>
              <w:t xml:space="preserve">The Act is supported by regulations and codes of practice to help people and organisations work within the law. </w:t>
            </w:r>
            <w:r w:rsidR="00B82321">
              <w:rPr>
                <w:sz w:val="24"/>
                <w:szCs w:val="24"/>
              </w:rPr>
              <w:t>Part 7</w:t>
            </w:r>
            <w:r w:rsidR="008D4636">
              <w:rPr>
                <w:sz w:val="24"/>
                <w:szCs w:val="24"/>
              </w:rPr>
              <w:t xml:space="preserve"> section 126</w:t>
            </w:r>
            <w:r w:rsidR="00B82321">
              <w:rPr>
                <w:sz w:val="24"/>
                <w:szCs w:val="24"/>
              </w:rPr>
              <w:t xml:space="preserve"> of the</w:t>
            </w:r>
            <w:r w:rsidR="008D4636">
              <w:rPr>
                <w:sz w:val="24"/>
                <w:szCs w:val="24"/>
              </w:rPr>
              <w:t xml:space="preserve"> SSWBA defines an a</w:t>
            </w:r>
            <w:r w:rsidR="00B82321">
              <w:rPr>
                <w:sz w:val="24"/>
                <w:szCs w:val="24"/>
              </w:rPr>
              <w:t xml:space="preserve">dults at </w:t>
            </w:r>
            <w:r w:rsidR="008D4636">
              <w:rPr>
                <w:sz w:val="24"/>
                <w:szCs w:val="24"/>
              </w:rPr>
              <w:t>r</w:t>
            </w:r>
            <w:r w:rsidR="00B82321">
              <w:rPr>
                <w:sz w:val="24"/>
                <w:szCs w:val="24"/>
              </w:rPr>
              <w:t>isk</w:t>
            </w:r>
            <w:r w:rsidR="008D4636">
              <w:rPr>
                <w:sz w:val="24"/>
                <w:szCs w:val="24"/>
              </w:rPr>
              <w:t xml:space="preserve"> as follows:</w:t>
            </w:r>
          </w:p>
          <w:p w14:paraId="2AF7F2AD" w14:textId="351BB9B5" w:rsidR="004C1AD7" w:rsidRDefault="004C1AD7" w:rsidP="00EE24E8">
            <w:pPr>
              <w:spacing w:line="360" w:lineRule="auto"/>
              <w:jc w:val="both"/>
              <w:rPr>
                <w:sz w:val="24"/>
                <w:szCs w:val="24"/>
              </w:rPr>
            </w:pPr>
          </w:p>
          <w:p w14:paraId="1F7C6388" w14:textId="2F021EA0" w:rsidR="00D9487A" w:rsidRDefault="00D9487A" w:rsidP="00EE24E8">
            <w:pPr>
              <w:pStyle w:val="ListParagraph"/>
              <w:numPr>
                <w:ilvl w:val="0"/>
                <w:numId w:val="56"/>
              </w:numPr>
              <w:spacing w:line="360" w:lineRule="auto"/>
              <w:jc w:val="both"/>
              <w:rPr>
                <w:sz w:val="24"/>
                <w:szCs w:val="24"/>
              </w:rPr>
            </w:pPr>
            <w:r>
              <w:rPr>
                <w:sz w:val="24"/>
                <w:szCs w:val="24"/>
              </w:rPr>
              <w:t>I</w:t>
            </w:r>
            <w:r w:rsidRPr="008D4636">
              <w:rPr>
                <w:sz w:val="24"/>
                <w:szCs w:val="24"/>
              </w:rPr>
              <w:t>s experiencing or is at risk of abuse or neglect,</w:t>
            </w:r>
          </w:p>
          <w:p w14:paraId="7F5DA342" w14:textId="77777777" w:rsidR="00D9487A" w:rsidRDefault="00D9487A" w:rsidP="00EE24E8">
            <w:pPr>
              <w:pStyle w:val="ListParagraph"/>
              <w:spacing w:line="360" w:lineRule="auto"/>
              <w:jc w:val="both"/>
              <w:rPr>
                <w:sz w:val="24"/>
                <w:szCs w:val="24"/>
              </w:rPr>
            </w:pPr>
          </w:p>
          <w:p w14:paraId="3ACD4EBE" w14:textId="464D1197" w:rsidR="00D9487A" w:rsidRDefault="00D9487A" w:rsidP="00EE24E8">
            <w:pPr>
              <w:pStyle w:val="ListParagraph"/>
              <w:numPr>
                <w:ilvl w:val="0"/>
                <w:numId w:val="56"/>
              </w:numPr>
              <w:spacing w:line="360" w:lineRule="auto"/>
              <w:jc w:val="both"/>
              <w:rPr>
                <w:sz w:val="24"/>
                <w:szCs w:val="24"/>
              </w:rPr>
            </w:pPr>
            <w:r>
              <w:rPr>
                <w:sz w:val="24"/>
                <w:szCs w:val="24"/>
              </w:rPr>
              <w:t>H</w:t>
            </w:r>
            <w:r w:rsidRPr="008D4636">
              <w:rPr>
                <w:sz w:val="24"/>
                <w:szCs w:val="24"/>
              </w:rPr>
              <w:t xml:space="preserve">as needs for care and support (whether or not the authority is meeting any of those </w:t>
            </w:r>
            <w:r>
              <w:rPr>
                <w:sz w:val="24"/>
                <w:szCs w:val="24"/>
              </w:rPr>
              <w:t xml:space="preserve">     </w:t>
            </w:r>
            <w:r w:rsidRPr="008D4636">
              <w:rPr>
                <w:sz w:val="24"/>
                <w:szCs w:val="24"/>
              </w:rPr>
              <w:t>needs), and</w:t>
            </w:r>
          </w:p>
          <w:p w14:paraId="15A89604" w14:textId="77777777" w:rsidR="00D9487A" w:rsidRPr="00D9487A" w:rsidRDefault="00D9487A" w:rsidP="00EE24E8">
            <w:pPr>
              <w:spacing w:line="360" w:lineRule="auto"/>
              <w:jc w:val="both"/>
              <w:rPr>
                <w:sz w:val="24"/>
                <w:szCs w:val="24"/>
              </w:rPr>
            </w:pPr>
          </w:p>
          <w:p w14:paraId="0890CC9E" w14:textId="19CFE532" w:rsidR="00D9487A" w:rsidRDefault="00D9487A" w:rsidP="00EE24E8">
            <w:pPr>
              <w:pStyle w:val="ListParagraph"/>
              <w:numPr>
                <w:ilvl w:val="0"/>
                <w:numId w:val="56"/>
              </w:numPr>
              <w:spacing w:line="360" w:lineRule="auto"/>
              <w:jc w:val="both"/>
              <w:rPr>
                <w:sz w:val="24"/>
                <w:szCs w:val="24"/>
              </w:rPr>
            </w:pPr>
            <w:r>
              <w:rPr>
                <w:sz w:val="24"/>
                <w:szCs w:val="24"/>
              </w:rPr>
              <w:t>A</w:t>
            </w:r>
            <w:r w:rsidRPr="008D4636">
              <w:rPr>
                <w:sz w:val="24"/>
                <w:szCs w:val="24"/>
              </w:rPr>
              <w:t>s a result of those needs is unable to protect himself or herself against the abuse or neglect or the risk of it.</w:t>
            </w:r>
            <w:r>
              <w:rPr>
                <w:sz w:val="24"/>
                <w:szCs w:val="24"/>
              </w:rPr>
              <w:t xml:space="preserve"> (Legislation.gov.uk, 2014).</w:t>
            </w:r>
          </w:p>
          <w:p w14:paraId="62BC3C8C" w14:textId="77777777" w:rsidR="00D9487A" w:rsidRPr="00D9487A" w:rsidRDefault="00D9487A" w:rsidP="00EE24E8">
            <w:pPr>
              <w:spacing w:line="360" w:lineRule="auto"/>
              <w:jc w:val="both"/>
              <w:rPr>
                <w:sz w:val="24"/>
                <w:szCs w:val="24"/>
              </w:rPr>
            </w:pPr>
          </w:p>
          <w:p w14:paraId="7FD771D1" w14:textId="43EBC2C0" w:rsidR="008D4636" w:rsidRDefault="004C1AD7" w:rsidP="00EE24E8">
            <w:pPr>
              <w:overflowPunct/>
              <w:autoSpaceDE/>
              <w:autoSpaceDN/>
              <w:adjustRightInd/>
              <w:spacing w:after="160" w:line="360" w:lineRule="auto"/>
              <w:jc w:val="both"/>
              <w:textAlignment w:val="auto"/>
              <w:rPr>
                <w:rFonts w:eastAsiaTheme="minorHAnsi"/>
                <w:color w:val="auto"/>
                <w:sz w:val="24"/>
                <w:szCs w:val="24"/>
                <w:lang w:val="en-US" w:eastAsia="en-US"/>
              </w:rPr>
            </w:pPr>
            <w:r>
              <w:rPr>
                <w:rFonts w:eastAsiaTheme="minorHAnsi"/>
                <w:color w:val="auto"/>
                <w:sz w:val="24"/>
                <w:szCs w:val="24"/>
                <w:lang w:val="en-US" w:eastAsia="en-US"/>
              </w:rPr>
              <w:t>There are 5 key principles underpinning the SSWBA (2014)</w:t>
            </w:r>
            <w:r w:rsidR="00423489">
              <w:rPr>
                <w:rFonts w:eastAsiaTheme="minorHAnsi"/>
                <w:color w:val="auto"/>
                <w:sz w:val="24"/>
                <w:szCs w:val="24"/>
                <w:lang w:val="en-US" w:eastAsia="en-US"/>
              </w:rPr>
              <w:t xml:space="preserve"> which offer a robust approach to safeguard adults and children</w:t>
            </w:r>
            <w:r>
              <w:rPr>
                <w:rFonts w:eastAsiaTheme="minorHAnsi"/>
                <w:color w:val="auto"/>
                <w:sz w:val="24"/>
                <w:szCs w:val="24"/>
                <w:lang w:val="en-US" w:eastAsia="en-US"/>
              </w:rPr>
              <w:t xml:space="preserve">: </w:t>
            </w:r>
          </w:p>
          <w:p w14:paraId="1E35525A" w14:textId="77777777" w:rsidR="008D4636" w:rsidRDefault="008D4636" w:rsidP="00EE24E8">
            <w:pPr>
              <w:pStyle w:val="ListParagraph"/>
              <w:numPr>
                <w:ilvl w:val="0"/>
                <w:numId w:val="55"/>
              </w:numPr>
              <w:overflowPunct/>
              <w:autoSpaceDE/>
              <w:autoSpaceDN/>
              <w:adjustRightInd/>
              <w:spacing w:after="160" w:line="360" w:lineRule="auto"/>
              <w:jc w:val="both"/>
              <w:textAlignment w:val="auto"/>
              <w:rPr>
                <w:rFonts w:eastAsiaTheme="minorHAnsi"/>
                <w:color w:val="auto"/>
                <w:sz w:val="24"/>
                <w:szCs w:val="24"/>
                <w:lang w:val="en-US" w:eastAsia="en-US"/>
              </w:rPr>
            </w:pPr>
            <w:r>
              <w:rPr>
                <w:rFonts w:eastAsiaTheme="minorHAnsi"/>
                <w:color w:val="auto"/>
                <w:sz w:val="24"/>
                <w:szCs w:val="24"/>
                <w:lang w:val="en-US" w:eastAsia="en-US"/>
              </w:rPr>
              <w:t>V</w:t>
            </w:r>
            <w:r w:rsidR="004C1AD7" w:rsidRPr="008D4636">
              <w:rPr>
                <w:rFonts w:eastAsiaTheme="minorHAnsi"/>
                <w:color w:val="auto"/>
                <w:sz w:val="24"/>
                <w:szCs w:val="24"/>
                <w:lang w:val="en-US" w:eastAsia="en-US"/>
              </w:rPr>
              <w:t>oice and control</w:t>
            </w:r>
          </w:p>
          <w:p w14:paraId="56FFC6A7" w14:textId="77777777" w:rsidR="008D4636" w:rsidRDefault="008D4636" w:rsidP="00EE24E8">
            <w:pPr>
              <w:pStyle w:val="ListParagraph"/>
              <w:numPr>
                <w:ilvl w:val="0"/>
                <w:numId w:val="55"/>
              </w:numPr>
              <w:overflowPunct/>
              <w:autoSpaceDE/>
              <w:autoSpaceDN/>
              <w:adjustRightInd/>
              <w:spacing w:after="160" w:line="360" w:lineRule="auto"/>
              <w:jc w:val="both"/>
              <w:textAlignment w:val="auto"/>
              <w:rPr>
                <w:rFonts w:eastAsiaTheme="minorHAnsi"/>
                <w:color w:val="auto"/>
                <w:sz w:val="24"/>
                <w:szCs w:val="24"/>
                <w:lang w:val="en-US" w:eastAsia="en-US"/>
              </w:rPr>
            </w:pPr>
            <w:r>
              <w:rPr>
                <w:rFonts w:eastAsiaTheme="minorHAnsi"/>
                <w:color w:val="auto"/>
                <w:sz w:val="24"/>
                <w:szCs w:val="24"/>
                <w:lang w:val="en-US" w:eastAsia="en-US"/>
              </w:rPr>
              <w:t>P</w:t>
            </w:r>
            <w:r w:rsidR="004C1AD7" w:rsidRPr="008D4636">
              <w:rPr>
                <w:rFonts w:eastAsiaTheme="minorHAnsi"/>
                <w:color w:val="auto"/>
                <w:sz w:val="24"/>
                <w:szCs w:val="24"/>
                <w:lang w:val="en-US" w:eastAsia="en-US"/>
              </w:rPr>
              <w:t>revention and early intervention</w:t>
            </w:r>
          </w:p>
          <w:p w14:paraId="00E0262C" w14:textId="77777777" w:rsidR="008D4636" w:rsidRDefault="008D4636" w:rsidP="00EE24E8">
            <w:pPr>
              <w:pStyle w:val="ListParagraph"/>
              <w:numPr>
                <w:ilvl w:val="0"/>
                <w:numId w:val="55"/>
              </w:numPr>
              <w:overflowPunct/>
              <w:autoSpaceDE/>
              <w:autoSpaceDN/>
              <w:adjustRightInd/>
              <w:spacing w:after="160" w:line="360" w:lineRule="auto"/>
              <w:jc w:val="both"/>
              <w:textAlignment w:val="auto"/>
              <w:rPr>
                <w:rFonts w:eastAsiaTheme="minorHAnsi"/>
                <w:color w:val="auto"/>
                <w:sz w:val="24"/>
                <w:szCs w:val="24"/>
                <w:lang w:val="en-US" w:eastAsia="en-US"/>
              </w:rPr>
            </w:pPr>
            <w:r>
              <w:rPr>
                <w:rFonts w:eastAsiaTheme="minorHAnsi"/>
                <w:color w:val="auto"/>
                <w:sz w:val="24"/>
                <w:szCs w:val="24"/>
                <w:lang w:val="en-US" w:eastAsia="en-US"/>
              </w:rPr>
              <w:t>W</w:t>
            </w:r>
            <w:r w:rsidR="004C1AD7" w:rsidRPr="008D4636">
              <w:rPr>
                <w:rFonts w:eastAsiaTheme="minorHAnsi"/>
                <w:color w:val="auto"/>
                <w:sz w:val="24"/>
                <w:szCs w:val="24"/>
                <w:lang w:val="en-US" w:eastAsia="en-US"/>
              </w:rPr>
              <w:t xml:space="preserve">ell-being </w:t>
            </w:r>
          </w:p>
          <w:p w14:paraId="73C1491E" w14:textId="77777777" w:rsidR="008D4636" w:rsidRDefault="008D4636" w:rsidP="00EE24E8">
            <w:pPr>
              <w:pStyle w:val="ListParagraph"/>
              <w:numPr>
                <w:ilvl w:val="0"/>
                <w:numId w:val="55"/>
              </w:numPr>
              <w:overflowPunct/>
              <w:autoSpaceDE/>
              <w:autoSpaceDN/>
              <w:adjustRightInd/>
              <w:spacing w:after="160" w:line="360" w:lineRule="auto"/>
              <w:jc w:val="both"/>
              <w:textAlignment w:val="auto"/>
              <w:rPr>
                <w:rFonts w:eastAsiaTheme="minorHAnsi"/>
                <w:color w:val="auto"/>
                <w:sz w:val="24"/>
                <w:szCs w:val="24"/>
                <w:lang w:val="en-US" w:eastAsia="en-US"/>
              </w:rPr>
            </w:pPr>
            <w:r>
              <w:rPr>
                <w:rFonts w:eastAsiaTheme="minorHAnsi"/>
                <w:color w:val="auto"/>
                <w:sz w:val="24"/>
                <w:szCs w:val="24"/>
                <w:lang w:val="en-US" w:eastAsia="en-US"/>
              </w:rPr>
              <w:t>C</w:t>
            </w:r>
            <w:r w:rsidR="004C1AD7" w:rsidRPr="008D4636">
              <w:rPr>
                <w:rFonts w:eastAsiaTheme="minorHAnsi"/>
                <w:color w:val="auto"/>
                <w:sz w:val="24"/>
                <w:szCs w:val="24"/>
                <w:lang w:val="en-US" w:eastAsia="en-US"/>
              </w:rPr>
              <w:t xml:space="preserve">o-production and multi-agency. </w:t>
            </w:r>
          </w:p>
          <w:p w14:paraId="02F4591C" w14:textId="77777777" w:rsidR="000527E8" w:rsidRDefault="00923D2B" w:rsidP="00EE24E8">
            <w:pPr>
              <w:spacing w:line="360" w:lineRule="auto"/>
              <w:jc w:val="both"/>
              <w:rPr>
                <w:rFonts w:eastAsiaTheme="minorHAnsi"/>
                <w:noProof/>
                <w:color w:val="auto"/>
                <w:sz w:val="24"/>
                <w:szCs w:val="24"/>
                <w:lang w:eastAsia="en-US"/>
              </w:rPr>
            </w:pPr>
            <w:r>
              <w:rPr>
                <w:sz w:val="24"/>
                <w:szCs w:val="24"/>
              </w:rPr>
              <w:t>The Mental Capacity Act (2005) is another piece of legislation in place to safeguard adults</w:t>
            </w:r>
            <w:r w:rsidR="00621E3F">
              <w:rPr>
                <w:sz w:val="24"/>
                <w:szCs w:val="24"/>
              </w:rPr>
              <w:t xml:space="preserve">. It covers adults who can’t make decisions for themselves or lacks capacity due to an impairment or disturbance in their mind or brain (Gov.co.uk, 2014). </w:t>
            </w:r>
            <w:r w:rsidR="00621E3F">
              <w:rPr>
                <w:rFonts w:eastAsiaTheme="minorHAnsi"/>
                <w:noProof/>
                <w:color w:val="auto"/>
                <w:sz w:val="24"/>
                <w:szCs w:val="24"/>
                <w:lang w:eastAsia="en-US"/>
              </w:rPr>
              <w:t>The Mental Health Act (1983) amended in 2007, is supported by the Mental Health Measures (Wales) Act 20</w:t>
            </w:r>
            <w:r w:rsidR="00B45618">
              <w:rPr>
                <w:rFonts w:eastAsiaTheme="minorHAnsi"/>
                <w:noProof/>
                <w:color w:val="auto"/>
                <w:sz w:val="24"/>
                <w:szCs w:val="24"/>
                <w:lang w:eastAsia="en-US"/>
              </w:rPr>
              <w:t>10 which</w:t>
            </w:r>
            <w:r w:rsidR="00621E3F">
              <w:rPr>
                <w:rFonts w:eastAsiaTheme="minorHAnsi"/>
                <w:noProof/>
                <w:color w:val="auto"/>
                <w:sz w:val="24"/>
                <w:szCs w:val="24"/>
                <w:lang w:eastAsia="en-US"/>
              </w:rPr>
              <w:t xml:space="preserve"> </w:t>
            </w:r>
            <w:r w:rsidR="00B45618">
              <w:rPr>
                <w:rFonts w:eastAsiaTheme="minorHAnsi"/>
                <w:noProof/>
                <w:color w:val="auto"/>
                <w:sz w:val="24"/>
                <w:szCs w:val="24"/>
                <w:lang w:eastAsia="en-US"/>
              </w:rPr>
              <w:t>provides a legal framework for imporving mental health services by foscuing on people’s rights</w:t>
            </w:r>
            <w:r w:rsidR="00966C97">
              <w:rPr>
                <w:rFonts w:eastAsiaTheme="minorHAnsi"/>
                <w:noProof/>
                <w:color w:val="auto"/>
                <w:sz w:val="24"/>
                <w:szCs w:val="24"/>
                <w:lang w:eastAsia="en-US"/>
              </w:rPr>
              <w:t xml:space="preserve"> (Mind Cymru, 2022)</w:t>
            </w:r>
            <w:r w:rsidR="00B45618">
              <w:rPr>
                <w:rFonts w:eastAsiaTheme="minorHAnsi"/>
                <w:noProof/>
                <w:color w:val="auto"/>
                <w:sz w:val="24"/>
                <w:szCs w:val="24"/>
                <w:lang w:eastAsia="en-US"/>
              </w:rPr>
              <w:t>. It formed a central part of the Welsh Government’s strategy Together for Mental Health</w:t>
            </w:r>
            <w:r w:rsidR="00966C97">
              <w:rPr>
                <w:rFonts w:eastAsiaTheme="minorHAnsi"/>
                <w:noProof/>
                <w:color w:val="auto"/>
                <w:sz w:val="24"/>
                <w:szCs w:val="24"/>
                <w:lang w:eastAsia="en-US"/>
              </w:rPr>
              <w:t xml:space="preserve"> (2021). </w:t>
            </w:r>
          </w:p>
          <w:p w14:paraId="0FFE2DAE" w14:textId="77777777" w:rsidR="000527E8" w:rsidRDefault="000527E8" w:rsidP="00EE24E8">
            <w:pPr>
              <w:spacing w:line="360" w:lineRule="auto"/>
              <w:jc w:val="both"/>
              <w:rPr>
                <w:rFonts w:eastAsiaTheme="minorHAnsi"/>
                <w:noProof/>
                <w:color w:val="auto"/>
                <w:sz w:val="24"/>
                <w:szCs w:val="24"/>
                <w:lang w:eastAsia="en-US"/>
              </w:rPr>
            </w:pPr>
          </w:p>
          <w:p w14:paraId="7D946EB1" w14:textId="02414AED" w:rsidR="000527E8" w:rsidRDefault="00966C97" w:rsidP="00EE24E8">
            <w:pPr>
              <w:spacing w:line="360" w:lineRule="auto"/>
              <w:jc w:val="both"/>
              <w:rPr>
                <w:rFonts w:eastAsiaTheme="minorHAnsi"/>
                <w:noProof/>
                <w:color w:val="auto"/>
                <w:sz w:val="24"/>
                <w:szCs w:val="24"/>
                <w:lang w:eastAsia="en-US"/>
              </w:rPr>
            </w:pPr>
            <w:r>
              <w:rPr>
                <w:rFonts w:eastAsiaTheme="minorHAnsi"/>
                <w:noProof/>
                <w:color w:val="auto"/>
                <w:sz w:val="24"/>
                <w:szCs w:val="24"/>
                <w:lang w:eastAsia="en-US"/>
              </w:rPr>
              <w:t xml:space="preserve">The Care Act (2014) entitles all adults with care and support needs to receive public care and support through assessmet, provision of services and </w:t>
            </w:r>
            <w:r w:rsidR="000527E8">
              <w:rPr>
                <w:rFonts w:eastAsiaTheme="minorHAnsi"/>
                <w:noProof/>
                <w:color w:val="auto"/>
                <w:sz w:val="24"/>
                <w:szCs w:val="24"/>
                <w:lang w:eastAsia="en-US"/>
              </w:rPr>
              <w:t xml:space="preserve">allocation of funds. The Human Rights Act (1998) safeguards adults by defending their rights in court and the Equalities Act (2010) sets out characterisitcs to ensure individuals with disabilities aren’t effected by direct and indirect discrimination, harassment and victimisation. </w:t>
            </w:r>
            <w:bookmarkStart w:id="0" w:name="_Hlk148098817"/>
            <w:r w:rsidR="002D03E5">
              <w:rPr>
                <w:rFonts w:eastAsiaTheme="minorHAnsi"/>
                <w:noProof/>
                <w:color w:val="auto"/>
                <w:sz w:val="24"/>
                <w:szCs w:val="24"/>
                <w:lang w:eastAsia="en-US"/>
              </w:rPr>
              <w:t xml:space="preserve">The </w:t>
            </w:r>
            <w:r w:rsidR="000527E8">
              <w:rPr>
                <w:rFonts w:eastAsiaTheme="minorHAnsi"/>
                <w:noProof/>
                <w:color w:val="auto"/>
                <w:sz w:val="24"/>
                <w:szCs w:val="24"/>
                <w:lang w:eastAsia="en-US"/>
              </w:rPr>
              <w:t xml:space="preserve">United Nations Principles for Older Persons </w:t>
            </w:r>
            <w:bookmarkEnd w:id="0"/>
            <w:r w:rsidR="000527E8">
              <w:rPr>
                <w:rFonts w:eastAsiaTheme="minorHAnsi"/>
                <w:noProof/>
                <w:color w:val="auto"/>
                <w:sz w:val="24"/>
                <w:szCs w:val="24"/>
                <w:lang w:eastAsia="en-US"/>
              </w:rPr>
              <w:t>(1991) protects the rights of older people</w:t>
            </w:r>
            <w:r w:rsidR="002D03E5">
              <w:rPr>
                <w:rFonts w:eastAsiaTheme="minorHAnsi"/>
                <w:noProof/>
                <w:color w:val="auto"/>
                <w:sz w:val="24"/>
                <w:szCs w:val="24"/>
                <w:lang w:eastAsia="en-US"/>
              </w:rPr>
              <w:t xml:space="preserve"> with their independence, participation, care, self-fulfilment and dignity. </w:t>
            </w:r>
          </w:p>
          <w:p w14:paraId="04BE40B3" w14:textId="0036A2F4" w:rsidR="002D03E5" w:rsidRDefault="002D03E5" w:rsidP="00EE24E8">
            <w:pPr>
              <w:spacing w:line="360" w:lineRule="auto"/>
              <w:jc w:val="both"/>
              <w:rPr>
                <w:rFonts w:eastAsiaTheme="minorHAnsi"/>
                <w:noProof/>
                <w:color w:val="auto"/>
                <w:sz w:val="24"/>
                <w:szCs w:val="24"/>
                <w:lang w:eastAsia="en-US"/>
              </w:rPr>
            </w:pPr>
            <w:r>
              <w:rPr>
                <w:rFonts w:eastAsiaTheme="minorHAnsi"/>
                <w:noProof/>
                <w:color w:val="auto"/>
                <w:sz w:val="24"/>
                <w:szCs w:val="24"/>
                <w:lang w:eastAsia="en-US"/>
              </w:rPr>
              <w:lastRenderedPageBreak/>
              <w:t xml:space="preserve">It can also also noted that </w:t>
            </w:r>
            <w:bookmarkStart w:id="1" w:name="_Hlk148099256"/>
            <w:r>
              <w:rPr>
                <w:rFonts w:eastAsiaTheme="minorHAnsi"/>
                <w:noProof/>
                <w:color w:val="auto"/>
                <w:sz w:val="24"/>
                <w:szCs w:val="24"/>
                <w:lang w:eastAsia="en-US"/>
              </w:rPr>
              <w:t xml:space="preserve">The Data Protection Act (2018) </w:t>
            </w:r>
            <w:bookmarkEnd w:id="1"/>
            <w:r>
              <w:rPr>
                <w:rFonts w:eastAsiaTheme="minorHAnsi"/>
                <w:noProof/>
                <w:color w:val="auto"/>
                <w:sz w:val="24"/>
                <w:szCs w:val="24"/>
                <w:lang w:eastAsia="en-US"/>
              </w:rPr>
              <w:t xml:space="preserve">and General Data Protection Regulations safeguard individuals by ensuring that all personal information is secured, protected and stored correctly and is only ever shared when it is appropriate to do so. </w:t>
            </w:r>
          </w:p>
          <w:p w14:paraId="1F99AFD2" w14:textId="65FAC6B5" w:rsidR="002D03E5" w:rsidRDefault="002D03E5" w:rsidP="00EE24E8">
            <w:pPr>
              <w:spacing w:line="360" w:lineRule="auto"/>
              <w:jc w:val="both"/>
              <w:rPr>
                <w:rFonts w:eastAsiaTheme="minorHAnsi"/>
                <w:noProof/>
                <w:color w:val="auto"/>
                <w:sz w:val="24"/>
                <w:szCs w:val="24"/>
                <w:lang w:eastAsia="en-US"/>
              </w:rPr>
            </w:pPr>
          </w:p>
          <w:p w14:paraId="60A5E92A" w14:textId="7892F809" w:rsidR="002D03E5" w:rsidRDefault="00EE24E8" w:rsidP="00FF7EBB">
            <w:pPr>
              <w:jc w:val="both"/>
              <w:rPr>
                <w:rFonts w:eastAsiaTheme="minorHAnsi"/>
                <w:noProof/>
                <w:color w:val="auto"/>
                <w:sz w:val="24"/>
                <w:szCs w:val="24"/>
                <w:lang w:eastAsia="en-US"/>
              </w:rPr>
            </w:pPr>
            <w:r>
              <w:rPr>
                <w:rFonts w:eastAsiaTheme="minorHAnsi"/>
                <w:noProof/>
                <w:color w:val="auto"/>
                <w:sz w:val="24"/>
                <w:szCs w:val="24"/>
                <w:lang w:eastAsia="en-US"/>
              </w:rPr>
              <w:t>Words: 538</w:t>
            </w:r>
          </w:p>
          <w:p w14:paraId="030B4D47" w14:textId="63A03F55" w:rsidR="00B45618" w:rsidRDefault="00B45618"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967770">
        <w:tc>
          <w:tcPr>
            <w:tcW w:w="10070"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19E80746" w14:textId="1AAB532B" w:rsidR="007A7346" w:rsidRDefault="00A531D0" w:rsidP="002D5A24">
            <w:pPr>
              <w:spacing w:line="360" w:lineRule="auto"/>
              <w:jc w:val="both"/>
              <w:rPr>
                <w:iCs/>
                <w:sz w:val="24"/>
                <w:szCs w:val="24"/>
              </w:rPr>
            </w:pPr>
            <w:r>
              <w:rPr>
                <w:rFonts w:eastAsiaTheme="minorHAnsi"/>
                <w:color w:val="auto"/>
                <w:sz w:val="24"/>
                <w:szCs w:val="24"/>
                <w:lang w:val="en-US" w:eastAsia="en-US"/>
              </w:rPr>
              <w:t xml:space="preserve">Adults and children safeguarding </w:t>
            </w:r>
            <w:r w:rsidR="00D95338">
              <w:rPr>
                <w:rFonts w:eastAsiaTheme="minorHAnsi"/>
                <w:color w:val="auto"/>
                <w:sz w:val="24"/>
                <w:szCs w:val="24"/>
                <w:lang w:val="en-US" w:eastAsia="en-US"/>
              </w:rPr>
              <w:t xml:space="preserve">share </w:t>
            </w:r>
            <w:r>
              <w:rPr>
                <w:rFonts w:eastAsiaTheme="minorHAnsi"/>
                <w:color w:val="auto"/>
                <w:sz w:val="24"/>
                <w:szCs w:val="24"/>
                <w:lang w:val="en-US" w:eastAsia="en-US"/>
              </w:rPr>
              <w:t xml:space="preserve">some similarities whereby, you could assume the signs and symptoms that would highlight harm within children would also raise concerns with adults </w:t>
            </w:r>
            <w:sdt>
              <w:sdtPr>
                <w:rPr>
                  <w:rFonts w:eastAsiaTheme="minorHAnsi"/>
                  <w:color w:val="auto"/>
                  <w:sz w:val="24"/>
                  <w:szCs w:val="24"/>
                  <w:lang w:val="en-US" w:eastAsia="en-US"/>
                </w:rPr>
                <w:id w:val="295030608"/>
                <w:citation/>
              </w:sdtPr>
              <w:sdtEndPr/>
              <w:sdtContent>
                <w:r>
                  <w:rPr>
                    <w:rFonts w:eastAsiaTheme="minorHAnsi"/>
                    <w:color w:val="auto"/>
                    <w:sz w:val="24"/>
                    <w:szCs w:val="24"/>
                    <w:lang w:val="en-US" w:eastAsia="en-US"/>
                  </w:rPr>
                  <w:fldChar w:fldCharType="begin"/>
                </w:r>
                <w:r>
                  <w:rPr>
                    <w:rFonts w:eastAsiaTheme="minorHAnsi"/>
                    <w:color w:val="auto"/>
                    <w:sz w:val="24"/>
                    <w:szCs w:val="24"/>
                    <w:lang w:eastAsia="en-US"/>
                  </w:rPr>
                  <w:instrText xml:space="preserve"> CITATION Kou \l 2057 </w:instrText>
                </w:r>
                <w:r>
                  <w:rPr>
                    <w:rFonts w:eastAsiaTheme="minorHAnsi"/>
                    <w:color w:val="auto"/>
                    <w:sz w:val="24"/>
                    <w:szCs w:val="24"/>
                    <w:lang w:val="en-US" w:eastAsia="en-US"/>
                  </w:rPr>
                  <w:fldChar w:fldCharType="separate"/>
                </w:r>
                <w:r w:rsidRPr="009E54A2">
                  <w:rPr>
                    <w:rFonts w:eastAsiaTheme="minorHAnsi"/>
                    <w:noProof/>
                    <w:color w:val="auto"/>
                    <w:sz w:val="24"/>
                    <w:szCs w:val="24"/>
                    <w:lang w:eastAsia="en-US"/>
                  </w:rPr>
                  <w:t>(Koubel, 2016)</w:t>
                </w:r>
                <w:r>
                  <w:rPr>
                    <w:rFonts w:eastAsiaTheme="minorHAnsi"/>
                    <w:color w:val="auto"/>
                    <w:sz w:val="24"/>
                    <w:szCs w:val="24"/>
                    <w:lang w:val="en-US" w:eastAsia="en-US"/>
                  </w:rPr>
                  <w:fldChar w:fldCharType="end"/>
                </w:r>
              </w:sdtContent>
            </w:sdt>
            <w:r>
              <w:rPr>
                <w:rFonts w:eastAsiaTheme="minorHAnsi"/>
                <w:color w:val="auto"/>
                <w:sz w:val="24"/>
                <w:szCs w:val="24"/>
                <w:lang w:val="en-US" w:eastAsia="en-US"/>
              </w:rPr>
              <w:t xml:space="preserve">. </w:t>
            </w:r>
            <w:r w:rsidR="007A7346">
              <w:rPr>
                <w:iCs/>
                <w:sz w:val="24"/>
                <w:szCs w:val="24"/>
              </w:rPr>
              <w:t xml:space="preserve">Lord Lamming (2003) stated that safeguarding is the responsibility of everyone therefore, as a Children’s </w:t>
            </w:r>
            <w:r w:rsidR="00607B1C">
              <w:rPr>
                <w:iCs/>
                <w:sz w:val="24"/>
                <w:szCs w:val="24"/>
              </w:rPr>
              <w:t>S</w:t>
            </w:r>
            <w:r w:rsidR="007A7346">
              <w:rPr>
                <w:iCs/>
                <w:sz w:val="24"/>
                <w:szCs w:val="24"/>
              </w:rPr>
              <w:t xml:space="preserve">ocial </w:t>
            </w:r>
            <w:r w:rsidR="00607B1C">
              <w:rPr>
                <w:iCs/>
                <w:sz w:val="24"/>
                <w:szCs w:val="24"/>
              </w:rPr>
              <w:t>W</w:t>
            </w:r>
            <w:r w:rsidR="007A7346">
              <w:rPr>
                <w:iCs/>
                <w:sz w:val="24"/>
                <w:szCs w:val="24"/>
              </w:rPr>
              <w:t>orker, I also have a duty to report safeguarding concerns in relation to adults</w:t>
            </w:r>
            <w:r w:rsidR="00967770">
              <w:rPr>
                <w:iCs/>
                <w:sz w:val="24"/>
                <w:szCs w:val="24"/>
              </w:rPr>
              <w:t xml:space="preserve">. </w:t>
            </w:r>
          </w:p>
          <w:p w14:paraId="422B63E9" w14:textId="77777777" w:rsidR="007A7346" w:rsidRDefault="007A7346" w:rsidP="002D5A24">
            <w:pPr>
              <w:spacing w:line="360" w:lineRule="auto"/>
              <w:jc w:val="both"/>
              <w:rPr>
                <w:rFonts w:eastAsiaTheme="minorHAnsi"/>
                <w:sz w:val="24"/>
                <w:szCs w:val="24"/>
                <w:lang w:val="en-US" w:eastAsia="en-US"/>
              </w:rPr>
            </w:pPr>
          </w:p>
          <w:p w14:paraId="795C6051" w14:textId="0C619D2A" w:rsidR="00FC0334" w:rsidRDefault="00A531D0" w:rsidP="002D5A24">
            <w:pPr>
              <w:spacing w:line="360" w:lineRule="auto"/>
              <w:jc w:val="both"/>
              <w:rPr>
                <w:sz w:val="24"/>
                <w:szCs w:val="24"/>
              </w:rPr>
            </w:pPr>
            <w:r>
              <w:rPr>
                <w:rFonts w:eastAsiaTheme="minorHAnsi"/>
                <w:color w:val="auto"/>
                <w:sz w:val="24"/>
                <w:szCs w:val="24"/>
                <w:lang w:val="en-US" w:eastAsia="en-US"/>
              </w:rPr>
              <w:t>The Social Services and Wellbeing (Wale</w:t>
            </w:r>
            <w:r w:rsidR="007A7346">
              <w:rPr>
                <w:rFonts w:eastAsiaTheme="minorHAnsi"/>
                <w:color w:val="auto"/>
                <w:sz w:val="24"/>
                <w:szCs w:val="24"/>
                <w:lang w:val="en-US" w:eastAsia="en-US"/>
              </w:rPr>
              <w:t>s</w:t>
            </w:r>
            <w:r>
              <w:rPr>
                <w:rFonts w:eastAsiaTheme="minorHAnsi"/>
                <w:color w:val="auto"/>
                <w:sz w:val="24"/>
                <w:szCs w:val="24"/>
                <w:lang w:val="en-US" w:eastAsia="en-US"/>
              </w:rPr>
              <w:t xml:space="preserve">) Act 2014 </w:t>
            </w:r>
            <w:r w:rsidR="00D95338">
              <w:rPr>
                <w:rFonts w:eastAsiaTheme="minorHAnsi"/>
                <w:color w:val="auto"/>
                <w:sz w:val="24"/>
                <w:szCs w:val="24"/>
                <w:lang w:val="en-US" w:eastAsia="en-US"/>
              </w:rPr>
              <w:t>works to</w:t>
            </w:r>
            <w:r w:rsidR="002D5A24">
              <w:rPr>
                <w:rFonts w:eastAsiaTheme="minorHAnsi"/>
                <w:color w:val="auto"/>
                <w:sz w:val="24"/>
                <w:szCs w:val="24"/>
                <w:lang w:val="en-US" w:eastAsia="en-US"/>
              </w:rPr>
              <w:t xml:space="preserve"> </w:t>
            </w:r>
            <w:r>
              <w:rPr>
                <w:rFonts w:eastAsiaTheme="minorHAnsi"/>
                <w:color w:val="auto"/>
                <w:sz w:val="24"/>
                <w:szCs w:val="24"/>
                <w:lang w:val="en-US" w:eastAsia="en-US"/>
              </w:rPr>
              <w:t>safeguard both adults and children at risk of harm</w:t>
            </w:r>
            <w:r w:rsidR="00D95338">
              <w:rPr>
                <w:rFonts w:eastAsiaTheme="minorHAnsi"/>
                <w:color w:val="auto"/>
                <w:sz w:val="24"/>
                <w:szCs w:val="24"/>
                <w:lang w:val="en-US" w:eastAsia="en-US"/>
              </w:rPr>
              <w:t>.</w:t>
            </w:r>
            <w:r>
              <w:rPr>
                <w:rFonts w:eastAsiaTheme="minorHAnsi"/>
                <w:color w:val="auto"/>
                <w:sz w:val="24"/>
                <w:szCs w:val="24"/>
                <w:lang w:val="en-US" w:eastAsia="en-US"/>
              </w:rPr>
              <w:t xml:space="preserve"> </w:t>
            </w:r>
            <w:r w:rsidR="00D95338">
              <w:rPr>
                <w:rFonts w:eastAsiaTheme="minorHAnsi"/>
                <w:color w:val="auto"/>
                <w:sz w:val="24"/>
                <w:szCs w:val="24"/>
                <w:lang w:val="en-US" w:eastAsia="en-US"/>
              </w:rPr>
              <w:t>T</w:t>
            </w:r>
            <w:r w:rsidR="009C5E6D">
              <w:rPr>
                <w:rFonts w:eastAsiaTheme="minorHAnsi"/>
                <w:color w:val="auto"/>
                <w:sz w:val="24"/>
                <w:szCs w:val="24"/>
                <w:lang w:val="en-US" w:eastAsia="en-US"/>
              </w:rPr>
              <w:t xml:space="preserve">he </w:t>
            </w:r>
            <w:r>
              <w:rPr>
                <w:rFonts w:eastAsiaTheme="minorHAnsi"/>
                <w:color w:val="auto"/>
                <w:sz w:val="24"/>
                <w:szCs w:val="24"/>
                <w:lang w:val="en-US" w:eastAsia="en-US"/>
              </w:rPr>
              <w:t>aim for practitioner</w:t>
            </w:r>
            <w:r w:rsidR="009C5E6D">
              <w:rPr>
                <w:rFonts w:eastAsiaTheme="minorHAnsi"/>
                <w:color w:val="auto"/>
                <w:sz w:val="24"/>
                <w:szCs w:val="24"/>
                <w:lang w:val="en-US" w:eastAsia="en-US"/>
              </w:rPr>
              <w:t>s</w:t>
            </w:r>
            <w:r>
              <w:rPr>
                <w:rFonts w:eastAsiaTheme="minorHAnsi"/>
                <w:color w:val="auto"/>
                <w:sz w:val="24"/>
                <w:szCs w:val="24"/>
                <w:lang w:val="en-US" w:eastAsia="en-US"/>
              </w:rPr>
              <w:t xml:space="preserve"> </w:t>
            </w:r>
            <w:r w:rsidR="00D95338">
              <w:rPr>
                <w:rFonts w:eastAsiaTheme="minorHAnsi"/>
                <w:color w:val="auto"/>
                <w:sz w:val="24"/>
                <w:szCs w:val="24"/>
                <w:lang w:val="en-US" w:eastAsia="en-US"/>
              </w:rPr>
              <w:t xml:space="preserve">is </w:t>
            </w:r>
            <w:r>
              <w:rPr>
                <w:rFonts w:eastAsiaTheme="minorHAnsi"/>
                <w:color w:val="auto"/>
                <w:sz w:val="24"/>
                <w:szCs w:val="24"/>
                <w:lang w:val="en-US" w:eastAsia="en-US"/>
              </w:rPr>
              <w:t xml:space="preserve">to work </w:t>
            </w:r>
            <w:r w:rsidR="009C5E6D">
              <w:rPr>
                <w:rFonts w:eastAsiaTheme="minorHAnsi"/>
                <w:color w:val="auto"/>
                <w:sz w:val="24"/>
                <w:szCs w:val="24"/>
                <w:lang w:val="en-US" w:eastAsia="en-US"/>
              </w:rPr>
              <w:t xml:space="preserve">with individuals </w:t>
            </w:r>
            <w:r>
              <w:rPr>
                <w:rFonts w:eastAsiaTheme="minorHAnsi"/>
                <w:color w:val="auto"/>
                <w:sz w:val="24"/>
                <w:szCs w:val="24"/>
                <w:lang w:val="en-US" w:eastAsia="en-US"/>
              </w:rPr>
              <w:t>holistically and person</w:t>
            </w:r>
            <w:r w:rsidR="009C5E6D">
              <w:rPr>
                <w:rFonts w:eastAsiaTheme="minorHAnsi"/>
                <w:color w:val="auto"/>
                <w:sz w:val="24"/>
                <w:szCs w:val="24"/>
                <w:lang w:val="en-US" w:eastAsia="en-US"/>
              </w:rPr>
              <w:t>-centered</w:t>
            </w:r>
            <w:r>
              <w:rPr>
                <w:rFonts w:eastAsiaTheme="minorHAnsi"/>
                <w:color w:val="auto"/>
                <w:sz w:val="24"/>
                <w:szCs w:val="24"/>
                <w:lang w:val="en-US" w:eastAsia="en-US"/>
              </w:rPr>
              <w:t xml:space="preserve"> and fall under the 5 core principles which are equally significant across both </w:t>
            </w:r>
            <w:r w:rsidR="009C5E6D">
              <w:rPr>
                <w:rFonts w:eastAsiaTheme="minorHAnsi"/>
                <w:color w:val="auto"/>
                <w:sz w:val="24"/>
                <w:szCs w:val="24"/>
                <w:lang w:val="en-US" w:eastAsia="en-US"/>
              </w:rPr>
              <w:t>children’s and adults safeguarding. Before making an adult at risk referral, one must gain the individual’s consent however, if it has been assessed that the individual lacks capacity under the Mental Capacity Act 2005</w:t>
            </w:r>
            <w:r w:rsidR="00607B1C">
              <w:rPr>
                <w:rFonts w:eastAsiaTheme="minorHAnsi"/>
                <w:color w:val="auto"/>
                <w:sz w:val="24"/>
                <w:szCs w:val="24"/>
                <w:lang w:val="en-US" w:eastAsia="en-US"/>
              </w:rPr>
              <w:t>,</w:t>
            </w:r>
            <w:r w:rsidR="009C5E6D">
              <w:rPr>
                <w:rFonts w:eastAsiaTheme="minorHAnsi"/>
                <w:color w:val="auto"/>
                <w:sz w:val="24"/>
                <w:szCs w:val="24"/>
                <w:lang w:val="en-US" w:eastAsia="en-US"/>
              </w:rPr>
              <w:t xml:space="preserve"> the referral is to be made without consent. </w:t>
            </w:r>
            <w:r w:rsidR="00607B1C">
              <w:rPr>
                <w:rFonts w:eastAsiaTheme="minorHAnsi"/>
                <w:color w:val="auto"/>
                <w:sz w:val="24"/>
                <w:szCs w:val="24"/>
                <w:lang w:val="en-US" w:eastAsia="en-US"/>
              </w:rPr>
              <w:t xml:space="preserve">However, </w:t>
            </w:r>
            <w:r w:rsidR="009C5E6D">
              <w:rPr>
                <w:rFonts w:eastAsiaTheme="minorHAnsi"/>
                <w:color w:val="auto"/>
                <w:sz w:val="24"/>
                <w:szCs w:val="24"/>
                <w:lang w:val="en-US" w:eastAsia="en-US"/>
              </w:rPr>
              <w:t xml:space="preserve">when safeguarding children, a referral can go in without the consent of parents as </w:t>
            </w:r>
            <w:r w:rsidR="00607B1C">
              <w:rPr>
                <w:iCs/>
                <w:sz w:val="24"/>
                <w:szCs w:val="24"/>
              </w:rPr>
              <w:t>children</w:t>
            </w:r>
            <w:r w:rsidR="006B40A1">
              <w:rPr>
                <w:iCs/>
                <w:sz w:val="24"/>
                <w:szCs w:val="24"/>
              </w:rPr>
              <w:t xml:space="preserve"> do not have the capacity to consent to a referral being made therefore, it is a </w:t>
            </w:r>
            <w:r w:rsidR="006B40A1" w:rsidRPr="00132540">
              <w:rPr>
                <w:iCs/>
                <w:sz w:val="24"/>
                <w:szCs w:val="24"/>
              </w:rPr>
              <w:t xml:space="preserve">statutory duty for members of society to report </w:t>
            </w:r>
            <w:r w:rsidR="006B40A1">
              <w:rPr>
                <w:iCs/>
                <w:sz w:val="24"/>
                <w:szCs w:val="24"/>
              </w:rPr>
              <w:t>a child at risk of harm (Doctor E, 1999).</w:t>
            </w:r>
            <w:r w:rsidR="007A7346">
              <w:rPr>
                <w:iCs/>
                <w:sz w:val="24"/>
                <w:szCs w:val="24"/>
              </w:rPr>
              <w:t xml:space="preserve"> </w:t>
            </w:r>
          </w:p>
          <w:p w14:paraId="67E7ED72" w14:textId="77777777" w:rsidR="00FC0334" w:rsidRDefault="00FC0334" w:rsidP="002D5A24">
            <w:pPr>
              <w:spacing w:line="360" w:lineRule="auto"/>
              <w:jc w:val="both"/>
              <w:rPr>
                <w:sz w:val="24"/>
                <w:szCs w:val="24"/>
              </w:rPr>
            </w:pPr>
          </w:p>
          <w:p w14:paraId="38C966DE" w14:textId="4E1CF8AC" w:rsidR="006B40A1" w:rsidRDefault="006B40A1" w:rsidP="002D5A24">
            <w:pPr>
              <w:spacing w:line="360" w:lineRule="auto"/>
              <w:jc w:val="both"/>
              <w:rPr>
                <w:iCs/>
                <w:sz w:val="24"/>
                <w:szCs w:val="24"/>
              </w:rPr>
            </w:pPr>
            <w:r>
              <w:rPr>
                <w:iCs/>
                <w:sz w:val="24"/>
                <w:szCs w:val="24"/>
              </w:rPr>
              <w:t xml:space="preserve">When a safeguarding concern </w:t>
            </w:r>
            <w:r w:rsidR="00601019">
              <w:rPr>
                <w:iCs/>
                <w:sz w:val="24"/>
                <w:szCs w:val="24"/>
              </w:rPr>
              <w:t>is identified for an adult, they can decline any services offered to them if they have capacity. Adults can suffer many types of abuse including:</w:t>
            </w:r>
          </w:p>
          <w:p w14:paraId="487CC01E" w14:textId="77777777" w:rsidR="00601019" w:rsidRDefault="00601019" w:rsidP="002D5A24">
            <w:pPr>
              <w:spacing w:line="360" w:lineRule="auto"/>
              <w:jc w:val="both"/>
              <w:rPr>
                <w:iCs/>
                <w:sz w:val="24"/>
                <w:szCs w:val="24"/>
              </w:rPr>
            </w:pPr>
          </w:p>
          <w:p w14:paraId="2C250127" w14:textId="77777777" w:rsidR="00601019" w:rsidRPr="00601019" w:rsidRDefault="00601019" w:rsidP="002D5A24">
            <w:pPr>
              <w:pStyle w:val="ListParagraph"/>
              <w:numPr>
                <w:ilvl w:val="0"/>
                <w:numId w:val="57"/>
              </w:numPr>
              <w:spacing w:line="360" w:lineRule="auto"/>
              <w:jc w:val="both"/>
              <w:rPr>
                <w:iCs/>
                <w:sz w:val="24"/>
                <w:szCs w:val="24"/>
              </w:rPr>
            </w:pPr>
            <w:r w:rsidRPr="00601019">
              <w:rPr>
                <w:iCs/>
                <w:sz w:val="24"/>
                <w:szCs w:val="24"/>
              </w:rPr>
              <w:t>Physical abuse</w:t>
            </w:r>
          </w:p>
          <w:p w14:paraId="22A9F229" w14:textId="77777777" w:rsidR="00601019" w:rsidRPr="00601019" w:rsidRDefault="00601019" w:rsidP="002D5A24">
            <w:pPr>
              <w:pStyle w:val="ListParagraph"/>
              <w:numPr>
                <w:ilvl w:val="0"/>
                <w:numId w:val="57"/>
              </w:numPr>
              <w:spacing w:line="360" w:lineRule="auto"/>
              <w:jc w:val="both"/>
              <w:rPr>
                <w:iCs/>
                <w:sz w:val="24"/>
                <w:szCs w:val="24"/>
              </w:rPr>
            </w:pPr>
            <w:r w:rsidRPr="00601019">
              <w:rPr>
                <w:iCs/>
                <w:sz w:val="24"/>
                <w:szCs w:val="24"/>
              </w:rPr>
              <w:t>Domestic violence or abuse</w:t>
            </w:r>
          </w:p>
          <w:p w14:paraId="6CBBE330" w14:textId="77777777" w:rsidR="00601019" w:rsidRPr="00601019" w:rsidRDefault="00601019" w:rsidP="002D5A24">
            <w:pPr>
              <w:pStyle w:val="ListParagraph"/>
              <w:numPr>
                <w:ilvl w:val="0"/>
                <w:numId w:val="57"/>
              </w:numPr>
              <w:spacing w:line="360" w:lineRule="auto"/>
              <w:jc w:val="both"/>
              <w:rPr>
                <w:iCs/>
                <w:sz w:val="24"/>
                <w:szCs w:val="24"/>
              </w:rPr>
            </w:pPr>
            <w:r w:rsidRPr="00601019">
              <w:rPr>
                <w:iCs/>
                <w:sz w:val="24"/>
                <w:szCs w:val="24"/>
              </w:rPr>
              <w:t>Sexual abuse</w:t>
            </w:r>
          </w:p>
          <w:p w14:paraId="7F078F89" w14:textId="77777777" w:rsidR="00601019" w:rsidRPr="00601019" w:rsidRDefault="00601019" w:rsidP="002D5A24">
            <w:pPr>
              <w:pStyle w:val="ListParagraph"/>
              <w:numPr>
                <w:ilvl w:val="0"/>
                <w:numId w:val="57"/>
              </w:numPr>
              <w:spacing w:line="360" w:lineRule="auto"/>
              <w:jc w:val="both"/>
              <w:rPr>
                <w:iCs/>
                <w:sz w:val="24"/>
                <w:szCs w:val="24"/>
              </w:rPr>
            </w:pPr>
            <w:r w:rsidRPr="00601019">
              <w:rPr>
                <w:iCs/>
                <w:sz w:val="24"/>
                <w:szCs w:val="24"/>
              </w:rPr>
              <w:t>Psychological or emotional abuse</w:t>
            </w:r>
          </w:p>
          <w:p w14:paraId="601A7893" w14:textId="77777777" w:rsidR="00601019" w:rsidRPr="00601019" w:rsidRDefault="00601019" w:rsidP="002D5A24">
            <w:pPr>
              <w:pStyle w:val="ListParagraph"/>
              <w:numPr>
                <w:ilvl w:val="0"/>
                <w:numId w:val="57"/>
              </w:numPr>
              <w:spacing w:line="360" w:lineRule="auto"/>
              <w:jc w:val="both"/>
              <w:rPr>
                <w:iCs/>
                <w:sz w:val="24"/>
                <w:szCs w:val="24"/>
              </w:rPr>
            </w:pPr>
            <w:r w:rsidRPr="00601019">
              <w:rPr>
                <w:iCs/>
                <w:sz w:val="24"/>
                <w:szCs w:val="24"/>
              </w:rPr>
              <w:t>Financial or material abuse</w:t>
            </w:r>
          </w:p>
          <w:p w14:paraId="72907857" w14:textId="77777777" w:rsidR="00601019" w:rsidRPr="00601019" w:rsidRDefault="00601019" w:rsidP="002D5A24">
            <w:pPr>
              <w:pStyle w:val="ListParagraph"/>
              <w:numPr>
                <w:ilvl w:val="0"/>
                <w:numId w:val="57"/>
              </w:numPr>
              <w:spacing w:line="360" w:lineRule="auto"/>
              <w:jc w:val="both"/>
              <w:rPr>
                <w:iCs/>
                <w:sz w:val="24"/>
                <w:szCs w:val="24"/>
              </w:rPr>
            </w:pPr>
            <w:r w:rsidRPr="00601019">
              <w:rPr>
                <w:iCs/>
                <w:sz w:val="24"/>
                <w:szCs w:val="24"/>
              </w:rPr>
              <w:t>Modern slavery</w:t>
            </w:r>
          </w:p>
          <w:p w14:paraId="55650B01" w14:textId="6CD1F7D1" w:rsidR="00601019" w:rsidRPr="00601019" w:rsidRDefault="00601019" w:rsidP="002D5A24">
            <w:pPr>
              <w:pStyle w:val="ListParagraph"/>
              <w:numPr>
                <w:ilvl w:val="0"/>
                <w:numId w:val="57"/>
              </w:numPr>
              <w:spacing w:line="360" w:lineRule="auto"/>
              <w:jc w:val="both"/>
              <w:rPr>
                <w:iCs/>
                <w:sz w:val="24"/>
                <w:szCs w:val="24"/>
              </w:rPr>
            </w:pPr>
            <w:r w:rsidRPr="00601019">
              <w:rPr>
                <w:iCs/>
                <w:sz w:val="24"/>
                <w:szCs w:val="24"/>
              </w:rPr>
              <w:t>Self-neglect</w:t>
            </w:r>
          </w:p>
          <w:p w14:paraId="32F8E23D" w14:textId="70CEE5FA" w:rsidR="006B40A1" w:rsidRDefault="00601019" w:rsidP="002D5A24">
            <w:pPr>
              <w:spacing w:line="360" w:lineRule="auto"/>
              <w:jc w:val="both"/>
              <w:rPr>
                <w:iCs/>
                <w:sz w:val="24"/>
                <w:szCs w:val="24"/>
              </w:rPr>
            </w:pPr>
            <w:r>
              <w:rPr>
                <w:iCs/>
                <w:sz w:val="24"/>
                <w:szCs w:val="24"/>
              </w:rPr>
              <w:t xml:space="preserve">(Scie, 2015). </w:t>
            </w:r>
          </w:p>
          <w:p w14:paraId="4C59ABC5" w14:textId="77777777" w:rsidR="00601019" w:rsidRDefault="00601019" w:rsidP="002D5A24">
            <w:pPr>
              <w:spacing w:line="360" w:lineRule="auto"/>
              <w:jc w:val="both"/>
              <w:rPr>
                <w:iCs/>
                <w:sz w:val="24"/>
                <w:szCs w:val="24"/>
              </w:rPr>
            </w:pPr>
          </w:p>
          <w:p w14:paraId="0E64B386" w14:textId="702DE656" w:rsidR="00FC0334" w:rsidRDefault="00601019" w:rsidP="002D5A24">
            <w:pPr>
              <w:spacing w:line="360" w:lineRule="auto"/>
              <w:jc w:val="both"/>
              <w:rPr>
                <w:iCs/>
                <w:sz w:val="24"/>
                <w:szCs w:val="24"/>
              </w:rPr>
            </w:pPr>
            <w:r>
              <w:rPr>
                <w:iCs/>
                <w:sz w:val="24"/>
                <w:szCs w:val="24"/>
              </w:rPr>
              <w:t>However, when there is</w:t>
            </w:r>
            <w:r w:rsidR="007A7346">
              <w:rPr>
                <w:iCs/>
                <w:sz w:val="24"/>
                <w:szCs w:val="24"/>
              </w:rPr>
              <w:t xml:space="preserve"> a</w:t>
            </w:r>
            <w:r>
              <w:rPr>
                <w:iCs/>
                <w:sz w:val="24"/>
                <w:szCs w:val="24"/>
              </w:rPr>
              <w:t xml:space="preserve"> safeguarding concern relating to a child, a</w:t>
            </w:r>
            <w:r w:rsidR="006B40A1">
              <w:rPr>
                <w:iCs/>
                <w:sz w:val="24"/>
                <w:szCs w:val="24"/>
              </w:rPr>
              <w:t xml:space="preserve"> Section 47 investigation under the Children’s Act 1989 is conducted</w:t>
            </w:r>
            <w:r>
              <w:rPr>
                <w:iCs/>
                <w:sz w:val="24"/>
                <w:szCs w:val="24"/>
              </w:rPr>
              <w:t xml:space="preserve">. </w:t>
            </w:r>
            <w:r w:rsidR="006B40A1">
              <w:rPr>
                <w:iCs/>
                <w:sz w:val="24"/>
                <w:szCs w:val="24"/>
              </w:rPr>
              <w:t xml:space="preserve">The investigation </w:t>
            </w:r>
            <w:r w:rsidR="00607B1C">
              <w:rPr>
                <w:iCs/>
                <w:sz w:val="24"/>
                <w:szCs w:val="24"/>
              </w:rPr>
              <w:t xml:space="preserve">concludes </w:t>
            </w:r>
            <w:r w:rsidR="006B40A1">
              <w:rPr>
                <w:iCs/>
                <w:sz w:val="24"/>
                <w:szCs w:val="24"/>
              </w:rPr>
              <w:t xml:space="preserve">whether action to safeguard is needed to promote the child’s welfare and the family must work with the Local Authority to promote change for the child’s overall wellbeing (Wales Safeguarding Procedures, 2019). </w:t>
            </w:r>
          </w:p>
          <w:p w14:paraId="26E5A958" w14:textId="3711B61E" w:rsidR="007A7346" w:rsidRDefault="007A7346" w:rsidP="002D5A24">
            <w:pPr>
              <w:spacing w:line="360" w:lineRule="auto"/>
              <w:jc w:val="both"/>
              <w:rPr>
                <w:sz w:val="24"/>
                <w:szCs w:val="24"/>
              </w:rPr>
            </w:pPr>
          </w:p>
          <w:p w14:paraId="3D84673A" w14:textId="55A30DDF" w:rsidR="00967770" w:rsidRDefault="00967770" w:rsidP="002D5A24">
            <w:pPr>
              <w:spacing w:line="360" w:lineRule="auto"/>
              <w:jc w:val="both"/>
              <w:rPr>
                <w:sz w:val="24"/>
                <w:szCs w:val="24"/>
              </w:rPr>
            </w:pPr>
            <w:proofErr w:type="spellStart"/>
            <w:r>
              <w:rPr>
                <w:sz w:val="24"/>
                <w:szCs w:val="24"/>
              </w:rPr>
              <w:t>Koubel</w:t>
            </w:r>
            <w:proofErr w:type="spellEnd"/>
            <w:r>
              <w:rPr>
                <w:sz w:val="24"/>
                <w:szCs w:val="24"/>
              </w:rPr>
              <w:t xml:space="preserve"> (2016) shared the following differences between adult and children safeguarding;</w:t>
            </w:r>
          </w:p>
          <w:p w14:paraId="6A24C1B3" w14:textId="77777777" w:rsidR="00967770" w:rsidRDefault="00967770" w:rsidP="002D5A24">
            <w:pPr>
              <w:spacing w:line="360" w:lineRule="auto"/>
              <w:jc w:val="both"/>
              <w:rPr>
                <w:sz w:val="24"/>
                <w:szCs w:val="24"/>
              </w:rPr>
            </w:pPr>
          </w:p>
          <w:p w14:paraId="6BD94B93" w14:textId="633EF987" w:rsidR="00967770" w:rsidRPr="00967770" w:rsidRDefault="00967770" w:rsidP="002D5A24">
            <w:pPr>
              <w:spacing w:line="360" w:lineRule="auto"/>
              <w:jc w:val="both"/>
              <w:rPr>
                <w:i/>
                <w:iCs/>
                <w:sz w:val="24"/>
                <w:szCs w:val="24"/>
              </w:rPr>
            </w:pPr>
            <w:r w:rsidRPr="00967770">
              <w:rPr>
                <w:i/>
                <w:iCs/>
                <w:sz w:val="24"/>
                <w:szCs w:val="24"/>
              </w:rPr>
              <w:t>One of the main differences between work with children or adults is that within legislation relating to children there is provision for a child to be removed from a risky situation through a court order, even if this is against the child’s wishes. With adults, this can only be achieved if the adult is seen as having a mental illness and as being a danger to themselves or others under mental health legislation</w:t>
            </w:r>
            <w:r>
              <w:rPr>
                <w:i/>
                <w:iCs/>
                <w:sz w:val="24"/>
                <w:szCs w:val="24"/>
              </w:rPr>
              <w:t xml:space="preserve">. </w:t>
            </w:r>
          </w:p>
          <w:p w14:paraId="62E57F36" w14:textId="77777777" w:rsidR="00967770" w:rsidRDefault="00967770" w:rsidP="002D5A24">
            <w:pPr>
              <w:spacing w:line="360" w:lineRule="auto"/>
              <w:jc w:val="both"/>
              <w:rPr>
                <w:sz w:val="24"/>
                <w:szCs w:val="24"/>
              </w:rPr>
            </w:pPr>
          </w:p>
          <w:p w14:paraId="0391853C" w14:textId="6F4654E1" w:rsidR="007A7346" w:rsidRDefault="00D95338" w:rsidP="002D5A24">
            <w:pPr>
              <w:spacing w:line="360" w:lineRule="auto"/>
              <w:jc w:val="both"/>
              <w:rPr>
                <w:sz w:val="24"/>
                <w:szCs w:val="24"/>
              </w:rPr>
            </w:pPr>
            <w:r>
              <w:rPr>
                <w:rFonts w:eastAsiaTheme="minorHAnsi"/>
                <w:color w:val="auto"/>
                <w:sz w:val="24"/>
                <w:szCs w:val="24"/>
                <w:lang w:val="en-US" w:eastAsia="en-US"/>
              </w:rPr>
              <w:t xml:space="preserve">Children have </w:t>
            </w:r>
            <w:r w:rsidR="00607B1C">
              <w:rPr>
                <w:rFonts w:eastAsiaTheme="minorHAnsi"/>
                <w:color w:val="auto"/>
                <w:sz w:val="24"/>
                <w:szCs w:val="24"/>
                <w:lang w:val="en-US" w:eastAsia="en-US"/>
              </w:rPr>
              <w:t xml:space="preserve">limited rights compared to adults who have more choices and can choose to endanger themselves under the Human Rights Act (1998). If there are concerns that they are </w:t>
            </w:r>
            <w:r w:rsidR="00607B1C">
              <w:rPr>
                <w:rFonts w:eastAsiaTheme="minorHAnsi"/>
                <w:color w:val="auto"/>
                <w:sz w:val="24"/>
                <w:szCs w:val="24"/>
                <w:lang w:val="en-US" w:eastAsia="en-US"/>
              </w:rPr>
              <w:lastRenderedPageBreak/>
              <w:t xml:space="preserve">a risk to themselves or others, they may lose this right if they are detained under the Mental Capacity Act 2005 and deprivation of liberty safeguards. </w:t>
            </w:r>
          </w:p>
          <w:p w14:paraId="2CBF5020" w14:textId="77777777" w:rsidR="007A7346" w:rsidRDefault="007A7346" w:rsidP="00FC0334">
            <w:pPr>
              <w:jc w:val="both"/>
              <w:rPr>
                <w:sz w:val="24"/>
                <w:szCs w:val="24"/>
              </w:rPr>
            </w:pPr>
          </w:p>
          <w:p w14:paraId="7FC8CFF9" w14:textId="77777777" w:rsidR="007A7346" w:rsidRDefault="007A7346" w:rsidP="00FC0334">
            <w:pPr>
              <w:jc w:val="both"/>
              <w:rPr>
                <w:sz w:val="24"/>
                <w:szCs w:val="24"/>
              </w:rPr>
            </w:pPr>
          </w:p>
          <w:p w14:paraId="4847C39E" w14:textId="77777777" w:rsidR="00FC0334" w:rsidRDefault="00FC0334" w:rsidP="00FC0334">
            <w:pPr>
              <w:jc w:val="both"/>
              <w:rPr>
                <w:sz w:val="24"/>
                <w:szCs w:val="24"/>
              </w:rPr>
            </w:pPr>
          </w:p>
          <w:p w14:paraId="04285720" w14:textId="70E1477E" w:rsidR="00FC0334" w:rsidRDefault="00D95338" w:rsidP="00FC0334">
            <w:pPr>
              <w:jc w:val="both"/>
              <w:rPr>
                <w:sz w:val="24"/>
                <w:szCs w:val="24"/>
              </w:rPr>
            </w:pPr>
            <w:r>
              <w:rPr>
                <w:sz w:val="24"/>
                <w:szCs w:val="24"/>
              </w:rPr>
              <w:t>Word Count: 440</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DB15C4">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3A25B6E"/>
    <w:multiLevelType w:val="hybridMultilevel"/>
    <w:tmpl w:val="BD5CF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08A0FEE"/>
    <w:multiLevelType w:val="hybridMultilevel"/>
    <w:tmpl w:val="A9F0F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BA725EA"/>
    <w:multiLevelType w:val="hybridMultilevel"/>
    <w:tmpl w:val="A7922174"/>
    <w:lvl w:ilvl="0" w:tplc="C9E26EC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7B0A144E"/>
    <w:multiLevelType w:val="hybridMultilevel"/>
    <w:tmpl w:val="32287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909888">
    <w:abstractNumId w:val="1"/>
    <w:lvlOverride w:ilvl="0">
      <w:lvl w:ilvl="0">
        <w:start w:val="1"/>
        <w:numFmt w:val="bullet"/>
        <w:lvlText w:val=""/>
        <w:lvlJc w:val="left"/>
        <w:pPr>
          <w:ind w:left="720" w:hanging="360"/>
        </w:pPr>
        <w:rPr>
          <w:rFonts w:ascii="Symbol" w:hAnsi="Symbol" w:hint="default"/>
        </w:rPr>
      </w:lvl>
    </w:lvlOverride>
  </w:num>
  <w:num w:numId="2" w16cid:durableId="246427864">
    <w:abstractNumId w:val="22"/>
  </w:num>
  <w:num w:numId="3" w16cid:durableId="808474141">
    <w:abstractNumId w:val="48"/>
  </w:num>
  <w:num w:numId="4" w16cid:durableId="828248349">
    <w:abstractNumId w:val="50"/>
  </w:num>
  <w:num w:numId="5" w16cid:durableId="1616864760">
    <w:abstractNumId w:val="36"/>
  </w:num>
  <w:num w:numId="6" w16cid:durableId="1775589713">
    <w:abstractNumId w:val="34"/>
  </w:num>
  <w:num w:numId="7" w16cid:durableId="1870221650">
    <w:abstractNumId w:val="30"/>
  </w:num>
  <w:num w:numId="8" w16cid:durableId="1016154152">
    <w:abstractNumId w:val="31"/>
  </w:num>
  <w:num w:numId="9" w16cid:durableId="1096945395">
    <w:abstractNumId w:val="10"/>
  </w:num>
  <w:num w:numId="10" w16cid:durableId="1722824046">
    <w:abstractNumId w:val="35"/>
  </w:num>
  <w:num w:numId="11" w16cid:durableId="1108819603">
    <w:abstractNumId w:val="17"/>
  </w:num>
  <w:num w:numId="12" w16cid:durableId="1479033924">
    <w:abstractNumId w:val="16"/>
  </w:num>
  <w:num w:numId="13" w16cid:durableId="1593661411">
    <w:abstractNumId w:val="28"/>
  </w:num>
  <w:num w:numId="14" w16cid:durableId="1657100433">
    <w:abstractNumId w:val="8"/>
  </w:num>
  <w:num w:numId="15" w16cid:durableId="815873739">
    <w:abstractNumId w:val="26"/>
  </w:num>
  <w:num w:numId="16" w16cid:durableId="602105923">
    <w:abstractNumId w:val="15"/>
  </w:num>
  <w:num w:numId="17" w16cid:durableId="1872914429">
    <w:abstractNumId w:val="13"/>
  </w:num>
  <w:num w:numId="18" w16cid:durableId="210557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21214295">
    <w:abstractNumId w:val="23"/>
  </w:num>
  <w:num w:numId="20" w16cid:durableId="561597794">
    <w:abstractNumId w:val="18"/>
  </w:num>
  <w:num w:numId="21" w16cid:durableId="961617133">
    <w:abstractNumId w:val="14"/>
  </w:num>
  <w:num w:numId="22" w16cid:durableId="454715601">
    <w:abstractNumId w:val="11"/>
  </w:num>
  <w:num w:numId="23" w16cid:durableId="1651909167">
    <w:abstractNumId w:val="29"/>
  </w:num>
  <w:num w:numId="24" w16cid:durableId="1563565282">
    <w:abstractNumId w:val="19"/>
  </w:num>
  <w:num w:numId="25" w16cid:durableId="1395860277">
    <w:abstractNumId w:val="44"/>
  </w:num>
  <w:num w:numId="26" w16cid:durableId="878273911">
    <w:abstractNumId w:val="37"/>
  </w:num>
  <w:num w:numId="27" w16cid:durableId="1960600286">
    <w:abstractNumId w:val="42"/>
  </w:num>
  <w:num w:numId="28" w16cid:durableId="497578474">
    <w:abstractNumId w:val="20"/>
  </w:num>
  <w:num w:numId="29" w16cid:durableId="634336902">
    <w:abstractNumId w:val="46"/>
  </w:num>
  <w:num w:numId="30" w16cid:durableId="1930460382">
    <w:abstractNumId w:val="32"/>
  </w:num>
  <w:num w:numId="31" w16cid:durableId="789788657">
    <w:abstractNumId w:val="12"/>
  </w:num>
  <w:num w:numId="32" w16cid:durableId="54478443">
    <w:abstractNumId w:val="47"/>
  </w:num>
  <w:num w:numId="33" w16cid:durableId="1003624603">
    <w:abstractNumId w:val="41"/>
  </w:num>
  <w:num w:numId="34" w16cid:durableId="914583949">
    <w:abstractNumId w:val="5"/>
  </w:num>
  <w:num w:numId="35" w16cid:durableId="212540213">
    <w:abstractNumId w:val="49"/>
  </w:num>
  <w:num w:numId="36" w16cid:durableId="2025277141">
    <w:abstractNumId w:val="45"/>
  </w:num>
  <w:num w:numId="37" w16cid:durableId="1186476459">
    <w:abstractNumId w:val="38"/>
  </w:num>
  <w:num w:numId="38" w16cid:durableId="116992635">
    <w:abstractNumId w:val="39"/>
  </w:num>
  <w:num w:numId="39" w16cid:durableId="1240596992">
    <w:abstractNumId w:val="4"/>
  </w:num>
  <w:num w:numId="40" w16cid:durableId="1851866431">
    <w:abstractNumId w:val="6"/>
  </w:num>
  <w:num w:numId="41" w16cid:durableId="1913467685">
    <w:abstractNumId w:val="25"/>
  </w:num>
  <w:num w:numId="42" w16cid:durableId="285504590">
    <w:abstractNumId w:val="7"/>
  </w:num>
  <w:num w:numId="43" w16cid:durableId="685134060">
    <w:abstractNumId w:val="3"/>
  </w:num>
  <w:num w:numId="44" w16cid:durableId="309017762">
    <w:abstractNumId w:val="40"/>
  </w:num>
  <w:num w:numId="45" w16cid:durableId="648677916">
    <w:abstractNumId w:val="0"/>
  </w:num>
  <w:num w:numId="46" w16cid:durableId="1651784877">
    <w:abstractNumId w:val="14"/>
  </w:num>
  <w:num w:numId="47" w16cid:durableId="503280065">
    <w:abstractNumId w:val="51"/>
  </w:num>
  <w:num w:numId="48" w16cid:durableId="2100712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961884713">
    <w:abstractNumId w:val="11"/>
  </w:num>
  <w:num w:numId="50" w16cid:durableId="1327318776">
    <w:abstractNumId w:val="29"/>
  </w:num>
  <w:num w:numId="51" w16cid:durableId="1201361786">
    <w:abstractNumId w:val="24"/>
  </w:num>
  <w:num w:numId="52" w16cid:durableId="782263735">
    <w:abstractNumId w:val="21"/>
  </w:num>
  <w:num w:numId="53" w16cid:durableId="174463002">
    <w:abstractNumId w:val="2"/>
  </w:num>
  <w:num w:numId="54" w16cid:durableId="1352293211">
    <w:abstractNumId w:val="52"/>
  </w:num>
  <w:num w:numId="55" w16cid:durableId="1412922841">
    <w:abstractNumId w:val="33"/>
  </w:num>
  <w:num w:numId="56" w16cid:durableId="1798453333">
    <w:abstractNumId w:val="43"/>
  </w:num>
  <w:num w:numId="57" w16cid:durableId="1897467098">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3891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8E"/>
    <w:rsid w:val="00002C7A"/>
    <w:rsid w:val="00003A0D"/>
    <w:rsid w:val="000045B8"/>
    <w:rsid w:val="00006F75"/>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7E8"/>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CAB"/>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3E5"/>
    <w:rsid w:val="002D05EB"/>
    <w:rsid w:val="002D11A8"/>
    <w:rsid w:val="002D2F29"/>
    <w:rsid w:val="002D46C0"/>
    <w:rsid w:val="002D5A24"/>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6FF0"/>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489"/>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1AD7"/>
    <w:rsid w:val="004C2D3A"/>
    <w:rsid w:val="004C6C66"/>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1019"/>
    <w:rsid w:val="00606E27"/>
    <w:rsid w:val="00607B1C"/>
    <w:rsid w:val="006108C9"/>
    <w:rsid w:val="00614DF7"/>
    <w:rsid w:val="006179BB"/>
    <w:rsid w:val="0062158D"/>
    <w:rsid w:val="00621E3F"/>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0A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346"/>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636"/>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3D2B"/>
    <w:rsid w:val="00926436"/>
    <w:rsid w:val="00926C53"/>
    <w:rsid w:val="0093018C"/>
    <w:rsid w:val="0094495F"/>
    <w:rsid w:val="009544C0"/>
    <w:rsid w:val="00954FA4"/>
    <w:rsid w:val="00956AE9"/>
    <w:rsid w:val="00964CC6"/>
    <w:rsid w:val="00966C97"/>
    <w:rsid w:val="00967770"/>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E6D"/>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4728"/>
    <w:rsid w:val="00A25F64"/>
    <w:rsid w:val="00A275F6"/>
    <w:rsid w:val="00A303B9"/>
    <w:rsid w:val="00A37416"/>
    <w:rsid w:val="00A40ED6"/>
    <w:rsid w:val="00A47621"/>
    <w:rsid w:val="00A479CD"/>
    <w:rsid w:val="00A50CFC"/>
    <w:rsid w:val="00A531D0"/>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5618"/>
    <w:rsid w:val="00B47734"/>
    <w:rsid w:val="00B50FBA"/>
    <w:rsid w:val="00B558EB"/>
    <w:rsid w:val="00B577D3"/>
    <w:rsid w:val="00B60466"/>
    <w:rsid w:val="00B6548F"/>
    <w:rsid w:val="00B71A32"/>
    <w:rsid w:val="00B7502A"/>
    <w:rsid w:val="00B77305"/>
    <w:rsid w:val="00B774BD"/>
    <w:rsid w:val="00B82321"/>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707B"/>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487A"/>
    <w:rsid w:val="00D95338"/>
    <w:rsid w:val="00DA1025"/>
    <w:rsid w:val="00DA22EC"/>
    <w:rsid w:val="00DA5682"/>
    <w:rsid w:val="00DA5860"/>
    <w:rsid w:val="00DA5C0C"/>
    <w:rsid w:val="00DB15C4"/>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4E8"/>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B7C88"/>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446E12A4"/>
  <w15:docId w15:val="{48D284B5-5252-4561-B81B-4F9E1629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8D46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FCCB96A4-5440-4FF1-BBE7-242328F81949}">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6</Pages>
  <Words>1123</Words>
  <Characters>6403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Charlotte Hopwood</cp:lastModifiedBy>
  <cp:revision>7</cp:revision>
  <cp:lastPrinted>2020-02-11T19:20:00Z</cp:lastPrinted>
  <dcterms:created xsi:type="dcterms:W3CDTF">2023-10-09T11:41:00Z</dcterms:created>
  <dcterms:modified xsi:type="dcterms:W3CDTF">2023-10-16T16:37:00Z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