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F488D" w14:textId="77777777" w:rsidR="003551F1" w:rsidRPr="003551F1" w:rsidRDefault="003551F1" w:rsidP="00355365">
      <w:pPr>
        <w:spacing w:line="360" w:lineRule="auto"/>
        <w:jc w:val="both"/>
      </w:pPr>
    </w:p>
    <w:p w14:paraId="1A9E8098" w14:textId="77777777" w:rsidR="003551F1" w:rsidRPr="003551F1" w:rsidRDefault="003551F1" w:rsidP="00355365">
      <w:pPr>
        <w:spacing w:line="360" w:lineRule="auto"/>
        <w:jc w:val="both"/>
      </w:pPr>
    </w:p>
    <w:p w14:paraId="26418E87" w14:textId="77777777" w:rsidR="003551F1" w:rsidRPr="003551F1" w:rsidRDefault="003551F1" w:rsidP="00355365">
      <w:pPr>
        <w:spacing w:line="360" w:lineRule="auto"/>
        <w:jc w:val="both"/>
      </w:pPr>
    </w:p>
    <w:p w14:paraId="3D8293EA" w14:textId="77777777" w:rsidR="003551F1" w:rsidRPr="003551F1" w:rsidRDefault="003551F1" w:rsidP="00355365">
      <w:pPr>
        <w:spacing w:line="360" w:lineRule="auto"/>
        <w:jc w:val="both"/>
      </w:pPr>
    </w:p>
    <w:p w14:paraId="795D6C7B" w14:textId="77777777" w:rsidR="003551F1" w:rsidRPr="003551F1" w:rsidRDefault="003551F1" w:rsidP="00355365">
      <w:pPr>
        <w:spacing w:line="360" w:lineRule="auto"/>
        <w:jc w:val="both"/>
      </w:pPr>
    </w:p>
    <w:p w14:paraId="76402101" w14:textId="77777777" w:rsidR="003551F1" w:rsidRPr="003551F1" w:rsidRDefault="003551F1" w:rsidP="00355365">
      <w:pPr>
        <w:spacing w:line="360" w:lineRule="auto"/>
        <w:jc w:val="both"/>
      </w:pPr>
    </w:p>
    <w:p w14:paraId="2F3F064A" w14:textId="77777777" w:rsidR="003551F1" w:rsidRPr="003551F1" w:rsidRDefault="003551F1" w:rsidP="00355365">
      <w:pPr>
        <w:spacing w:line="360" w:lineRule="auto"/>
        <w:jc w:val="both"/>
      </w:pPr>
    </w:p>
    <w:p w14:paraId="1611C2AC" w14:textId="77777777" w:rsidR="003551F1" w:rsidRPr="003551F1" w:rsidRDefault="003551F1" w:rsidP="00355365">
      <w:pPr>
        <w:spacing w:line="360" w:lineRule="auto"/>
        <w:jc w:val="both"/>
      </w:pPr>
    </w:p>
    <w:p w14:paraId="5E49BF26" w14:textId="77777777" w:rsidR="003551F1" w:rsidRPr="003551F1" w:rsidRDefault="003551F1" w:rsidP="00355365">
      <w:pPr>
        <w:spacing w:line="360" w:lineRule="auto"/>
        <w:jc w:val="both"/>
      </w:pPr>
    </w:p>
    <w:p w14:paraId="2C48A34C" w14:textId="77777777" w:rsidR="003551F1" w:rsidRPr="00180945" w:rsidRDefault="003551F1" w:rsidP="00355365">
      <w:pPr>
        <w:spacing w:line="360" w:lineRule="auto"/>
        <w:jc w:val="center"/>
        <w:rPr>
          <w:b/>
          <w:bCs/>
          <w:u w:val="single"/>
        </w:rPr>
      </w:pPr>
    </w:p>
    <w:p w14:paraId="693F1EB8" w14:textId="1AE77B31" w:rsidR="00224B6E" w:rsidRPr="00180945" w:rsidRDefault="00224B6E" w:rsidP="00355365">
      <w:pPr>
        <w:spacing w:line="360" w:lineRule="auto"/>
        <w:jc w:val="center"/>
        <w:rPr>
          <w:b/>
          <w:bCs/>
          <w:u w:val="single"/>
        </w:rPr>
      </w:pPr>
      <w:r w:rsidRPr="00180945">
        <w:rPr>
          <w:b/>
          <w:bCs/>
          <w:u w:val="single"/>
        </w:rPr>
        <w:t xml:space="preserve">Assignment Title: </w:t>
      </w:r>
      <w:r w:rsidR="00DF77B3" w:rsidRPr="00180945">
        <w:rPr>
          <w:b/>
          <w:bCs/>
          <w:u w:val="single"/>
        </w:rPr>
        <w:t>Guided Scenario Response and Essay</w:t>
      </w:r>
    </w:p>
    <w:p w14:paraId="2F42D6EF" w14:textId="4E1477D1" w:rsidR="00224B6E" w:rsidRPr="00180945" w:rsidRDefault="00224B6E" w:rsidP="00355365">
      <w:pPr>
        <w:spacing w:line="360" w:lineRule="auto"/>
        <w:jc w:val="center"/>
        <w:rPr>
          <w:b/>
          <w:bCs/>
          <w:u w:val="single"/>
        </w:rPr>
      </w:pPr>
      <w:r w:rsidRPr="00180945">
        <w:rPr>
          <w:b/>
          <w:bCs/>
          <w:u w:val="single"/>
        </w:rPr>
        <w:t>Module code:</w:t>
      </w:r>
      <w:r w:rsidR="00180945" w:rsidRPr="00180945">
        <w:rPr>
          <w:b/>
          <w:bCs/>
          <w:u w:val="single"/>
        </w:rPr>
        <w:t xml:space="preserve"> LCHS4003</w:t>
      </w:r>
    </w:p>
    <w:p w14:paraId="5F351FBC" w14:textId="77777777" w:rsidR="0036443D" w:rsidRPr="00180945" w:rsidRDefault="0036443D" w:rsidP="0036443D">
      <w:pPr>
        <w:spacing w:line="360" w:lineRule="auto"/>
        <w:rPr>
          <w:b/>
          <w:bCs/>
          <w:color w:val="EE0000"/>
        </w:rPr>
      </w:pPr>
    </w:p>
    <w:p w14:paraId="69B87967" w14:textId="21E8DD52" w:rsidR="00224B6E" w:rsidRPr="00180945" w:rsidRDefault="00224B6E" w:rsidP="00355365">
      <w:pPr>
        <w:spacing w:line="360" w:lineRule="auto"/>
        <w:jc w:val="center"/>
        <w:rPr>
          <w:b/>
          <w:bCs/>
          <w:color w:val="EE0000"/>
        </w:rPr>
      </w:pPr>
      <w:r w:rsidRPr="00180945">
        <w:rPr>
          <w:b/>
          <w:bCs/>
          <w:color w:val="EE0000"/>
        </w:rPr>
        <w:t xml:space="preserve">Student </w:t>
      </w:r>
      <w:r w:rsidR="00180945" w:rsidRPr="00180945">
        <w:rPr>
          <w:b/>
          <w:bCs/>
          <w:color w:val="EE0000"/>
        </w:rPr>
        <w:t>ID</w:t>
      </w:r>
      <w:r w:rsidRPr="00180945">
        <w:rPr>
          <w:b/>
          <w:bCs/>
          <w:color w:val="EE0000"/>
        </w:rPr>
        <w:t>:</w:t>
      </w:r>
      <w:r w:rsidR="00810777">
        <w:rPr>
          <w:b/>
          <w:bCs/>
          <w:color w:val="EE0000"/>
        </w:rPr>
        <w:t>ASHA ALI-</w:t>
      </w:r>
      <w:r w:rsidR="00180945" w:rsidRPr="00180945">
        <w:rPr>
          <w:b/>
          <w:bCs/>
          <w:color w:val="EE0000"/>
        </w:rPr>
        <w:t xml:space="preserve"> 2534611</w:t>
      </w:r>
    </w:p>
    <w:p w14:paraId="0A7E18D9" w14:textId="62C1B771" w:rsidR="00224B6E" w:rsidRPr="00180945" w:rsidRDefault="00224B6E" w:rsidP="00355365">
      <w:pPr>
        <w:spacing w:line="360" w:lineRule="auto"/>
        <w:jc w:val="center"/>
        <w:rPr>
          <w:b/>
          <w:bCs/>
          <w:color w:val="EE0000"/>
        </w:rPr>
      </w:pPr>
      <w:r w:rsidRPr="00180945">
        <w:rPr>
          <w:b/>
          <w:bCs/>
          <w:color w:val="EE0000"/>
        </w:rPr>
        <w:t>Lecture Name:</w:t>
      </w:r>
      <w:r w:rsidR="00180945" w:rsidRPr="00180945">
        <w:rPr>
          <w:b/>
          <w:bCs/>
          <w:color w:val="EE0000"/>
        </w:rPr>
        <w:t xml:space="preserve"> DR HELEN PARSONS</w:t>
      </w:r>
    </w:p>
    <w:p w14:paraId="615768D1" w14:textId="1A91F253" w:rsidR="00224B6E" w:rsidRPr="00180945" w:rsidRDefault="003551F1" w:rsidP="00355365">
      <w:pPr>
        <w:spacing w:line="360" w:lineRule="auto"/>
        <w:jc w:val="center"/>
        <w:rPr>
          <w:b/>
          <w:bCs/>
          <w:color w:val="EE0000"/>
        </w:rPr>
      </w:pPr>
      <w:r w:rsidRPr="00180945">
        <w:rPr>
          <w:b/>
          <w:bCs/>
          <w:color w:val="EE0000"/>
        </w:rPr>
        <w:t>Submission Date:</w:t>
      </w:r>
      <w:r w:rsidR="00180945" w:rsidRPr="00180945">
        <w:rPr>
          <w:b/>
          <w:bCs/>
          <w:color w:val="EE0000"/>
        </w:rPr>
        <w:t xml:space="preserve"> 19</w:t>
      </w:r>
      <w:r w:rsidR="00180945" w:rsidRPr="00180945">
        <w:rPr>
          <w:b/>
          <w:bCs/>
          <w:color w:val="EE0000"/>
          <w:vertAlign w:val="superscript"/>
        </w:rPr>
        <w:t>TH</w:t>
      </w:r>
      <w:r w:rsidR="00180945" w:rsidRPr="00180945">
        <w:rPr>
          <w:b/>
          <w:bCs/>
          <w:color w:val="EE0000"/>
        </w:rPr>
        <w:t xml:space="preserve"> OCTOBER 2026</w:t>
      </w:r>
    </w:p>
    <w:p w14:paraId="0A4BF48D" w14:textId="77777777" w:rsidR="00224B6E" w:rsidRPr="003551F1" w:rsidRDefault="00224B6E" w:rsidP="00355365">
      <w:pPr>
        <w:spacing w:line="360" w:lineRule="auto"/>
        <w:jc w:val="both"/>
      </w:pPr>
    </w:p>
    <w:p w14:paraId="31B6EDD6" w14:textId="77777777" w:rsidR="00224B6E" w:rsidRPr="003551F1" w:rsidRDefault="00224B6E" w:rsidP="00355365">
      <w:pPr>
        <w:spacing w:line="360" w:lineRule="auto"/>
        <w:jc w:val="both"/>
        <w:rPr>
          <w:b/>
          <w:bCs/>
          <w:color w:val="1F3A5F"/>
        </w:rPr>
      </w:pPr>
    </w:p>
    <w:p w14:paraId="235C975D" w14:textId="77777777" w:rsidR="003551F1" w:rsidRPr="003551F1" w:rsidRDefault="003551F1" w:rsidP="00355365">
      <w:pPr>
        <w:spacing w:line="360" w:lineRule="auto"/>
        <w:jc w:val="both"/>
        <w:rPr>
          <w:b/>
          <w:bCs/>
          <w:color w:val="1F3A5F"/>
        </w:rPr>
      </w:pPr>
      <w:r w:rsidRPr="003551F1">
        <w:rPr>
          <w:b/>
          <w:bCs/>
          <w:color w:val="1F3A5F"/>
        </w:rPr>
        <w:br w:type="page"/>
      </w:r>
    </w:p>
    <w:p w14:paraId="2C2DF106" w14:textId="702700F5" w:rsidR="00875B11" w:rsidRPr="003551F1" w:rsidRDefault="001F0770" w:rsidP="00355365">
      <w:pPr>
        <w:spacing w:line="360" w:lineRule="auto"/>
        <w:jc w:val="both"/>
        <w:rPr>
          <w:b/>
          <w:bCs/>
          <w:color w:val="1F3A5F"/>
        </w:rPr>
      </w:pPr>
      <w:r w:rsidRPr="003551F1">
        <w:rPr>
          <w:b/>
          <w:bCs/>
          <w:color w:val="1F3A5F"/>
        </w:rPr>
        <w:lastRenderedPageBreak/>
        <w:t>Task 1: Guided Scenario Response</w:t>
      </w:r>
    </w:p>
    <w:p w14:paraId="798441ED" w14:textId="77777777" w:rsidR="00875B11" w:rsidRPr="003551F1" w:rsidRDefault="001F0770" w:rsidP="00355365">
      <w:pPr>
        <w:spacing w:after="200" w:line="360" w:lineRule="auto"/>
        <w:jc w:val="both"/>
      </w:pPr>
      <w:r w:rsidRPr="003551F1">
        <w:rPr>
          <w:color w:val="444444"/>
        </w:rPr>
        <w:t>Mini-report: domiciliary care services within the community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7026"/>
      </w:tblGrid>
      <w:tr w:rsidR="00875B11" w:rsidRPr="003551F1" w14:paraId="60F5066E" w14:textId="77777777">
        <w:tc>
          <w:tcPr>
            <w:tcW w:w="2000" w:type="dxa"/>
            <w:tcBorders>
              <w:top w:val="single" w:sz="4" w:space="0" w:color="B8C4D4"/>
              <w:left w:val="single" w:sz="4" w:space="0" w:color="B8C4D4"/>
              <w:bottom w:val="single" w:sz="4" w:space="0" w:color="B8C4D4"/>
              <w:right w:val="single" w:sz="4" w:space="0" w:color="B8C4D4"/>
            </w:tcBorders>
            <w:shd w:val="clear" w:color="auto" w:fill="E8EEF5"/>
            <w:tcMar>
              <w:top w:w="70" w:type="dxa"/>
              <w:left w:w="110" w:type="dxa"/>
              <w:bottom w:w="70" w:type="dxa"/>
              <w:right w:w="110" w:type="dxa"/>
            </w:tcMar>
          </w:tcPr>
          <w:p w14:paraId="61E21DA0" w14:textId="77777777" w:rsidR="00875B11" w:rsidRPr="003551F1" w:rsidRDefault="001F0770" w:rsidP="00355365">
            <w:pPr>
              <w:spacing w:line="360" w:lineRule="auto"/>
              <w:jc w:val="both"/>
            </w:pPr>
            <w:r w:rsidRPr="003551F1">
              <w:rPr>
                <w:b/>
                <w:bCs/>
              </w:rPr>
              <w:t>To</w:t>
            </w:r>
          </w:p>
        </w:tc>
        <w:tc>
          <w:tcPr>
            <w:tcW w:w="7026" w:type="dxa"/>
            <w:tcBorders>
              <w:top w:val="single" w:sz="4" w:space="0" w:color="B8C4D4"/>
              <w:left w:val="single" w:sz="4" w:space="0" w:color="B8C4D4"/>
              <w:bottom w:val="single" w:sz="4" w:space="0" w:color="B8C4D4"/>
              <w:right w:val="single" w:sz="4" w:space="0" w:color="B8C4D4"/>
            </w:tcBorders>
            <w:shd w:val="clear" w:color="auto" w:fill="FFFFFF"/>
            <w:tcMar>
              <w:top w:w="70" w:type="dxa"/>
              <w:left w:w="110" w:type="dxa"/>
              <w:bottom w:w="70" w:type="dxa"/>
              <w:right w:w="110" w:type="dxa"/>
            </w:tcMar>
          </w:tcPr>
          <w:p w14:paraId="3A977F22" w14:textId="77777777" w:rsidR="00875B11" w:rsidRPr="003551F1" w:rsidRDefault="001F0770" w:rsidP="00355365">
            <w:pPr>
              <w:spacing w:line="360" w:lineRule="auto"/>
              <w:jc w:val="both"/>
            </w:pPr>
            <w:r w:rsidRPr="003551F1">
              <w:t>Councillor Jamil Khan, Sparkbrook &amp; Balsall Heath East Ward; Deputy Cabinet Member for Equalities, Communities and Social Justice, Birmingham City Council</w:t>
            </w:r>
          </w:p>
        </w:tc>
      </w:tr>
      <w:tr w:rsidR="00875B11" w:rsidRPr="003551F1" w14:paraId="6D2E359C" w14:textId="77777777">
        <w:tc>
          <w:tcPr>
            <w:tcW w:w="2000" w:type="dxa"/>
            <w:tcBorders>
              <w:top w:val="single" w:sz="4" w:space="0" w:color="B8C4D4"/>
              <w:left w:val="single" w:sz="4" w:space="0" w:color="B8C4D4"/>
              <w:bottom w:val="single" w:sz="4" w:space="0" w:color="B8C4D4"/>
              <w:right w:val="single" w:sz="4" w:space="0" w:color="B8C4D4"/>
            </w:tcBorders>
            <w:shd w:val="clear" w:color="auto" w:fill="E8EEF5"/>
            <w:tcMar>
              <w:top w:w="70" w:type="dxa"/>
              <w:left w:w="110" w:type="dxa"/>
              <w:bottom w:w="70" w:type="dxa"/>
              <w:right w:w="110" w:type="dxa"/>
            </w:tcMar>
          </w:tcPr>
          <w:p w14:paraId="330483F3" w14:textId="77777777" w:rsidR="00875B11" w:rsidRPr="003551F1" w:rsidRDefault="001F0770" w:rsidP="00355365">
            <w:pPr>
              <w:spacing w:line="360" w:lineRule="auto"/>
              <w:jc w:val="both"/>
            </w:pPr>
            <w:r w:rsidRPr="003551F1">
              <w:rPr>
                <w:b/>
                <w:bCs/>
              </w:rPr>
              <w:t>From</w:t>
            </w:r>
          </w:p>
        </w:tc>
        <w:tc>
          <w:tcPr>
            <w:tcW w:w="7026" w:type="dxa"/>
            <w:tcBorders>
              <w:top w:val="single" w:sz="4" w:space="0" w:color="B8C4D4"/>
              <w:left w:val="single" w:sz="4" w:space="0" w:color="B8C4D4"/>
              <w:bottom w:val="single" w:sz="4" w:space="0" w:color="B8C4D4"/>
              <w:right w:val="single" w:sz="4" w:space="0" w:color="B8C4D4"/>
            </w:tcBorders>
            <w:shd w:val="clear" w:color="auto" w:fill="FFFFFF"/>
            <w:tcMar>
              <w:top w:w="70" w:type="dxa"/>
              <w:left w:w="110" w:type="dxa"/>
              <w:bottom w:w="70" w:type="dxa"/>
              <w:right w:w="110" w:type="dxa"/>
            </w:tcMar>
          </w:tcPr>
          <w:p w14:paraId="4F46E0E3" w14:textId="77777777" w:rsidR="00875B11" w:rsidRPr="003551F1" w:rsidRDefault="001F0770" w:rsidP="00355365">
            <w:pPr>
              <w:spacing w:line="360" w:lineRule="auto"/>
              <w:jc w:val="both"/>
            </w:pPr>
            <w:r w:rsidRPr="003551F1">
              <w:t>[Your name], [Student number]</w:t>
            </w:r>
          </w:p>
        </w:tc>
      </w:tr>
      <w:tr w:rsidR="00875B11" w:rsidRPr="003551F1" w14:paraId="1C7CCB59" w14:textId="77777777">
        <w:tc>
          <w:tcPr>
            <w:tcW w:w="2000" w:type="dxa"/>
            <w:tcBorders>
              <w:top w:val="single" w:sz="4" w:space="0" w:color="B8C4D4"/>
              <w:left w:val="single" w:sz="4" w:space="0" w:color="B8C4D4"/>
              <w:bottom w:val="single" w:sz="4" w:space="0" w:color="B8C4D4"/>
              <w:right w:val="single" w:sz="4" w:space="0" w:color="B8C4D4"/>
            </w:tcBorders>
            <w:shd w:val="clear" w:color="auto" w:fill="E8EEF5"/>
            <w:tcMar>
              <w:top w:w="70" w:type="dxa"/>
              <w:left w:w="110" w:type="dxa"/>
              <w:bottom w:w="70" w:type="dxa"/>
              <w:right w:w="110" w:type="dxa"/>
            </w:tcMar>
          </w:tcPr>
          <w:p w14:paraId="20CB9703" w14:textId="77777777" w:rsidR="00875B11" w:rsidRPr="003551F1" w:rsidRDefault="001F0770" w:rsidP="00355365">
            <w:pPr>
              <w:spacing w:line="360" w:lineRule="auto"/>
              <w:jc w:val="both"/>
            </w:pPr>
            <w:r w:rsidRPr="003551F1">
              <w:rPr>
                <w:b/>
                <w:bCs/>
              </w:rPr>
              <w:t>Date</w:t>
            </w:r>
          </w:p>
        </w:tc>
        <w:tc>
          <w:tcPr>
            <w:tcW w:w="7026" w:type="dxa"/>
            <w:tcBorders>
              <w:top w:val="single" w:sz="4" w:space="0" w:color="B8C4D4"/>
              <w:left w:val="single" w:sz="4" w:space="0" w:color="B8C4D4"/>
              <w:bottom w:val="single" w:sz="4" w:space="0" w:color="B8C4D4"/>
              <w:right w:val="single" w:sz="4" w:space="0" w:color="B8C4D4"/>
            </w:tcBorders>
            <w:shd w:val="clear" w:color="auto" w:fill="FFFFFF"/>
            <w:tcMar>
              <w:top w:w="70" w:type="dxa"/>
              <w:left w:w="110" w:type="dxa"/>
              <w:bottom w:w="70" w:type="dxa"/>
              <w:right w:w="110" w:type="dxa"/>
            </w:tcMar>
          </w:tcPr>
          <w:p w14:paraId="3D6D12F3" w14:textId="77777777" w:rsidR="00875B11" w:rsidRPr="003551F1" w:rsidRDefault="001F0770" w:rsidP="00355365">
            <w:pPr>
              <w:spacing w:line="360" w:lineRule="auto"/>
              <w:jc w:val="both"/>
            </w:pPr>
            <w:r w:rsidRPr="003551F1">
              <w:t>29 September 2026</w:t>
            </w:r>
          </w:p>
        </w:tc>
      </w:tr>
      <w:tr w:rsidR="00875B11" w:rsidRPr="003551F1" w14:paraId="36571AAF" w14:textId="77777777">
        <w:tc>
          <w:tcPr>
            <w:tcW w:w="2000" w:type="dxa"/>
            <w:tcBorders>
              <w:top w:val="single" w:sz="4" w:space="0" w:color="B8C4D4"/>
              <w:left w:val="single" w:sz="4" w:space="0" w:color="B8C4D4"/>
              <w:bottom w:val="single" w:sz="4" w:space="0" w:color="B8C4D4"/>
              <w:right w:val="single" w:sz="4" w:space="0" w:color="B8C4D4"/>
            </w:tcBorders>
            <w:shd w:val="clear" w:color="auto" w:fill="E8EEF5"/>
            <w:tcMar>
              <w:top w:w="70" w:type="dxa"/>
              <w:left w:w="110" w:type="dxa"/>
              <w:bottom w:w="70" w:type="dxa"/>
              <w:right w:w="110" w:type="dxa"/>
            </w:tcMar>
          </w:tcPr>
          <w:p w14:paraId="7A91CB5A" w14:textId="77777777" w:rsidR="00875B11" w:rsidRPr="003551F1" w:rsidRDefault="001F0770" w:rsidP="00355365">
            <w:pPr>
              <w:spacing w:line="360" w:lineRule="auto"/>
              <w:jc w:val="both"/>
            </w:pPr>
            <w:r w:rsidRPr="003551F1">
              <w:rPr>
                <w:b/>
                <w:bCs/>
              </w:rPr>
              <w:t>Subject</w:t>
            </w:r>
          </w:p>
        </w:tc>
        <w:tc>
          <w:tcPr>
            <w:tcW w:w="7026" w:type="dxa"/>
            <w:tcBorders>
              <w:top w:val="single" w:sz="4" w:space="0" w:color="B8C4D4"/>
              <w:left w:val="single" w:sz="4" w:space="0" w:color="B8C4D4"/>
              <w:bottom w:val="single" w:sz="4" w:space="0" w:color="B8C4D4"/>
              <w:right w:val="single" w:sz="4" w:space="0" w:color="B8C4D4"/>
            </w:tcBorders>
            <w:shd w:val="clear" w:color="auto" w:fill="FFFFFF"/>
            <w:tcMar>
              <w:top w:w="70" w:type="dxa"/>
              <w:left w:w="110" w:type="dxa"/>
              <w:bottom w:w="70" w:type="dxa"/>
              <w:right w:w="110" w:type="dxa"/>
            </w:tcMar>
          </w:tcPr>
          <w:p w14:paraId="46333A79" w14:textId="77777777" w:rsidR="00875B11" w:rsidRPr="003551F1" w:rsidRDefault="001F0770" w:rsidP="00355365">
            <w:pPr>
              <w:spacing w:line="360" w:lineRule="auto"/>
              <w:jc w:val="both"/>
            </w:pPr>
            <w:r w:rsidRPr="003551F1">
              <w:t>Addressing the shortage of culturally appropriate domiciliary care in Sparkbrook &amp; Balsall Heath East</w:t>
            </w:r>
          </w:p>
        </w:tc>
      </w:tr>
    </w:tbl>
    <w:p w14:paraId="46A78689" w14:textId="77777777" w:rsidR="00875B11" w:rsidRPr="003551F1" w:rsidRDefault="00875B11" w:rsidP="00355365">
      <w:pPr>
        <w:spacing w:after="120" w:line="360" w:lineRule="auto"/>
        <w:jc w:val="both"/>
      </w:pPr>
    </w:p>
    <w:p w14:paraId="4E53ED92" w14:textId="3227950A" w:rsidR="004B3BF0" w:rsidRPr="003551F1" w:rsidRDefault="004B3BF0" w:rsidP="00355365">
      <w:pPr>
        <w:spacing w:after="160" w:line="360" w:lineRule="auto"/>
        <w:jc w:val="both"/>
        <w:rPr>
          <w:b/>
          <w:bCs/>
        </w:rPr>
      </w:pPr>
      <w:r w:rsidRPr="003551F1">
        <w:rPr>
          <w:b/>
          <w:bCs/>
        </w:rPr>
        <w:t>Introduction</w:t>
      </w:r>
    </w:p>
    <w:p w14:paraId="04CDCC51" w14:textId="77777777" w:rsidR="004B3BF0" w:rsidRPr="003551F1" w:rsidRDefault="004B3BF0" w:rsidP="00355365">
      <w:pPr>
        <w:spacing w:after="160" w:line="360" w:lineRule="auto"/>
        <w:jc w:val="both"/>
      </w:pPr>
      <w:r w:rsidRPr="003551F1">
        <w:t>This report is about the lack of culturally appropriate domiciliary care in Sparkbrook and Balsall Heath East. Domiciliary care assists adults to wash, dress, feed and take medications at their home. Overall, the supply of homecare is broadly satisfactory to meet the demand across Birmingham (Care Quality Commission (CQC), 2023). The CQC identified concerns about the care that is responsive to people's cultural needs, however. It also identified that homecare providers were rated less well than care homes (CQC, 2023). This is a significant lack in the community, particularly in a ward where many residents belong to South Asian communities. Part 1 of the Care Act 2014 is the framework within which the Council can act, as outlined in this report.</w:t>
      </w:r>
    </w:p>
    <w:p w14:paraId="6623E8EF" w14:textId="403B858D" w:rsidR="004B3BF0" w:rsidRPr="003551F1" w:rsidRDefault="004B3BF0" w:rsidP="00355365">
      <w:pPr>
        <w:spacing w:after="160" w:line="360" w:lineRule="auto"/>
        <w:jc w:val="both"/>
        <w:rPr>
          <w:b/>
          <w:bCs/>
        </w:rPr>
      </w:pPr>
      <w:r w:rsidRPr="003551F1">
        <w:rPr>
          <w:b/>
          <w:bCs/>
        </w:rPr>
        <w:t>The need for the service under the Care Act 2014</w:t>
      </w:r>
    </w:p>
    <w:p w14:paraId="0AAC0ACB" w14:textId="14A4E754" w:rsidR="004B3BF0" w:rsidRPr="003551F1" w:rsidRDefault="004B3BF0" w:rsidP="00355365">
      <w:pPr>
        <w:spacing w:after="160" w:line="360" w:lineRule="auto"/>
        <w:jc w:val="both"/>
      </w:pPr>
      <w:r w:rsidRPr="003551F1">
        <w:t xml:space="preserve">The Council has a number of duties under the Care Act 2014, which are contained in Part 1. It has to benefit everyone's wellbeing and take into account their 'views, wishes, feelings and beliefs' (s.1). It should also help to avoid, or slow down, the onset of care needs (s.2). The Council shall make information and advice available and accessible about care (s.4). It also has to encourage a diversified and </w:t>
      </w:r>
      <w:r w:rsidR="00BC6E5F" w:rsidRPr="003551F1">
        <w:t>high-quality</w:t>
      </w:r>
      <w:r w:rsidRPr="003551F1">
        <w:t xml:space="preserve"> market</w:t>
      </w:r>
      <w:r w:rsidR="008249B0">
        <w:t xml:space="preserve"> </w:t>
      </w:r>
      <w:r w:rsidRPr="003551F1">
        <w:t>in other words, a real choice (s.5). The Council are required to assess an adult where it appears they need care (s.9). It must also consider carers (s.10) and fulfil eligible needs (ss.18 and 20).</w:t>
      </w:r>
    </w:p>
    <w:p w14:paraId="0526CBCA" w14:textId="4CAD8EC9" w:rsidR="004B3BF0" w:rsidRPr="003551F1" w:rsidRDefault="004B3BF0" w:rsidP="00355365">
      <w:pPr>
        <w:spacing w:after="160" w:line="360" w:lineRule="auto"/>
        <w:jc w:val="both"/>
      </w:pPr>
      <w:r w:rsidRPr="003551F1">
        <w:t xml:space="preserve">It is evident that there is a local need for this service. The population of Sparkbrook and Balsall Heath East is 27,338, making it the most deprived ward in Birmingham (Birmingham City Council, no date). More than 90% of people who live there are from minority ethnic communities, predominantly of Pakistani and Bangladeshi background. Aged 65 and above </w:t>
      </w:r>
      <w:r w:rsidRPr="003551F1">
        <w:lastRenderedPageBreak/>
        <w:t>(7.8%) although this is not a significant proportion, it is still over 2,100 older people. A service that does not take into account their language, faith and gender preferences is not able to satisfy the wellbeing duty. Nor does it provide the genuine option that section 5 calls for.</w:t>
      </w:r>
    </w:p>
    <w:p w14:paraId="3C64C725" w14:textId="1AA0D93C" w:rsidR="004B3BF0" w:rsidRPr="003551F1" w:rsidRDefault="004B3BF0" w:rsidP="00355365">
      <w:pPr>
        <w:spacing w:after="160" w:line="360" w:lineRule="auto"/>
        <w:jc w:val="both"/>
        <w:rPr>
          <w:b/>
          <w:bCs/>
        </w:rPr>
      </w:pPr>
      <w:r w:rsidRPr="003551F1">
        <w:rPr>
          <w:b/>
          <w:bCs/>
        </w:rPr>
        <w:t>Impact on the community</w:t>
      </w:r>
    </w:p>
    <w:p w14:paraId="0138AA37" w14:textId="77777777" w:rsidR="004B3BF0" w:rsidRPr="003551F1" w:rsidRDefault="004B3BF0" w:rsidP="00355365">
      <w:pPr>
        <w:spacing w:after="160" w:line="360" w:lineRule="auto"/>
        <w:jc w:val="both"/>
      </w:pPr>
      <w:r w:rsidRPr="003551F1">
        <w:t>The shortage has three main impacts on the community. First is that many people's care needs are not met. In a recent systematic review, Nair et al. (2026) identified that South Asian households have a strong preference for care at home. But services generally do not cater for same sex carers, halal food or those working with the care who speak the correct language. Families will reject care if they feel it is not the right care and will only accept it at crisis time (Nair et al., 2026).</w:t>
      </w:r>
    </w:p>
    <w:p w14:paraId="75E6B64D" w14:textId="14AD6056" w:rsidR="004B3BF0" w:rsidRPr="003551F1" w:rsidRDefault="00224B6E" w:rsidP="00355365">
      <w:pPr>
        <w:spacing w:after="160" w:line="360" w:lineRule="auto"/>
        <w:jc w:val="both"/>
      </w:pPr>
      <w:r w:rsidRPr="003551F1">
        <w:t>Secondly,</w:t>
      </w:r>
      <w:r w:rsidR="004B3BF0" w:rsidRPr="003551F1">
        <w:t xml:space="preserve"> it imposes significant burden on unpaid carers, especially women, within the family. There are challenges for South Asian carers in accessing services that are culturally and religiously appropriate (Hossain et al., 2022). This may have negative impacts on the health of the carer and on their capacity to work. This is significant in a ward where 42% of the residents are in work (Birmingham City Council, no date).</w:t>
      </w:r>
    </w:p>
    <w:p w14:paraId="2EEC9C44" w14:textId="21EB28A6" w:rsidR="004B3BF0" w:rsidRPr="003551F1" w:rsidRDefault="004B3BF0" w:rsidP="00355365">
      <w:pPr>
        <w:spacing w:after="160" w:line="360" w:lineRule="auto"/>
        <w:jc w:val="both"/>
      </w:pPr>
      <w:r w:rsidRPr="003551F1">
        <w:t>Thirdly, it puts additional strain on the broader care system. If left without support for a prolonged period, individuals will be more likely to require either hospital or residential care. This is opposite to the Council's Home First approach (CQC, 2023). The issue has been exacerbated by a shortage of workers. High rates of staff turnover and recruitment problems have been found to hinder providing a caring service to satisfy growing demand in the care sector (Teo et al, 2022).</w:t>
      </w:r>
    </w:p>
    <w:p w14:paraId="4633981F" w14:textId="0D35F8ED" w:rsidR="004B3BF0" w:rsidRPr="003551F1" w:rsidRDefault="004B3BF0" w:rsidP="00355365">
      <w:pPr>
        <w:spacing w:after="160" w:line="360" w:lineRule="auto"/>
        <w:jc w:val="both"/>
        <w:rPr>
          <w:b/>
          <w:bCs/>
        </w:rPr>
      </w:pPr>
      <w:r w:rsidRPr="003551F1">
        <w:rPr>
          <w:b/>
          <w:bCs/>
        </w:rPr>
        <w:t>Recommended response</w:t>
      </w:r>
    </w:p>
    <w:p w14:paraId="445FB8AD" w14:textId="77777777" w:rsidR="004B3BF0" w:rsidRPr="003551F1" w:rsidRDefault="004B3BF0" w:rsidP="00355365">
      <w:pPr>
        <w:spacing w:after="160" w:line="360" w:lineRule="auto"/>
        <w:jc w:val="both"/>
      </w:pPr>
      <w:r w:rsidRPr="003551F1">
        <w:t>As the Council is under budget constraints, I suggest a solution that is low cost and focused. It builds on existing contracts and community strengths:</w:t>
      </w:r>
    </w:p>
    <w:p w14:paraId="273C8F67" w14:textId="49A7F947" w:rsidR="004B3BF0" w:rsidRPr="003551F1" w:rsidRDefault="004B3BF0" w:rsidP="00355365">
      <w:pPr>
        <w:pStyle w:val="ListParagraph"/>
        <w:numPr>
          <w:ilvl w:val="0"/>
          <w:numId w:val="3"/>
        </w:numPr>
        <w:spacing w:after="160" w:line="360" w:lineRule="auto"/>
        <w:jc w:val="both"/>
      </w:pPr>
      <w:r w:rsidRPr="003551F1">
        <w:t>Shape the market (s.5). Include cultural-competence standards in Home Support framework for this area. This should include language matching, same gender carers on request if required and additional time for culturally appropriate personal care.</w:t>
      </w:r>
    </w:p>
    <w:p w14:paraId="595631FE" w14:textId="599A0054" w:rsidR="004B3BF0" w:rsidRPr="003551F1" w:rsidRDefault="004B3BF0" w:rsidP="00355365">
      <w:pPr>
        <w:pStyle w:val="ListParagraph"/>
        <w:numPr>
          <w:ilvl w:val="0"/>
          <w:numId w:val="3"/>
        </w:numPr>
        <w:spacing w:after="160" w:line="360" w:lineRule="auto"/>
        <w:jc w:val="both"/>
      </w:pPr>
      <w:r w:rsidRPr="003551F1">
        <w:t>Build up local workforce. Collaborate with colleges, mosques and community groups to involve and train bilingual care workers from the ward. This would also generate jobs in the area.</w:t>
      </w:r>
    </w:p>
    <w:p w14:paraId="5AC8B35D" w14:textId="73CE6BBD" w:rsidR="004B3BF0" w:rsidRPr="003551F1" w:rsidRDefault="004B3BF0" w:rsidP="00355365">
      <w:pPr>
        <w:pStyle w:val="ListParagraph"/>
        <w:numPr>
          <w:ilvl w:val="0"/>
          <w:numId w:val="3"/>
        </w:numPr>
        <w:spacing w:after="160" w:line="360" w:lineRule="auto"/>
        <w:jc w:val="both"/>
      </w:pPr>
      <w:r w:rsidRPr="003551F1">
        <w:t>Enhance information/outreach (s.4). Use community centres and places of worship to share information in multiple languages that is sensitive to faith. This can help minimize stigma and help to provide earlier assessment (ss.2 and 9).</w:t>
      </w:r>
    </w:p>
    <w:p w14:paraId="6095EBAC" w14:textId="4AB3B8AD" w:rsidR="004B3BF0" w:rsidRPr="003551F1" w:rsidRDefault="004B3BF0" w:rsidP="00355365">
      <w:pPr>
        <w:pStyle w:val="ListParagraph"/>
        <w:numPr>
          <w:ilvl w:val="0"/>
          <w:numId w:val="3"/>
        </w:numPr>
        <w:spacing w:after="160" w:line="360" w:lineRule="auto"/>
        <w:jc w:val="both"/>
      </w:pPr>
      <w:r w:rsidRPr="003551F1">
        <w:lastRenderedPageBreak/>
        <w:t>Support carers (s.10). Proactively offer carers' assessments to women carers. Connect these evaluations with respite care they can rely on.</w:t>
      </w:r>
    </w:p>
    <w:p w14:paraId="727F0D1C" w14:textId="2CB104BA" w:rsidR="004B3BF0" w:rsidRPr="003551F1" w:rsidRDefault="004B3BF0" w:rsidP="00355365">
      <w:pPr>
        <w:pStyle w:val="ListParagraph"/>
        <w:numPr>
          <w:ilvl w:val="0"/>
          <w:numId w:val="3"/>
        </w:numPr>
        <w:spacing w:after="160" w:line="360" w:lineRule="auto"/>
        <w:jc w:val="both"/>
      </w:pPr>
      <w:r w:rsidRPr="003551F1">
        <w:t>Encourage choice and control (s.31). Support direct payments to enable families to access personal assistants who are trusted and culturally matched.</w:t>
      </w:r>
    </w:p>
    <w:p w14:paraId="0F26CD08" w14:textId="19914028" w:rsidR="004B3BF0" w:rsidRPr="003551F1" w:rsidRDefault="004B3BF0" w:rsidP="00355365">
      <w:pPr>
        <w:pStyle w:val="ListParagraph"/>
        <w:numPr>
          <w:ilvl w:val="0"/>
          <w:numId w:val="3"/>
        </w:numPr>
        <w:spacing w:after="160" w:line="360" w:lineRule="auto"/>
        <w:jc w:val="both"/>
      </w:pPr>
      <w:r w:rsidRPr="003551F1">
        <w:t>Collaborate and supervise services. Design services with local residents (as Nair et al. 2026 suggest). Examine ethnicity and language data of unmet requests.</w:t>
      </w:r>
    </w:p>
    <w:p w14:paraId="5E946812" w14:textId="67B019F8" w:rsidR="004B3BF0" w:rsidRPr="003551F1" w:rsidRDefault="004B3BF0" w:rsidP="00355365">
      <w:pPr>
        <w:spacing w:after="160" w:line="360" w:lineRule="auto"/>
        <w:jc w:val="both"/>
        <w:rPr>
          <w:b/>
          <w:bCs/>
        </w:rPr>
      </w:pPr>
      <w:r w:rsidRPr="003551F1">
        <w:rPr>
          <w:b/>
          <w:bCs/>
        </w:rPr>
        <w:t>Conclusion</w:t>
      </w:r>
    </w:p>
    <w:p w14:paraId="620E92E7" w14:textId="338D7AB3" w:rsidR="00875B11" w:rsidRPr="003551F1" w:rsidRDefault="004B3BF0" w:rsidP="00355365">
      <w:pPr>
        <w:spacing w:after="160" w:line="360" w:lineRule="auto"/>
        <w:jc w:val="both"/>
      </w:pPr>
      <w:r w:rsidRPr="003551F1">
        <w:t xml:space="preserve">Birmingham has adequate levels of </w:t>
      </w:r>
      <w:proofErr w:type="gramStart"/>
      <w:r w:rsidRPr="003551F1">
        <w:t>homecare,</w:t>
      </w:r>
      <w:proofErr w:type="gramEnd"/>
      <w:r w:rsidRPr="003551F1">
        <w:t xml:space="preserve"> however this ward has insufficient provision of appropriate homecare. The Council has specific duties under the Care Act 2014 to promote wellbeing and prevent needs as set out in part 1 of the Act. It also mandates the Council to create a varied market offering true choice. Culturally competent care, local bilingual staff and supportive carers would assist in fulfilling these responsibilities. They would also have the effect of decreasing inequality and improving the residents' quality of life at home. As a person of interest in equalities and communities, I would be delighted to discuss these proposals.</w:t>
      </w:r>
    </w:p>
    <w:p w14:paraId="39296927" w14:textId="77777777" w:rsidR="00875B11" w:rsidRPr="003551F1" w:rsidRDefault="001F0770" w:rsidP="00355365">
      <w:pPr>
        <w:pStyle w:val="Heading2"/>
        <w:spacing w:line="360" w:lineRule="auto"/>
        <w:jc w:val="both"/>
        <w:rPr>
          <w:sz w:val="22"/>
          <w:szCs w:val="22"/>
        </w:rPr>
      </w:pPr>
      <w:r w:rsidRPr="003551F1">
        <w:rPr>
          <w:sz w:val="22"/>
          <w:szCs w:val="22"/>
        </w:rPr>
        <w:t>References</w:t>
      </w:r>
    </w:p>
    <w:p w14:paraId="04B3C2DB" w14:textId="77777777" w:rsidR="00875B11" w:rsidRPr="003551F1" w:rsidRDefault="001F0770" w:rsidP="00355365">
      <w:pPr>
        <w:spacing w:after="120" w:line="360" w:lineRule="auto"/>
        <w:ind w:left="567" w:hanging="567"/>
        <w:jc w:val="both"/>
      </w:pPr>
      <w:r w:rsidRPr="003551F1">
        <w:t xml:space="preserve">Birmingham City Council (no date) </w:t>
      </w:r>
      <w:r w:rsidRPr="003551F1">
        <w:rPr>
          <w:i/>
          <w:iCs/>
        </w:rPr>
        <w:t>Sparkbrook &amp; Balsall Heath East ward factsheet</w:t>
      </w:r>
      <w:r w:rsidRPr="003551F1">
        <w:t>. Available at: https://www.birmingham.gov.uk/download/downloads/id/15502/sparkbrook_and_balsall_heath_east_profile.pdf (Accessed: 29 September 2026).</w:t>
      </w:r>
    </w:p>
    <w:p w14:paraId="7F46FC2F" w14:textId="77777777" w:rsidR="00875B11" w:rsidRPr="003551F1" w:rsidRDefault="001F0770" w:rsidP="00355365">
      <w:pPr>
        <w:spacing w:after="120" w:line="360" w:lineRule="auto"/>
        <w:ind w:left="567" w:hanging="567"/>
        <w:jc w:val="both"/>
      </w:pPr>
      <w:r w:rsidRPr="003551F1">
        <w:t>Care Act 2014, c. 23. Available at: https://www.legislation.gov.uk/ukpga/2014/23/contents (Accessed: 29 September 2026).</w:t>
      </w:r>
    </w:p>
    <w:p w14:paraId="614592DB" w14:textId="77777777" w:rsidR="00875B11" w:rsidRPr="003551F1" w:rsidRDefault="001F0770" w:rsidP="00355365">
      <w:pPr>
        <w:spacing w:after="120" w:line="360" w:lineRule="auto"/>
        <w:ind w:left="567" w:hanging="567"/>
        <w:jc w:val="both"/>
      </w:pPr>
      <w:r w:rsidRPr="003551F1">
        <w:t xml:space="preserve">Care Quality Commission (2023) </w:t>
      </w:r>
      <w:r w:rsidRPr="003551F1">
        <w:rPr>
          <w:i/>
          <w:iCs/>
        </w:rPr>
        <w:t>Birmingham City Council: local authority assessment</w:t>
      </w:r>
      <w:r w:rsidRPr="003551F1">
        <w:t>. Available at: https://www.cqc.org.uk/care-services/local-authority-assessment-reports/birmingham-cc/overall-summary (Accessed: 29 September 2026).</w:t>
      </w:r>
    </w:p>
    <w:p w14:paraId="451FB818" w14:textId="77777777" w:rsidR="00875B11" w:rsidRPr="003551F1" w:rsidRDefault="001F0770" w:rsidP="00355365">
      <w:pPr>
        <w:spacing w:after="120" w:line="360" w:lineRule="auto"/>
        <w:ind w:left="567" w:hanging="567"/>
        <w:jc w:val="both"/>
      </w:pPr>
      <w:r w:rsidRPr="003551F1">
        <w:t xml:space="preserve">Hossain, M.Z., Tarafdar, S.A., Kingstone, T., Campbell, P. and Chew-Graham, C.A. (2022) 'From detection to preparing for the end-of-life: a qualitative exploration of the South Asian family carers' experiences of the journey with dementia', </w:t>
      </w:r>
      <w:r w:rsidRPr="003551F1">
        <w:rPr>
          <w:i/>
          <w:iCs/>
        </w:rPr>
        <w:t>Health &amp; Social Care in the Community</w:t>
      </w:r>
      <w:r w:rsidRPr="003551F1">
        <w:t>, 30(6), pp. e5135–e5144.</w:t>
      </w:r>
    </w:p>
    <w:p w14:paraId="6CE65712" w14:textId="77777777" w:rsidR="00875B11" w:rsidRPr="003551F1" w:rsidRDefault="001F0770" w:rsidP="00355365">
      <w:pPr>
        <w:spacing w:after="120" w:line="360" w:lineRule="auto"/>
        <w:ind w:left="567" w:hanging="567"/>
        <w:jc w:val="both"/>
      </w:pPr>
      <w:r w:rsidRPr="003551F1">
        <w:t xml:space="preserve">Nair, P., Spencer, E., Walters, K., Stevenson, F., Dooley, J. and Davies, N. (2026) 'Key factors influencing post-diagnostic support and care planning for people with dementia from South Asian backgrounds: a systematic review of qualitative studies', </w:t>
      </w:r>
      <w:r w:rsidRPr="003551F1">
        <w:rPr>
          <w:i/>
          <w:iCs/>
        </w:rPr>
        <w:t>BMC Geriatrics</w:t>
      </w:r>
      <w:r w:rsidRPr="003551F1">
        <w:t>, 26, article 205.</w:t>
      </w:r>
    </w:p>
    <w:p w14:paraId="5BA72C06" w14:textId="77777777" w:rsidR="00875B11" w:rsidRPr="003551F1" w:rsidRDefault="001F0770" w:rsidP="00355365">
      <w:pPr>
        <w:spacing w:after="120" w:line="360" w:lineRule="auto"/>
        <w:ind w:left="567" w:hanging="567"/>
        <w:jc w:val="both"/>
      </w:pPr>
      <w:r w:rsidRPr="003551F1">
        <w:lastRenderedPageBreak/>
        <w:t xml:space="preserve">Teo, H., </w:t>
      </w:r>
      <w:proofErr w:type="spellStart"/>
      <w:r w:rsidRPr="003551F1">
        <w:t>Vadean</w:t>
      </w:r>
      <w:proofErr w:type="spellEnd"/>
      <w:r w:rsidRPr="003551F1">
        <w:t xml:space="preserve">, F. and </w:t>
      </w:r>
      <w:proofErr w:type="spellStart"/>
      <w:r w:rsidRPr="003551F1">
        <w:t>Saloniki</w:t>
      </w:r>
      <w:proofErr w:type="spellEnd"/>
      <w:r w:rsidRPr="003551F1">
        <w:t xml:space="preserve">, E.-C. (2022) 'Recruitment, retention and employment growth in the long-term care sector in England', </w:t>
      </w:r>
      <w:r w:rsidRPr="003551F1">
        <w:rPr>
          <w:i/>
          <w:iCs/>
        </w:rPr>
        <w:t>Frontiers in Public Health</w:t>
      </w:r>
      <w:r w:rsidRPr="003551F1">
        <w:t>, 10, article 969098.</w:t>
      </w:r>
    </w:p>
    <w:p w14:paraId="3750BDF8" w14:textId="77777777" w:rsidR="00875B11" w:rsidRPr="003551F1" w:rsidRDefault="001F0770" w:rsidP="00355365">
      <w:pPr>
        <w:spacing w:line="360" w:lineRule="auto"/>
        <w:jc w:val="both"/>
      </w:pPr>
      <w:r w:rsidRPr="003551F1">
        <w:br w:type="page"/>
      </w:r>
    </w:p>
    <w:p w14:paraId="2F949A21" w14:textId="77777777" w:rsidR="00875B11" w:rsidRPr="003551F1" w:rsidRDefault="001F0770" w:rsidP="008249B0">
      <w:pPr>
        <w:spacing w:after="80" w:line="360" w:lineRule="auto"/>
        <w:jc w:val="center"/>
      </w:pPr>
      <w:r w:rsidRPr="003551F1">
        <w:rPr>
          <w:b/>
          <w:bCs/>
          <w:color w:val="1F3A5F"/>
        </w:rPr>
        <w:lastRenderedPageBreak/>
        <w:t>Task 2: Essay</w:t>
      </w:r>
    </w:p>
    <w:p w14:paraId="72E99EF4" w14:textId="77777777" w:rsidR="00875B11" w:rsidRPr="003551F1" w:rsidRDefault="001F0770" w:rsidP="00355365">
      <w:pPr>
        <w:spacing w:after="240" w:line="360" w:lineRule="auto"/>
        <w:jc w:val="both"/>
        <w:rPr>
          <w:color w:val="444444"/>
        </w:rPr>
      </w:pPr>
      <w:r w:rsidRPr="003551F1">
        <w:rPr>
          <w:color w:val="444444"/>
        </w:rPr>
        <w:t>Community pharmacy services in England: origins, present function and contribution to quality of life</w:t>
      </w:r>
    </w:p>
    <w:p w14:paraId="69E5D7AF" w14:textId="77777777" w:rsidR="004B3BF0" w:rsidRPr="003551F1" w:rsidRDefault="004B3BF0" w:rsidP="00355365">
      <w:pPr>
        <w:spacing w:after="240" w:line="360" w:lineRule="auto"/>
        <w:jc w:val="both"/>
        <w:rPr>
          <w:color w:val="444444"/>
        </w:rPr>
      </w:pPr>
      <w:r w:rsidRPr="003551F1">
        <w:rPr>
          <w:color w:val="444444"/>
        </w:rPr>
        <w:t>Community pharmacies are one of the most accessible areas of the NHS. If an appointment is not necessitated, people can generally walk in and speak to a trained health professional. This essay begins by outlining the history and origins of the services provided in a pharmacy. It then critically appraises the service now. Lastly, it explores the role of the Pharmacy in enhancing the quality of life of Service Users.</w:t>
      </w:r>
    </w:p>
    <w:p w14:paraId="31904E8F" w14:textId="77777777" w:rsidR="004B3BF0" w:rsidRPr="003551F1" w:rsidRDefault="004B3BF0" w:rsidP="00355365">
      <w:pPr>
        <w:spacing w:after="240" w:line="360" w:lineRule="auto"/>
        <w:jc w:val="both"/>
        <w:rPr>
          <w:color w:val="444444"/>
        </w:rPr>
      </w:pPr>
      <w:r w:rsidRPr="003551F1">
        <w:rPr>
          <w:color w:val="444444"/>
        </w:rPr>
        <w:t>Medicines were sold by apothecaries and by ‘chemists and druggists' in the early nineteenth century. The preparation and sale of these was almost entirely unregulated. Apothecaries Act 1815 licensed apothecaries, who were gradually becoming general practitioners. Consequently, chemists and druggists became the usual sources for medicines for the public. During this time there was an increased awareness of the public about poisoning. To counter this, the Pharmacy Act 1868 provided that registered pharmaceutical chemists alone were allowed to sell listed poisons. This laid the groundwork for the legal structure of the modern profession of pharmacy.</w:t>
      </w:r>
    </w:p>
    <w:p w14:paraId="082292B4" w14:textId="77777777" w:rsidR="004B3BF0" w:rsidRPr="003551F1" w:rsidRDefault="004B3BF0" w:rsidP="00355365">
      <w:pPr>
        <w:spacing w:after="240" w:line="360" w:lineRule="auto"/>
        <w:jc w:val="both"/>
        <w:rPr>
          <w:color w:val="444444"/>
        </w:rPr>
      </w:pPr>
      <w:r w:rsidRPr="003551F1">
        <w:rPr>
          <w:color w:val="444444"/>
        </w:rPr>
        <w:t>The next turning-point was the introduction of the National Insurance Act 1911. This Act saw insured workers being given prescriptions by 'panel' doctors, which were dispensed by chemists. This was the principle that was formed and will go on to stay, for doctors prescribe and pharmacists dispense. The whole population was extended the same arrangement by the National Health Service Act 1946. Medicines were made free at the point of use from the start of the NHS in 1948. Community pharmacy thus became an integral component of the national health service. Pharmacists' primary function for most of the 20th century was however, dispensing.</w:t>
      </w:r>
    </w:p>
    <w:p w14:paraId="3162B332" w14:textId="0EB65E90" w:rsidR="004B3BF0" w:rsidRPr="003551F1" w:rsidRDefault="004B3BF0" w:rsidP="00355365">
      <w:pPr>
        <w:spacing w:after="240" w:line="360" w:lineRule="auto"/>
        <w:jc w:val="both"/>
        <w:rPr>
          <w:color w:val="444444"/>
        </w:rPr>
      </w:pPr>
      <w:r w:rsidRPr="003551F1">
        <w:rPr>
          <w:color w:val="444444"/>
        </w:rPr>
        <w:t>Community pharmacies dispense prescriptions and offer many increasing clinical services today. Pharmacy First was one of the most recent developments which was implemented in England in January 2024. It gives pharmacists the opportunity to provide treatment for common illnesses without requiring a GP appointment, including urinary tract infections and sore throat. More than 400 000 Pharmacy First consultations were identified in the GP Record data analysed (Kingsley et al., 2026). Acute sore throat and uncomplicated urinary tract infections were the most common conditions.</w:t>
      </w:r>
    </w:p>
    <w:p w14:paraId="32815AA9" w14:textId="77777777" w:rsidR="004B3BF0" w:rsidRPr="003551F1" w:rsidRDefault="004B3BF0" w:rsidP="00355365">
      <w:pPr>
        <w:spacing w:after="240" w:line="360" w:lineRule="auto"/>
        <w:jc w:val="both"/>
        <w:rPr>
          <w:color w:val="444444"/>
        </w:rPr>
      </w:pPr>
      <w:r w:rsidRPr="003551F1">
        <w:rPr>
          <w:color w:val="444444"/>
        </w:rPr>
        <w:t xml:space="preserve">The service seems to be going to people who are more likely to be disadvantaged. Kingsley et al. (2026) discovered that it was more likely to be used by women, younger adults and </w:t>
      </w:r>
      <w:r w:rsidRPr="003551F1">
        <w:rPr>
          <w:color w:val="444444"/>
        </w:rPr>
        <w:lastRenderedPageBreak/>
        <w:t>individuals from deprived areas. However, just 36.3% of the consultations that were recorded included a clinical condition, a medication or both. This is because the recording is inconsistent, making it difficult to objectively determine the effect of the service on patients (Kingsley et al., 2026). Pharmacies need to be obliged to provide information on consultations made to GP practices, enabling joined-up care.</w:t>
      </w:r>
    </w:p>
    <w:p w14:paraId="277FC28A" w14:textId="24B8F7B5" w:rsidR="004B3BF0" w:rsidRPr="003551F1" w:rsidRDefault="004B3BF0" w:rsidP="00355365">
      <w:pPr>
        <w:spacing w:after="240" w:line="360" w:lineRule="auto"/>
        <w:jc w:val="both"/>
        <w:rPr>
          <w:color w:val="444444"/>
        </w:rPr>
      </w:pPr>
      <w:r w:rsidRPr="003551F1">
        <w:rPr>
          <w:color w:val="444444"/>
        </w:rPr>
        <w:t xml:space="preserve">The size of the pharmacy network is also decreasing. Between 2014 and 2023, pharmacy availability in England fell from 1.60 to 1.51 per 10,000 people (Zied </w:t>
      </w:r>
      <w:proofErr w:type="spellStart"/>
      <w:r w:rsidRPr="003551F1">
        <w:rPr>
          <w:color w:val="444444"/>
        </w:rPr>
        <w:t>Abozied</w:t>
      </w:r>
      <w:proofErr w:type="spellEnd"/>
      <w:r w:rsidRPr="003551F1">
        <w:rPr>
          <w:color w:val="444444"/>
        </w:rPr>
        <w:t xml:space="preserve"> et al., 2025). In 2023 there were still more pharmacies per head in the most deprived areas when compared with the least deprived areas. They have, however, experienced a loss of 11.8% of their pharmacies, compared with 3.0% in the least deprived areas. Road access, which has declined by approximately 10% in the last three years (2022-24; Clark and </w:t>
      </w:r>
      <w:proofErr w:type="spellStart"/>
      <w:r w:rsidRPr="003551F1">
        <w:rPr>
          <w:color w:val="444444"/>
        </w:rPr>
        <w:t>Newing</w:t>
      </w:r>
      <w:proofErr w:type="spellEnd"/>
      <w:r w:rsidRPr="003551F1">
        <w:rPr>
          <w:color w:val="444444"/>
        </w:rPr>
        <w:t>, 2025), also fell. Suburban and rural neighbourhoods were typically less accessible than more deprived urban neighbourhoods. The areas most deprived of access were predominantly rural, and were termed pharmacy deserts. Pharmacies are thus facing an increased demand of doing more with less.</w:t>
      </w:r>
    </w:p>
    <w:p w14:paraId="6B56E400" w14:textId="77777777" w:rsidR="004B3BF0" w:rsidRPr="003551F1" w:rsidRDefault="004B3BF0" w:rsidP="00355365">
      <w:pPr>
        <w:spacing w:after="240" w:line="360" w:lineRule="auto"/>
        <w:jc w:val="both"/>
        <w:rPr>
          <w:color w:val="444444"/>
        </w:rPr>
      </w:pPr>
      <w:r w:rsidRPr="003551F1">
        <w:rPr>
          <w:color w:val="444444"/>
        </w:rPr>
        <w:t xml:space="preserve">The quality of life is enhanced by services provided by a pharmacy primarily because of access to them. In England the majority of the population (91%) reside within a 20-minute walking distance from a pharmacy (Zied </w:t>
      </w:r>
      <w:proofErr w:type="spellStart"/>
      <w:r w:rsidRPr="003551F1">
        <w:rPr>
          <w:color w:val="444444"/>
        </w:rPr>
        <w:t>Abozied</w:t>
      </w:r>
      <w:proofErr w:type="spellEnd"/>
      <w:r w:rsidRPr="003551F1">
        <w:rPr>
          <w:color w:val="444444"/>
        </w:rPr>
        <w:t xml:space="preserve"> et al., 2025). This enables the treatment of minor ailments quickly and within easy reach. Quick treatment can help lessen the pain, distress, and lost school/work days. It can also release GP appointments for individuals who are more complex.</w:t>
      </w:r>
    </w:p>
    <w:p w14:paraId="7F75B2DB" w14:textId="0ECA7B3B" w:rsidR="004B3BF0" w:rsidRPr="003551F1" w:rsidRDefault="004B3BF0" w:rsidP="00355365">
      <w:pPr>
        <w:spacing w:after="240" w:line="360" w:lineRule="auto"/>
        <w:jc w:val="both"/>
        <w:rPr>
          <w:color w:val="444444"/>
        </w:rPr>
      </w:pPr>
      <w:r w:rsidRPr="003551F1">
        <w:rPr>
          <w:color w:val="444444"/>
        </w:rPr>
        <w:t xml:space="preserve">Another key benefit is the advice on medicines. Pharmacist counselling has been shown to positively impact medication adherence and quality of life through a meta-analysis of 60 randomized trials </w:t>
      </w:r>
      <w:r w:rsidR="008249B0" w:rsidRPr="003551F1">
        <w:rPr>
          <w:color w:val="444444"/>
        </w:rPr>
        <w:t>(Kelly</w:t>
      </w:r>
      <w:r w:rsidRPr="003551F1">
        <w:rPr>
          <w:color w:val="444444"/>
        </w:rPr>
        <w:t xml:space="preserve"> et al., 2023). The analysis also indicated that the place and design of counselling can influence the effectiveness of counselling. The authors gave it a very low overall rating for the quality of this evidence, though. The benefits seem, therefore, to be genuine, though the magnitude is still unknown. These benefits are also in jeopardy for older persons and people with disabilities who do not drive. The loss of a local pharmacy could represent a great deal more distance for these groups.</w:t>
      </w:r>
    </w:p>
    <w:p w14:paraId="73BA4178" w14:textId="615B7A43" w:rsidR="004B3BF0" w:rsidRPr="003551F1" w:rsidRDefault="004B3BF0" w:rsidP="00355365">
      <w:pPr>
        <w:spacing w:after="240" w:line="360" w:lineRule="auto"/>
        <w:jc w:val="both"/>
        <w:rPr>
          <w:color w:val="444444"/>
        </w:rPr>
      </w:pPr>
      <w:r w:rsidRPr="003551F1">
        <w:rPr>
          <w:color w:val="444444"/>
        </w:rPr>
        <w:t xml:space="preserve">Finally, community pharmacy has evolved from a relatively unregulated trade to a regulated health profession. It has been an integral part of the NHS since 1948 and now delivers greater clinical services than ever before. It enhances quality of life by providing rapid local and dependable assistance. But these advantages are at risk of being undermined by closures </w:t>
      </w:r>
      <w:r w:rsidRPr="003551F1">
        <w:rPr>
          <w:color w:val="444444"/>
        </w:rPr>
        <w:lastRenderedPageBreak/>
        <w:t xml:space="preserve">and by poor data, particularly in deprived and rural communities. Better funding and evaluation </w:t>
      </w:r>
      <w:proofErr w:type="gramStart"/>
      <w:r w:rsidRPr="003551F1">
        <w:rPr>
          <w:color w:val="444444"/>
        </w:rPr>
        <w:t>is</w:t>
      </w:r>
      <w:proofErr w:type="gramEnd"/>
      <w:r w:rsidRPr="003551F1">
        <w:rPr>
          <w:color w:val="444444"/>
        </w:rPr>
        <w:t xml:space="preserve"> key to meet the increasing responsibility of the pharmacy.</w:t>
      </w:r>
    </w:p>
    <w:p w14:paraId="3725D313" w14:textId="77777777" w:rsidR="00875B11" w:rsidRPr="003551F1" w:rsidRDefault="001F0770" w:rsidP="00355365">
      <w:pPr>
        <w:pStyle w:val="Heading2"/>
        <w:spacing w:line="360" w:lineRule="auto"/>
        <w:jc w:val="both"/>
        <w:rPr>
          <w:sz w:val="22"/>
          <w:szCs w:val="22"/>
        </w:rPr>
      </w:pPr>
      <w:r w:rsidRPr="003551F1">
        <w:rPr>
          <w:sz w:val="22"/>
          <w:szCs w:val="22"/>
        </w:rPr>
        <w:t>References</w:t>
      </w:r>
    </w:p>
    <w:p w14:paraId="411F553F" w14:textId="77777777" w:rsidR="00875B11" w:rsidRPr="003551F1" w:rsidRDefault="001F0770" w:rsidP="008249B0">
      <w:pPr>
        <w:spacing w:after="120" w:line="360" w:lineRule="auto"/>
        <w:ind w:left="567" w:hanging="567"/>
        <w:jc w:val="both"/>
      </w:pPr>
      <w:r w:rsidRPr="003551F1">
        <w:t>Apothecaries Act 1815 (55 Geo. 3 c. 194).</w:t>
      </w:r>
    </w:p>
    <w:p w14:paraId="6A162774" w14:textId="77777777" w:rsidR="00875B11" w:rsidRPr="003551F1" w:rsidRDefault="001F0770" w:rsidP="008249B0">
      <w:pPr>
        <w:spacing w:after="120" w:line="360" w:lineRule="auto"/>
        <w:ind w:left="567" w:hanging="567"/>
        <w:jc w:val="both"/>
      </w:pPr>
      <w:r w:rsidRPr="003551F1">
        <w:t xml:space="preserve">Clark, S.D. and </w:t>
      </w:r>
      <w:proofErr w:type="spellStart"/>
      <w:r w:rsidRPr="003551F1">
        <w:t>Newing</w:t>
      </w:r>
      <w:proofErr w:type="spellEnd"/>
      <w:r w:rsidRPr="003551F1">
        <w:t xml:space="preserve">, A. (2025) 'Assessing spatial accessibility of community pharmacies in England and Wales using floating catchment area techniques', </w:t>
      </w:r>
      <w:r w:rsidRPr="003551F1">
        <w:rPr>
          <w:i/>
          <w:iCs/>
        </w:rPr>
        <w:t>Journal of Pharmaceutical Policy and Practice</w:t>
      </w:r>
      <w:r w:rsidRPr="003551F1">
        <w:t>, 18(1), article 2466203.</w:t>
      </w:r>
    </w:p>
    <w:p w14:paraId="6EF4779C" w14:textId="77777777" w:rsidR="00875B11" w:rsidRPr="003551F1" w:rsidRDefault="001F0770" w:rsidP="008249B0">
      <w:pPr>
        <w:spacing w:after="120" w:line="360" w:lineRule="auto"/>
        <w:ind w:left="567" w:hanging="567"/>
        <w:jc w:val="both"/>
      </w:pPr>
      <w:r w:rsidRPr="003551F1">
        <w:t xml:space="preserve">Kelly, W.N., Ho, M.J., Smith, T., Bullers, K. and Kumar, A. (2023) 'Association of pharmacist intervention </w:t>
      </w:r>
      <w:proofErr w:type="spellStart"/>
      <w:r w:rsidRPr="003551F1">
        <w:t>counseling</w:t>
      </w:r>
      <w:proofErr w:type="spellEnd"/>
      <w:r w:rsidRPr="003551F1">
        <w:t xml:space="preserve"> with medication adherence and quality of life: a systematic review and meta-analysis of randomized trials', </w:t>
      </w:r>
      <w:r w:rsidRPr="003551F1">
        <w:rPr>
          <w:i/>
          <w:iCs/>
        </w:rPr>
        <w:t>Journal of the American Pharmacists Association</w:t>
      </w:r>
      <w:r w:rsidRPr="003551F1">
        <w:t>, 63(4), pp. 1095–1105.</w:t>
      </w:r>
    </w:p>
    <w:p w14:paraId="339DA025" w14:textId="77777777" w:rsidR="00875B11" w:rsidRPr="003551F1" w:rsidRDefault="001F0770" w:rsidP="008249B0">
      <w:pPr>
        <w:spacing w:after="120" w:line="360" w:lineRule="auto"/>
        <w:ind w:left="567" w:hanging="567"/>
        <w:jc w:val="both"/>
      </w:pPr>
      <w:r w:rsidRPr="003551F1">
        <w:t xml:space="preserve">Kingsley, V.J. </w:t>
      </w:r>
      <w:r w:rsidRPr="003551F1">
        <w:rPr>
          <w:i/>
          <w:iCs/>
        </w:rPr>
        <w:t>et al.</w:t>
      </w:r>
      <w:r w:rsidRPr="003551F1">
        <w:t xml:space="preserve"> (2026) 'Recording of Pharmacy First consultations in general practice records in England: an observational study of the service's first year using </w:t>
      </w:r>
      <w:proofErr w:type="spellStart"/>
      <w:r w:rsidRPr="003551F1">
        <w:t>OpenSAFELY</w:t>
      </w:r>
      <w:proofErr w:type="spellEnd"/>
      <w:r w:rsidRPr="003551F1">
        <w:t xml:space="preserve">', </w:t>
      </w:r>
      <w:r w:rsidRPr="003551F1">
        <w:rPr>
          <w:i/>
          <w:iCs/>
        </w:rPr>
        <w:t>British Journal of General Practice</w:t>
      </w:r>
      <w:r w:rsidRPr="003551F1">
        <w:t>. Available at: https://doi.org/10.3399/BJGP.2025.0678 (Accessed: 29 September 2026).</w:t>
      </w:r>
    </w:p>
    <w:p w14:paraId="41158AAD" w14:textId="77777777" w:rsidR="00875B11" w:rsidRPr="003551F1" w:rsidRDefault="001F0770" w:rsidP="008249B0">
      <w:pPr>
        <w:spacing w:after="120" w:line="360" w:lineRule="auto"/>
        <w:ind w:left="567" w:hanging="567"/>
        <w:jc w:val="both"/>
      </w:pPr>
      <w:r w:rsidRPr="003551F1">
        <w:t>National Health Service Act 1946 (9 &amp; 10 Geo. 6 c. 81).</w:t>
      </w:r>
    </w:p>
    <w:p w14:paraId="7275E384" w14:textId="77777777" w:rsidR="00875B11" w:rsidRPr="003551F1" w:rsidRDefault="001F0770" w:rsidP="008249B0">
      <w:pPr>
        <w:spacing w:after="120" w:line="360" w:lineRule="auto"/>
        <w:ind w:left="567" w:hanging="567"/>
        <w:jc w:val="both"/>
      </w:pPr>
      <w:r w:rsidRPr="003551F1">
        <w:t>National Insurance Act 1911 (1 &amp; 2 Geo. 5 c. 55).</w:t>
      </w:r>
    </w:p>
    <w:p w14:paraId="2FA62289" w14:textId="77777777" w:rsidR="00875B11" w:rsidRPr="003551F1" w:rsidRDefault="001F0770" w:rsidP="008249B0">
      <w:pPr>
        <w:spacing w:after="120" w:line="360" w:lineRule="auto"/>
        <w:ind w:left="567" w:hanging="567"/>
        <w:jc w:val="both"/>
      </w:pPr>
      <w:r w:rsidRPr="003551F1">
        <w:t>Pharmacy Act 1868 (31 &amp; 32 Vict. c. 121).</w:t>
      </w:r>
    </w:p>
    <w:p w14:paraId="1387A4AF" w14:textId="77777777" w:rsidR="00875B11" w:rsidRPr="003551F1" w:rsidRDefault="001F0770" w:rsidP="008249B0">
      <w:pPr>
        <w:spacing w:after="120" w:line="360" w:lineRule="auto"/>
        <w:ind w:left="567" w:hanging="567"/>
        <w:jc w:val="both"/>
      </w:pPr>
      <w:r w:rsidRPr="003551F1">
        <w:t xml:space="preserve">Zied </w:t>
      </w:r>
      <w:proofErr w:type="spellStart"/>
      <w:r w:rsidRPr="003551F1">
        <w:t>Abozied</w:t>
      </w:r>
      <w:proofErr w:type="spellEnd"/>
      <w:r w:rsidRPr="003551F1">
        <w:t xml:space="preserve">, E., Munford, L.A., Copeland, A., Kasim, A., Husband, A., Bambra, C. and Todd, A. (2025) 'The Positive Pharmacy Care Law revisited: an area-level analysis of the relationship between community pharmacy distribution, urbanicity and deprivation in England', </w:t>
      </w:r>
      <w:r w:rsidRPr="003551F1">
        <w:rPr>
          <w:i/>
          <w:iCs/>
        </w:rPr>
        <w:t>BMJ Open</w:t>
      </w:r>
      <w:r w:rsidRPr="003551F1">
        <w:t>, 15(5), article e095540.</w:t>
      </w:r>
    </w:p>
    <w:sectPr w:rsidR="00875B11" w:rsidRPr="003551F1">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245EF" w14:textId="77777777" w:rsidR="001F0770" w:rsidRDefault="001F0770">
      <w:r>
        <w:separator/>
      </w:r>
    </w:p>
  </w:endnote>
  <w:endnote w:type="continuationSeparator" w:id="0">
    <w:p w14:paraId="371BBF08" w14:textId="77777777" w:rsidR="001F0770" w:rsidRDefault="001F0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EDF1" w14:textId="77777777" w:rsidR="00875B11" w:rsidRDefault="001F0770">
    <w:pPr>
      <w:jc w:val="center"/>
    </w:pPr>
    <w:r>
      <w:rPr>
        <w:color w:val="777777"/>
        <w:sz w:val="16"/>
        <w:szCs w:val="16"/>
      </w:rPr>
      <w:t xml:space="preserve">Page </w:t>
    </w:r>
    <w:r>
      <w:rPr>
        <w:color w:val="777777"/>
        <w:sz w:val="16"/>
        <w:szCs w:val="16"/>
      </w:rPr>
      <w:fldChar w:fldCharType="begin"/>
    </w:r>
    <w:r>
      <w:rPr>
        <w:color w:val="777777"/>
        <w:sz w:val="16"/>
        <w:szCs w:val="16"/>
      </w:rPr>
      <w:instrText>PAGE</w:instrText>
    </w:r>
    <w:r>
      <w:rPr>
        <w:color w:val="777777"/>
        <w:sz w:val="16"/>
        <w:szCs w:val="16"/>
      </w:rPr>
      <w:fldChar w:fldCharType="separate"/>
    </w:r>
    <w:r w:rsidR="004B3BF0">
      <w:rPr>
        <w:noProof/>
        <w:color w:val="777777"/>
        <w:sz w:val="16"/>
        <w:szCs w:val="16"/>
      </w:rPr>
      <w:t>1</w:t>
    </w:r>
    <w:r>
      <w:rPr>
        <w:color w:val="777777"/>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EBB02" w14:textId="77777777" w:rsidR="001F0770" w:rsidRDefault="001F0770">
      <w:r>
        <w:separator/>
      </w:r>
    </w:p>
  </w:footnote>
  <w:footnote w:type="continuationSeparator" w:id="0">
    <w:p w14:paraId="5C7590F8" w14:textId="77777777" w:rsidR="001F0770" w:rsidRDefault="001F07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E473C"/>
    <w:multiLevelType w:val="hybridMultilevel"/>
    <w:tmpl w:val="F8C0AA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692FD5"/>
    <w:multiLevelType w:val="hybridMultilevel"/>
    <w:tmpl w:val="8B744C80"/>
    <w:lvl w:ilvl="0" w:tplc="272E7684">
      <w:start w:val="1"/>
      <w:numFmt w:val="bullet"/>
      <w:lvlText w:val="●"/>
      <w:lvlJc w:val="left"/>
      <w:pPr>
        <w:ind w:left="720" w:hanging="360"/>
      </w:pPr>
    </w:lvl>
    <w:lvl w:ilvl="1" w:tplc="36605B82">
      <w:start w:val="1"/>
      <w:numFmt w:val="bullet"/>
      <w:lvlText w:val="○"/>
      <w:lvlJc w:val="left"/>
      <w:pPr>
        <w:ind w:left="1440" w:hanging="360"/>
      </w:pPr>
    </w:lvl>
    <w:lvl w:ilvl="2" w:tplc="07FE0AA6">
      <w:start w:val="1"/>
      <w:numFmt w:val="bullet"/>
      <w:lvlText w:val="■"/>
      <w:lvlJc w:val="left"/>
      <w:pPr>
        <w:ind w:left="2160" w:hanging="360"/>
      </w:pPr>
    </w:lvl>
    <w:lvl w:ilvl="3" w:tplc="FD0408EE">
      <w:start w:val="1"/>
      <w:numFmt w:val="bullet"/>
      <w:lvlText w:val="●"/>
      <w:lvlJc w:val="left"/>
      <w:pPr>
        <w:ind w:left="2880" w:hanging="360"/>
      </w:pPr>
    </w:lvl>
    <w:lvl w:ilvl="4" w:tplc="146CEBD4">
      <w:start w:val="1"/>
      <w:numFmt w:val="bullet"/>
      <w:lvlText w:val="○"/>
      <w:lvlJc w:val="left"/>
      <w:pPr>
        <w:ind w:left="3600" w:hanging="360"/>
      </w:pPr>
    </w:lvl>
    <w:lvl w:ilvl="5" w:tplc="B65EA136">
      <w:start w:val="1"/>
      <w:numFmt w:val="bullet"/>
      <w:lvlText w:val="■"/>
      <w:lvlJc w:val="left"/>
      <w:pPr>
        <w:ind w:left="4320" w:hanging="360"/>
      </w:pPr>
    </w:lvl>
    <w:lvl w:ilvl="6" w:tplc="1D1E4824">
      <w:start w:val="1"/>
      <w:numFmt w:val="bullet"/>
      <w:lvlText w:val="●"/>
      <w:lvlJc w:val="left"/>
      <w:pPr>
        <w:ind w:left="5040" w:hanging="360"/>
      </w:pPr>
    </w:lvl>
    <w:lvl w:ilvl="7" w:tplc="F7E248D2">
      <w:start w:val="1"/>
      <w:numFmt w:val="bullet"/>
      <w:lvlText w:val="●"/>
      <w:lvlJc w:val="left"/>
      <w:pPr>
        <w:ind w:left="5760" w:hanging="360"/>
      </w:pPr>
    </w:lvl>
    <w:lvl w:ilvl="8" w:tplc="F7F4F7CC">
      <w:start w:val="1"/>
      <w:numFmt w:val="bullet"/>
      <w:lvlText w:val="●"/>
      <w:lvlJc w:val="left"/>
      <w:pPr>
        <w:ind w:left="6480" w:hanging="360"/>
      </w:pPr>
    </w:lvl>
  </w:abstractNum>
  <w:abstractNum w:abstractNumId="2" w15:restartNumberingAfterBreak="0">
    <w:nsid w:val="73317C48"/>
    <w:multiLevelType w:val="hybridMultilevel"/>
    <w:tmpl w:val="3CAACCE8"/>
    <w:lvl w:ilvl="0" w:tplc="7D56AE2E">
      <w:start w:val="1"/>
      <w:numFmt w:val="decimal"/>
      <w:lvlText w:val="%1."/>
      <w:lvlJc w:val="left"/>
      <w:pPr>
        <w:ind w:left="720" w:hanging="360"/>
      </w:pPr>
    </w:lvl>
    <w:lvl w:ilvl="1" w:tplc="90E652EC">
      <w:numFmt w:val="decimal"/>
      <w:lvlText w:val=""/>
      <w:lvlJc w:val="left"/>
    </w:lvl>
    <w:lvl w:ilvl="2" w:tplc="82AC5E94">
      <w:numFmt w:val="decimal"/>
      <w:lvlText w:val=""/>
      <w:lvlJc w:val="left"/>
    </w:lvl>
    <w:lvl w:ilvl="3" w:tplc="B1C69636">
      <w:numFmt w:val="decimal"/>
      <w:lvlText w:val=""/>
      <w:lvlJc w:val="left"/>
    </w:lvl>
    <w:lvl w:ilvl="4" w:tplc="414C5CE4">
      <w:numFmt w:val="decimal"/>
      <w:lvlText w:val=""/>
      <w:lvlJc w:val="left"/>
    </w:lvl>
    <w:lvl w:ilvl="5" w:tplc="11EE3D3E">
      <w:numFmt w:val="decimal"/>
      <w:lvlText w:val=""/>
      <w:lvlJc w:val="left"/>
    </w:lvl>
    <w:lvl w:ilvl="6" w:tplc="DD602ACC">
      <w:numFmt w:val="decimal"/>
      <w:lvlText w:val=""/>
      <w:lvlJc w:val="left"/>
    </w:lvl>
    <w:lvl w:ilvl="7" w:tplc="4BEE766E">
      <w:numFmt w:val="decimal"/>
      <w:lvlText w:val=""/>
      <w:lvlJc w:val="left"/>
    </w:lvl>
    <w:lvl w:ilvl="8" w:tplc="E36084B6">
      <w:numFmt w:val="decimal"/>
      <w:lvlText w:val=""/>
      <w:lvlJc w:val="left"/>
    </w:lvl>
  </w:abstractNum>
  <w:num w:numId="1" w16cid:durableId="726226344">
    <w:abstractNumId w:val="1"/>
    <w:lvlOverride w:ilvl="0">
      <w:startOverride w:val="1"/>
    </w:lvlOverride>
  </w:num>
  <w:num w:numId="2" w16cid:durableId="1346857041">
    <w:abstractNumId w:val="2"/>
    <w:lvlOverride w:ilvl="0">
      <w:startOverride w:val="1"/>
    </w:lvlOverride>
  </w:num>
  <w:num w:numId="3" w16cid:durableId="444152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B11"/>
    <w:rsid w:val="00180945"/>
    <w:rsid w:val="001F0770"/>
    <w:rsid w:val="00224B6E"/>
    <w:rsid w:val="00340901"/>
    <w:rsid w:val="003551F1"/>
    <w:rsid w:val="00355365"/>
    <w:rsid w:val="0036443D"/>
    <w:rsid w:val="003C03C5"/>
    <w:rsid w:val="003C2BBB"/>
    <w:rsid w:val="004B3BF0"/>
    <w:rsid w:val="006610D5"/>
    <w:rsid w:val="00810777"/>
    <w:rsid w:val="008249B0"/>
    <w:rsid w:val="00875B11"/>
    <w:rsid w:val="00BC6E5F"/>
    <w:rsid w:val="00DF7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6C825"/>
  <w15:docId w15:val="{C56F88E3-1E7D-45AB-8504-8BBAFE95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1F3A5F"/>
      <w:sz w:val="26"/>
      <w:szCs w:val="26"/>
    </w:rPr>
  </w:style>
  <w:style w:type="paragraph" w:styleId="Heading2">
    <w:name w:val="heading 2"/>
    <w:uiPriority w:val="9"/>
    <w:unhideWhenUsed/>
    <w:qFormat/>
    <w:pPr>
      <w:spacing w:before="200" w:after="100"/>
      <w:outlineLvl w:val="1"/>
    </w:pPr>
    <w:rPr>
      <w:b/>
      <w:bCs/>
      <w:color w:val="2A6F97"/>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24B6E"/>
    <w:pPr>
      <w:tabs>
        <w:tab w:val="center" w:pos="4513"/>
        <w:tab w:val="right" w:pos="9026"/>
      </w:tabs>
    </w:pPr>
  </w:style>
  <w:style w:type="character" w:customStyle="1" w:styleId="HeaderChar">
    <w:name w:val="Header Char"/>
    <w:basedOn w:val="DefaultParagraphFont"/>
    <w:link w:val="Header"/>
    <w:uiPriority w:val="99"/>
    <w:rsid w:val="00224B6E"/>
  </w:style>
  <w:style w:type="paragraph" w:styleId="Footer">
    <w:name w:val="footer"/>
    <w:basedOn w:val="Normal"/>
    <w:link w:val="FooterChar"/>
    <w:uiPriority w:val="99"/>
    <w:unhideWhenUsed/>
    <w:rsid w:val="00224B6E"/>
    <w:pPr>
      <w:tabs>
        <w:tab w:val="center" w:pos="4513"/>
        <w:tab w:val="right" w:pos="9026"/>
      </w:tabs>
    </w:pPr>
  </w:style>
  <w:style w:type="character" w:customStyle="1" w:styleId="FooterChar">
    <w:name w:val="Footer Char"/>
    <w:basedOn w:val="DefaultParagraphFont"/>
    <w:link w:val="Footer"/>
    <w:uiPriority w:val="99"/>
    <w:rsid w:val="00224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21ef0a2d12d175796bef9933cf37f51f">
  <xsd:schema xmlns:xsd="http://www.w3.org/2001/XMLSchema" xmlns:xs="http://www.w3.org/2001/XMLSchema" xmlns:p="http://schemas.microsoft.com/office/2006/metadata/properties" xmlns:ns3="930350eb-f8df-4f84-845c-a06ee073f72d" targetNamespace="http://schemas.microsoft.com/office/2006/metadata/properties" ma:root="true" ma:fieldsID="4ef2f77f62a4b9dc78e3b3c66e63d073"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B0B6465A-E4B7-4CC5-8A9C-CA74E538E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3AAE95-B468-477E-86ED-CB94B85AFB75}">
  <ds:schemaRefs>
    <ds:schemaRef ds:uri="http://schemas.microsoft.com/sharepoint/v3/contenttype/forms"/>
  </ds:schemaRefs>
</ds:datastoreItem>
</file>

<file path=customXml/itemProps3.xml><?xml version="1.0" encoding="utf-8"?>
<ds:datastoreItem xmlns:ds="http://schemas.openxmlformats.org/officeDocument/2006/customXml" ds:itemID="{CEBADE62-E98B-4A8E-8F80-7FEB98A55088}">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2133</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Asha Ali (2534611)</cp:lastModifiedBy>
  <cp:revision>2</cp:revision>
  <dcterms:created xsi:type="dcterms:W3CDTF">2026-10-05T19:10:00Z</dcterms:created>
  <dcterms:modified xsi:type="dcterms:W3CDTF">2026-10-05T19:10:00Z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