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BE415" w14:textId="77777777" w:rsidR="006131C3" w:rsidRDefault="006131C3" w:rsidP="008013AD">
      <w:pPr>
        <w:pStyle w:val="Title"/>
        <w:spacing w:before="240" w:line="360" w:lineRule="auto"/>
        <w:rPr>
          <w:rFonts w:ascii="Arial" w:hAnsi="Arial" w:cs="Arial"/>
          <w:sz w:val="22"/>
          <w:szCs w:val="22"/>
        </w:rPr>
      </w:pPr>
    </w:p>
    <w:p w14:paraId="31B012AD" w14:textId="77777777" w:rsidR="006131C3" w:rsidRDefault="006131C3" w:rsidP="008013AD">
      <w:pPr>
        <w:pStyle w:val="Title"/>
        <w:spacing w:before="240" w:line="360" w:lineRule="auto"/>
        <w:rPr>
          <w:rFonts w:ascii="Arial" w:hAnsi="Arial" w:cs="Arial"/>
          <w:sz w:val="22"/>
          <w:szCs w:val="22"/>
        </w:rPr>
      </w:pPr>
    </w:p>
    <w:p w14:paraId="24BF68ED" w14:textId="77777777" w:rsidR="006131C3" w:rsidRDefault="006131C3" w:rsidP="008013AD">
      <w:pPr>
        <w:pStyle w:val="Title"/>
        <w:spacing w:before="240" w:line="360" w:lineRule="auto"/>
        <w:rPr>
          <w:rFonts w:ascii="Arial" w:hAnsi="Arial" w:cs="Arial"/>
          <w:sz w:val="22"/>
          <w:szCs w:val="22"/>
        </w:rPr>
      </w:pPr>
    </w:p>
    <w:p w14:paraId="69961165" w14:textId="77777777" w:rsidR="006131C3" w:rsidRDefault="006131C3" w:rsidP="008013AD">
      <w:pPr>
        <w:pStyle w:val="Title"/>
        <w:spacing w:before="240" w:line="360" w:lineRule="auto"/>
        <w:rPr>
          <w:rFonts w:ascii="Arial" w:hAnsi="Arial" w:cs="Arial"/>
          <w:sz w:val="22"/>
          <w:szCs w:val="22"/>
        </w:rPr>
      </w:pPr>
    </w:p>
    <w:p w14:paraId="7F2D7461" w14:textId="77777777" w:rsidR="006131C3" w:rsidRDefault="006131C3" w:rsidP="008013AD">
      <w:pPr>
        <w:pStyle w:val="Title"/>
        <w:spacing w:before="240" w:line="360" w:lineRule="auto"/>
        <w:rPr>
          <w:rFonts w:ascii="Arial" w:hAnsi="Arial" w:cs="Arial"/>
          <w:sz w:val="22"/>
          <w:szCs w:val="22"/>
        </w:rPr>
      </w:pPr>
    </w:p>
    <w:p w14:paraId="1CE1F996" w14:textId="7E1DC507" w:rsidR="00D13908" w:rsidRPr="008013AD" w:rsidRDefault="00D13908" w:rsidP="008013AD">
      <w:pPr>
        <w:pStyle w:val="Title"/>
        <w:spacing w:before="240" w:line="360" w:lineRule="auto"/>
        <w:rPr>
          <w:rFonts w:ascii="Arial" w:hAnsi="Arial" w:cs="Arial"/>
          <w:sz w:val="22"/>
          <w:szCs w:val="22"/>
        </w:rPr>
      </w:pPr>
      <w:r w:rsidRPr="008013AD">
        <w:rPr>
          <w:rFonts w:ascii="Arial" w:hAnsi="Arial" w:cs="Arial"/>
          <w:sz w:val="22"/>
          <w:szCs w:val="22"/>
        </w:rPr>
        <w:t xml:space="preserve">Name: Kiran </w:t>
      </w:r>
      <w:proofErr w:type="spellStart"/>
      <w:r w:rsidRPr="008013AD">
        <w:rPr>
          <w:rFonts w:ascii="Arial" w:hAnsi="Arial" w:cs="Arial"/>
          <w:sz w:val="22"/>
          <w:szCs w:val="22"/>
        </w:rPr>
        <w:t>Naaz</w:t>
      </w:r>
      <w:proofErr w:type="spellEnd"/>
    </w:p>
    <w:p w14:paraId="6BC2E75C" w14:textId="05AD1390" w:rsidR="00D13908" w:rsidRPr="008013AD" w:rsidRDefault="00D13908" w:rsidP="008013AD">
      <w:pPr>
        <w:pStyle w:val="Title"/>
        <w:spacing w:before="240" w:line="360" w:lineRule="auto"/>
        <w:rPr>
          <w:rFonts w:ascii="Arial" w:hAnsi="Arial" w:cs="Arial"/>
          <w:sz w:val="22"/>
          <w:szCs w:val="22"/>
        </w:rPr>
      </w:pPr>
      <w:r w:rsidRPr="008013AD">
        <w:rPr>
          <w:rFonts w:ascii="Arial" w:hAnsi="Arial" w:cs="Arial"/>
          <w:sz w:val="22"/>
          <w:szCs w:val="22"/>
        </w:rPr>
        <w:t>Student no: 2309152</w:t>
      </w:r>
    </w:p>
    <w:p w14:paraId="112AA35B" w14:textId="2075A3BC" w:rsidR="00D13908" w:rsidRPr="008013AD" w:rsidRDefault="00D13908" w:rsidP="008013AD">
      <w:pPr>
        <w:pStyle w:val="Title"/>
        <w:spacing w:before="240" w:line="360" w:lineRule="auto"/>
        <w:rPr>
          <w:rFonts w:ascii="Arial" w:hAnsi="Arial" w:cs="Arial"/>
          <w:sz w:val="22"/>
          <w:szCs w:val="22"/>
        </w:rPr>
      </w:pPr>
      <w:r w:rsidRPr="008013AD">
        <w:rPr>
          <w:rFonts w:ascii="Arial" w:hAnsi="Arial" w:cs="Arial"/>
          <w:sz w:val="22"/>
          <w:szCs w:val="22"/>
        </w:rPr>
        <w:t xml:space="preserve">Module: </w:t>
      </w:r>
      <w:r w:rsidR="00AF367B">
        <w:rPr>
          <w:rFonts w:ascii="Arial" w:hAnsi="Arial" w:cs="Arial"/>
          <w:sz w:val="22"/>
          <w:szCs w:val="22"/>
        </w:rPr>
        <w:t xml:space="preserve">Psychopathological Classifications </w:t>
      </w:r>
      <w:r w:rsidR="00090D17">
        <w:rPr>
          <w:rFonts w:ascii="Arial" w:hAnsi="Arial" w:cs="Arial"/>
          <w:sz w:val="22"/>
          <w:szCs w:val="22"/>
        </w:rPr>
        <w:t xml:space="preserve">and </w:t>
      </w:r>
      <w:r w:rsidR="0068681C">
        <w:rPr>
          <w:rFonts w:ascii="Arial" w:hAnsi="Arial" w:cs="Arial"/>
          <w:sz w:val="22"/>
          <w:szCs w:val="22"/>
        </w:rPr>
        <w:t xml:space="preserve">Provisions </w:t>
      </w:r>
    </w:p>
    <w:p w14:paraId="2D267606" w14:textId="0FE9A88F" w:rsidR="00D13908" w:rsidRPr="008013AD" w:rsidRDefault="00D13908" w:rsidP="008013AD">
      <w:pPr>
        <w:pStyle w:val="Title"/>
        <w:spacing w:before="240" w:line="360" w:lineRule="auto"/>
        <w:rPr>
          <w:rFonts w:ascii="Arial" w:hAnsi="Arial" w:cs="Arial"/>
          <w:sz w:val="22"/>
          <w:szCs w:val="22"/>
        </w:rPr>
      </w:pPr>
      <w:r w:rsidRPr="008013AD">
        <w:rPr>
          <w:rFonts w:ascii="Arial" w:hAnsi="Arial" w:cs="Arial"/>
          <w:sz w:val="22"/>
          <w:szCs w:val="22"/>
        </w:rPr>
        <w:t>Module Code: BMHP6</w:t>
      </w:r>
      <w:r w:rsidR="00E94A77">
        <w:rPr>
          <w:rFonts w:ascii="Arial" w:hAnsi="Arial" w:cs="Arial"/>
          <w:sz w:val="22"/>
          <w:szCs w:val="22"/>
        </w:rPr>
        <w:t>029</w:t>
      </w:r>
    </w:p>
    <w:p w14:paraId="51DF12F8" w14:textId="463A6370" w:rsidR="00D13908" w:rsidRPr="008013AD" w:rsidRDefault="00D13908" w:rsidP="008013AD">
      <w:pPr>
        <w:pStyle w:val="Title"/>
        <w:spacing w:before="240" w:line="360" w:lineRule="auto"/>
        <w:rPr>
          <w:rFonts w:ascii="Arial" w:hAnsi="Arial" w:cs="Arial"/>
          <w:sz w:val="22"/>
          <w:szCs w:val="22"/>
        </w:rPr>
      </w:pPr>
      <w:r w:rsidRPr="008013AD">
        <w:rPr>
          <w:rFonts w:ascii="Arial" w:hAnsi="Arial" w:cs="Arial"/>
          <w:sz w:val="22"/>
          <w:szCs w:val="22"/>
        </w:rPr>
        <w:t>Assignment Title:</w:t>
      </w:r>
      <w:r w:rsidR="0041719D">
        <w:rPr>
          <w:rFonts w:ascii="Arial" w:hAnsi="Arial" w:cs="Arial"/>
          <w:sz w:val="22"/>
          <w:szCs w:val="22"/>
        </w:rPr>
        <w:t xml:space="preserve"> Report </w:t>
      </w:r>
    </w:p>
    <w:p w14:paraId="3DC1CEE5" w14:textId="7DFBB7FC" w:rsidR="00D13908" w:rsidRPr="008013AD" w:rsidRDefault="00D13908" w:rsidP="008013AD">
      <w:pPr>
        <w:pStyle w:val="Title"/>
        <w:spacing w:before="240" w:line="360" w:lineRule="auto"/>
        <w:rPr>
          <w:rFonts w:ascii="Arial" w:hAnsi="Arial" w:cs="Arial"/>
          <w:sz w:val="22"/>
          <w:szCs w:val="22"/>
        </w:rPr>
      </w:pPr>
      <w:r w:rsidRPr="008013AD">
        <w:rPr>
          <w:rFonts w:ascii="Arial" w:hAnsi="Arial" w:cs="Arial"/>
          <w:sz w:val="22"/>
          <w:szCs w:val="22"/>
        </w:rPr>
        <w:t xml:space="preserve">Lecture: </w:t>
      </w:r>
      <w:r w:rsidR="00711CC8">
        <w:rPr>
          <w:rFonts w:ascii="Arial" w:hAnsi="Arial" w:cs="Arial"/>
          <w:sz w:val="22"/>
          <w:szCs w:val="22"/>
        </w:rPr>
        <w:t xml:space="preserve">Kennedy </w:t>
      </w:r>
      <w:proofErr w:type="spellStart"/>
      <w:r w:rsidR="00705892">
        <w:rPr>
          <w:rFonts w:ascii="Arial" w:hAnsi="Arial" w:cs="Arial"/>
          <w:sz w:val="22"/>
          <w:szCs w:val="22"/>
        </w:rPr>
        <w:t>Obohwemu</w:t>
      </w:r>
      <w:proofErr w:type="spellEnd"/>
      <w:r w:rsidR="00705892">
        <w:rPr>
          <w:rFonts w:ascii="Arial" w:hAnsi="Arial" w:cs="Arial"/>
          <w:sz w:val="22"/>
          <w:szCs w:val="22"/>
        </w:rPr>
        <w:t xml:space="preserve"> </w:t>
      </w:r>
    </w:p>
    <w:p w14:paraId="3C8367BB" w14:textId="7E782274" w:rsidR="00D13908" w:rsidRDefault="006131C3" w:rsidP="0029088E">
      <w:pPr>
        <w:pStyle w:val="Title"/>
        <w:spacing w:line="360" w:lineRule="auto"/>
        <w:jc w:val="center"/>
        <w:rPr>
          <w:rFonts w:ascii="Times New Roman" w:hAnsi="Times New Roman" w:cs="Times New Roman"/>
          <w:sz w:val="36"/>
          <w:szCs w:val="36"/>
        </w:rPr>
      </w:pPr>
      <w:r>
        <w:rPr>
          <w:noProof/>
        </w:rPr>
        <w:drawing>
          <wp:anchor distT="0" distB="0" distL="114300" distR="114300" simplePos="0" relativeHeight="251658240" behindDoc="0" locked="0" layoutInCell="1" allowOverlap="1" wp14:anchorId="61CEB61F" wp14:editId="522DB860">
            <wp:simplePos x="0" y="0"/>
            <wp:positionH relativeFrom="column">
              <wp:posOffset>0</wp:posOffset>
            </wp:positionH>
            <wp:positionV relativeFrom="paragraph">
              <wp:posOffset>-3328670</wp:posOffset>
            </wp:positionV>
            <wp:extent cx="4726940" cy="1814830"/>
            <wp:effectExtent l="0" t="0" r="0" b="0"/>
            <wp:wrapTopAndBottom/>
            <wp:docPr id="1975504789" name="Picture 197550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26940" cy="1814830"/>
                    </a:xfrm>
                    <a:prstGeom prst="rect">
                      <a:avLst/>
                    </a:prstGeom>
                  </pic:spPr>
                </pic:pic>
              </a:graphicData>
            </a:graphic>
            <wp14:sizeRelH relativeFrom="margin">
              <wp14:pctWidth>0</wp14:pctWidth>
            </wp14:sizeRelH>
            <wp14:sizeRelV relativeFrom="margin">
              <wp14:pctHeight>0</wp14:pctHeight>
            </wp14:sizeRelV>
          </wp:anchor>
        </w:drawing>
      </w:r>
    </w:p>
    <w:p w14:paraId="4C424181" w14:textId="4E3145F4" w:rsidR="0029088E" w:rsidRDefault="0029088E" w:rsidP="0029088E">
      <w:pPr>
        <w:pStyle w:val="Title"/>
        <w:spacing w:line="360" w:lineRule="auto"/>
        <w:jc w:val="center"/>
        <w:rPr>
          <w:rFonts w:ascii="Times New Roman" w:hAnsi="Times New Roman" w:cs="Times New Roman"/>
          <w:sz w:val="36"/>
          <w:szCs w:val="36"/>
        </w:rPr>
      </w:pPr>
    </w:p>
    <w:p w14:paraId="30B845BE" w14:textId="77777777" w:rsidR="00333B70" w:rsidRPr="00333B70" w:rsidRDefault="00333B70" w:rsidP="00333B70"/>
    <w:p w14:paraId="043BBAC0" w14:textId="77777777" w:rsidR="0029088E" w:rsidRPr="000E332B" w:rsidRDefault="0029088E" w:rsidP="0029088E">
      <w:pPr>
        <w:pStyle w:val="Title"/>
        <w:spacing w:line="360" w:lineRule="auto"/>
        <w:jc w:val="center"/>
        <w:rPr>
          <w:rFonts w:ascii="Times New Roman" w:hAnsi="Times New Roman" w:cs="Times New Roman"/>
          <w:sz w:val="36"/>
          <w:szCs w:val="36"/>
        </w:rPr>
      </w:pPr>
    </w:p>
    <w:p w14:paraId="71B8CDD4" w14:textId="1D7BA600" w:rsidR="0029088E" w:rsidRPr="00194EF6" w:rsidRDefault="0029088E" w:rsidP="00194EF6">
      <w:pPr>
        <w:pStyle w:val="Title"/>
        <w:spacing w:line="360" w:lineRule="auto"/>
        <w:rPr>
          <w:rFonts w:ascii="Times New Roman" w:hAnsi="Times New Roman" w:cs="Times New Roman"/>
          <w:sz w:val="36"/>
          <w:szCs w:val="36"/>
        </w:rPr>
      </w:pPr>
    </w:p>
    <w:p w14:paraId="0EB931D1" w14:textId="77777777" w:rsidR="0029088E" w:rsidRPr="000E332B" w:rsidRDefault="0029088E" w:rsidP="0029088E">
      <w:pPr>
        <w:spacing w:line="360" w:lineRule="auto"/>
        <w:jc w:val="center"/>
        <w:rPr>
          <w:rFonts w:cs="Times New Roman"/>
        </w:rPr>
      </w:pPr>
    </w:p>
    <w:p w14:paraId="05527F55" w14:textId="77777777" w:rsidR="00C10320" w:rsidRPr="000E332B" w:rsidRDefault="0029088E" w:rsidP="0029088E">
      <w:pPr>
        <w:spacing w:line="360" w:lineRule="auto"/>
        <w:rPr>
          <w:rFonts w:cs="Times New Roman"/>
        </w:rPr>
      </w:pPr>
      <w:r w:rsidRPr="000E332B">
        <w:rPr>
          <w:rFonts w:cs="Times New Roman"/>
        </w:rPr>
        <w:br w:type="page"/>
      </w:r>
    </w:p>
    <w:sdt>
      <w:sdtPr>
        <w:rPr>
          <w:rFonts w:ascii="Times New Roman" w:eastAsiaTheme="minorHAnsi" w:hAnsi="Times New Roman" w:cs="Times New Roman"/>
          <w:color w:val="auto"/>
          <w:sz w:val="24"/>
          <w:szCs w:val="24"/>
        </w:rPr>
        <w:id w:val="-1982994058"/>
        <w:docPartObj>
          <w:docPartGallery w:val="Table of Contents"/>
          <w:docPartUnique/>
        </w:docPartObj>
      </w:sdtPr>
      <w:sdtEndPr>
        <w:rPr>
          <w:b/>
          <w:bCs/>
          <w:noProof/>
        </w:rPr>
      </w:sdtEndPr>
      <w:sdtContent>
        <w:p w14:paraId="48EB9A3F" w14:textId="2B77641D" w:rsidR="00C10320" w:rsidRPr="00FF1E2D" w:rsidRDefault="00C10320" w:rsidP="00FF1E2D">
          <w:pPr>
            <w:pStyle w:val="TOCHeading"/>
            <w:numPr>
              <w:ilvl w:val="0"/>
              <w:numId w:val="0"/>
            </w:numPr>
            <w:spacing w:line="360" w:lineRule="auto"/>
            <w:jc w:val="both"/>
            <w:rPr>
              <w:rFonts w:ascii="Arial" w:hAnsi="Arial" w:cs="Arial"/>
              <w:b/>
              <w:bCs/>
              <w:color w:val="auto"/>
              <w:sz w:val="22"/>
              <w:szCs w:val="22"/>
            </w:rPr>
          </w:pPr>
          <w:r w:rsidRPr="00FF1E2D">
            <w:rPr>
              <w:rFonts w:ascii="Arial" w:hAnsi="Arial" w:cs="Arial"/>
              <w:b/>
              <w:bCs/>
              <w:color w:val="auto"/>
              <w:sz w:val="22"/>
              <w:szCs w:val="22"/>
            </w:rPr>
            <w:t>Table of Contents</w:t>
          </w:r>
        </w:p>
        <w:p w14:paraId="39537E2B" w14:textId="5D84B74A" w:rsidR="00E21982" w:rsidRPr="00E97F83" w:rsidRDefault="002B5DF3" w:rsidP="00E97F83">
          <w:pPr>
            <w:pStyle w:val="ListParagraph"/>
            <w:numPr>
              <w:ilvl w:val="0"/>
              <w:numId w:val="24"/>
            </w:numPr>
            <w:jc w:val="both"/>
            <w:rPr>
              <w:rFonts w:ascii="Arial" w:hAnsi="Arial" w:cs="Arial"/>
              <w:sz w:val="22"/>
            </w:rPr>
          </w:pPr>
          <w:r w:rsidRPr="00E97F83">
            <w:rPr>
              <w:rFonts w:ascii="Arial" w:hAnsi="Arial" w:cs="Arial"/>
              <w:sz w:val="22"/>
            </w:rPr>
            <w:t xml:space="preserve"> </w:t>
          </w:r>
          <w:r w:rsidR="00D44114" w:rsidRPr="00E97F83">
            <w:rPr>
              <w:rFonts w:ascii="Arial" w:hAnsi="Arial" w:cs="Arial"/>
              <w:sz w:val="22"/>
            </w:rPr>
            <w:t>I</w:t>
          </w:r>
          <w:r w:rsidR="00E21982" w:rsidRPr="00E97F83">
            <w:rPr>
              <w:rFonts w:ascii="Arial" w:hAnsi="Arial" w:cs="Arial"/>
              <w:sz w:val="22"/>
            </w:rPr>
            <w:t>ntroduction</w:t>
          </w:r>
        </w:p>
        <w:p w14:paraId="574A7531" w14:textId="0F9C210F" w:rsidR="00E21982" w:rsidRPr="002B5DF3" w:rsidRDefault="00E97F83" w:rsidP="002B5DF3">
          <w:pPr>
            <w:jc w:val="both"/>
            <w:rPr>
              <w:rFonts w:ascii="Arial" w:hAnsi="Arial" w:cs="Arial"/>
              <w:sz w:val="22"/>
            </w:rPr>
          </w:pPr>
          <w:r>
            <w:rPr>
              <w:rFonts w:ascii="Arial" w:hAnsi="Arial" w:cs="Arial"/>
              <w:sz w:val="22"/>
            </w:rPr>
            <w:t xml:space="preserve"> </w:t>
          </w:r>
          <w:r w:rsidR="00E95005">
            <w:rPr>
              <w:rFonts w:ascii="Arial" w:hAnsi="Arial" w:cs="Arial"/>
              <w:sz w:val="22"/>
            </w:rPr>
            <w:t xml:space="preserve"> 2   </w:t>
          </w:r>
          <w:r w:rsidR="002951CB">
            <w:rPr>
              <w:rFonts w:ascii="Arial" w:hAnsi="Arial" w:cs="Arial"/>
              <w:sz w:val="22"/>
            </w:rPr>
            <w:t>.</w:t>
          </w:r>
          <w:r w:rsidR="00173EDF" w:rsidRPr="002B5DF3">
            <w:rPr>
              <w:rFonts w:ascii="Arial" w:hAnsi="Arial" w:cs="Arial"/>
              <w:sz w:val="22"/>
            </w:rPr>
            <w:t>Classification and Diagnosis</w:t>
          </w:r>
        </w:p>
        <w:p w14:paraId="1D70316E" w14:textId="25899ED4" w:rsidR="00173EDF" w:rsidRDefault="00922494" w:rsidP="002951CB">
          <w:pPr>
            <w:pStyle w:val="ListParagraph"/>
            <w:numPr>
              <w:ilvl w:val="1"/>
              <w:numId w:val="25"/>
            </w:numPr>
            <w:jc w:val="both"/>
            <w:rPr>
              <w:rFonts w:ascii="Arial" w:hAnsi="Arial" w:cs="Arial"/>
              <w:sz w:val="22"/>
            </w:rPr>
          </w:pPr>
          <w:r w:rsidRPr="002951CB">
            <w:rPr>
              <w:rFonts w:ascii="Arial" w:hAnsi="Arial" w:cs="Arial"/>
              <w:sz w:val="22"/>
            </w:rPr>
            <w:t xml:space="preserve">ICD-11 </w:t>
          </w:r>
          <w:r w:rsidR="00120196" w:rsidRPr="002951CB">
            <w:rPr>
              <w:rFonts w:ascii="Arial" w:hAnsi="Arial" w:cs="Arial"/>
              <w:sz w:val="22"/>
            </w:rPr>
            <w:t>Classification</w:t>
          </w:r>
        </w:p>
        <w:p w14:paraId="714D8C45" w14:textId="15BBD41E" w:rsidR="00C83A1B" w:rsidRPr="002951CB" w:rsidRDefault="00BA1D69" w:rsidP="002951CB">
          <w:pPr>
            <w:pStyle w:val="ListParagraph"/>
            <w:numPr>
              <w:ilvl w:val="1"/>
              <w:numId w:val="25"/>
            </w:numPr>
            <w:jc w:val="both"/>
            <w:rPr>
              <w:rFonts w:ascii="Arial" w:hAnsi="Arial" w:cs="Arial"/>
              <w:sz w:val="22"/>
            </w:rPr>
          </w:pPr>
          <w:r>
            <w:rPr>
              <w:rFonts w:ascii="Arial" w:hAnsi="Arial" w:cs="Arial"/>
              <w:sz w:val="22"/>
            </w:rPr>
            <w:t xml:space="preserve">Diagnosis </w:t>
          </w:r>
          <w:r w:rsidR="005D1D09">
            <w:rPr>
              <w:rFonts w:ascii="Arial" w:hAnsi="Arial" w:cs="Arial"/>
              <w:sz w:val="22"/>
            </w:rPr>
            <w:t xml:space="preserve">Criteria and Process </w:t>
          </w:r>
        </w:p>
        <w:p w14:paraId="3A3F275C" w14:textId="61F7862B" w:rsidR="00120196" w:rsidRPr="00C46735" w:rsidRDefault="00460C18" w:rsidP="00C46735">
          <w:pPr>
            <w:pStyle w:val="ListParagraph"/>
            <w:numPr>
              <w:ilvl w:val="1"/>
              <w:numId w:val="25"/>
            </w:numPr>
            <w:jc w:val="both"/>
            <w:rPr>
              <w:rFonts w:ascii="Arial" w:hAnsi="Arial" w:cs="Arial"/>
              <w:sz w:val="22"/>
            </w:rPr>
          </w:pPr>
          <w:r w:rsidRPr="00C46735">
            <w:rPr>
              <w:rFonts w:ascii="Arial" w:hAnsi="Arial" w:cs="Arial"/>
              <w:sz w:val="22"/>
            </w:rPr>
            <w:t>Implications for Clinical Practice</w:t>
          </w:r>
        </w:p>
        <w:p w14:paraId="755769B2" w14:textId="77777777" w:rsidR="00FE75D0" w:rsidRPr="00FF1E2D" w:rsidRDefault="00FE75D0" w:rsidP="00FF1E2D">
          <w:pPr>
            <w:pStyle w:val="ListParagraph"/>
            <w:ind w:left="1082"/>
            <w:jc w:val="both"/>
            <w:rPr>
              <w:rFonts w:ascii="Arial" w:hAnsi="Arial" w:cs="Arial"/>
              <w:sz w:val="22"/>
            </w:rPr>
          </w:pPr>
        </w:p>
        <w:p w14:paraId="40340774" w14:textId="2BDF776D" w:rsidR="00460C18" w:rsidRPr="00FF1E2D" w:rsidRDefault="00FB62F5" w:rsidP="00C46735">
          <w:pPr>
            <w:pStyle w:val="ListParagraph"/>
            <w:numPr>
              <w:ilvl w:val="0"/>
              <w:numId w:val="25"/>
            </w:numPr>
            <w:jc w:val="both"/>
            <w:rPr>
              <w:rFonts w:ascii="Arial" w:hAnsi="Arial" w:cs="Arial"/>
              <w:sz w:val="22"/>
            </w:rPr>
          </w:pPr>
          <w:r>
            <w:rPr>
              <w:rFonts w:ascii="Arial" w:hAnsi="Arial" w:cs="Arial"/>
              <w:sz w:val="22"/>
            </w:rPr>
            <w:t xml:space="preserve"> </w:t>
          </w:r>
          <w:r w:rsidR="00AD5903" w:rsidRPr="00FF1E2D">
            <w:rPr>
              <w:rFonts w:ascii="Arial" w:hAnsi="Arial" w:cs="Arial"/>
              <w:sz w:val="22"/>
            </w:rPr>
            <w:t>Treatment</w:t>
          </w:r>
          <w:r w:rsidR="00F47A81" w:rsidRPr="00FF1E2D">
            <w:rPr>
              <w:rFonts w:ascii="Arial" w:hAnsi="Arial" w:cs="Arial"/>
              <w:sz w:val="22"/>
            </w:rPr>
            <w:t xml:space="preserve"> and </w:t>
          </w:r>
          <w:r w:rsidR="00B122E1" w:rsidRPr="00FF1E2D">
            <w:rPr>
              <w:rFonts w:ascii="Arial" w:hAnsi="Arial" w:cs="Arial"/>
              <w:sz w:val="22"/>
            </w:rPr>
            <w:t>Rehabilitation</w:t>
          </w:r>
        </w:p>
        <w:p w14:paraId="57E3FDD1" w14:textId="09EF8C42" w:rsidR="00F330C7" w:rsidRPr="00FF1E2D" w:rsidRDefault="00D079BF" w:rsidP="00C46735">
          <w:pPr>
            <w:pStyle w:val="ListParagraph"/>
            <w:numPr>
              <w:ilvl w:val="1"/>
              <w:numId w:val="25"/>
            </w:numPr>
            <w:jc w:val="both"/>
            <w:rPr>
              <w:rFonts w:ascii="Arial" w:hAnsi="Arial" w:cs="Arial"/>
              <w:sz w:val="22"/>
            </w:rPr>
          </w:pPr>
          <w:r w:rsidRPr="00FF1E2D">
            <w:rPr>
              <w:rFonts w:ascii="Arial" w:hAnsi="Arial" w:cs="Arial"/>
              <w:sz w:val="22"/>
            </w:rPr>
            <w:t xml:space="preserve">Standard </w:t>
          </w:r>
          <w:r w:rsidR="00385264" w:rsidRPr="00FF1E2D">
            <w:rPr>
              <w:rFonts w:ascii="Arial" w:hAnsi="Arial" w:cs="Arial"/>
              <w:sz w:val="22"/>
            </w:rPr>
            <w:t>Treatment Approaches</w:t>
          </w:r>
        </w:p>
        <w:p w14:paraId="4B9F77D4" w14:textId="39D36890" w:rsidR="00572AD6" w:rsidRPr="00FF1E2D" w:rsidRDefault="00183D20" w:rsidP="00C46735">
          <w:pPr>
            <w:pStyle w:val="ListParagraph"/>
            <w:numPr>
              <w:ilvl w:val="1"/>
              <w:numId w:val="25"/>
            </w:numPr>
            <w:jc w:val="both"/>
            <w:rPr>
              <w:rFonts w:ascii="Arial" w:hAnsi="Arial" w:cs="Arial"/>
              <w:sz w:val="22"/>
            </w:rPr>
          </w:pPr>
          <w:r w:rsidRPr="00FF1E2D">
            <w:rPr>
              <w:rFonts w:ascii="Arial" w:hAnsi="Arial" w:cs="Arial"/>
              <w:sz w:val="22"/>
            </w:rPr>
            <w:t>Rehabilitation Measures</w:t>
          </w:r>
        </w:p>
        <w:p w14:paraId="26722F05" w14:textId="63E825A5" w:rsidR="00183D20" w:rsidRPr="00FF1E2D" w:rsidRDefault="00062C4D" w:rsidP="00C46735">
          <w:pPr>
            <w:pStyle w:val="ListParagraph"/>
            <w:numPr>
              <w:ilvl w:val="1"/>
              <w:numId w:val="25"/>
            </w:numPr>
            <w:jc w:val="both"/>
            <w:rPr>
              <w:rFonts w:ascii="Arial" w:hAnsi="Arial" w:cs="Arial"/>
              <w:sz w:val="22"/>
            </w:rPr>
          </w:pPr>
          <w:r w:rsidRPr="00FF1E2D">
            <w:rPr>
              <w:rFonts w:ascii="Arial" w:hAnsi="Arial" w:cs="Arial"/>
              <w:sz w:val="22"/>
            </w:rPr>
            <w:t>Effective</w:t>
          </w:r>
          <w:r w:rsidR="00DD743C" w:rsidRPr="00FF1E2D">
            <w:rPr>
              <w:rFonts w:ascii="Arial" w:hAnsi="Arial" w:cs="Arial"/>
              <w:sz w:val="22"/>
            </w:rPr>
            <w:t xml:space="preserve">ness </w:t>
          </w:r>
          <w:r w:rsidR="00D77229" w:rsidRPr="00FF1E2D">
            <w:rPr>
              <w:rFonts w:ascii="Arial" w:hAnsi="Arial" w:cs="Arial"/>
              <w:sz w:val="22"/>
            </w:rPr>
            <w:t>and Limitations</w:t>
          </w:r>
        </w:p>
        <w:p w14:paraId="7D0529A2" w14:textId="77777777" w:rsidR="0099676F" w:rsidRPr="00FF1E2D" w:rsidRDefault="0099676F" w:rsidP="00FF1E2D">
          <w:pPr>
            <w:pStyle w:val="ListParagraph"/>
            <w:ind w:left="1082"/>
            <w:jc w:val="both"/>
            <w:rPr>
              <w:rFonts w:ascii="Arial" w:hAnsi="Arial" w:cs="Arial"/>
              <w:sz w:val="22"/>
            </w:rPr>
          </w:pPr>
        </w:p>
        <w:p w14:paraId="5156DF7B" w14:textId="45E474A7" w:rsidR="007D7927" w:rsidRPr="00FF1E2D" w:rsidRDefault="00294C9A" w:rsidP="00C46735">
          <w:pPr>
            <w:pStyle w:val="ListParagraph"/>
            <w:numPr>
              <w:ilvl w:val="0"/>
              <w:numId w:val="25"/>
            </w:numPr>
            <w:jc w:val="both"/>
            <w:rPr>
              <w:rFonts w:ascii="Arial" w:hAnsi="Arial" w:cs="Arial"/>
              <w:sz w:val="22"/>
            </w:rPr>
          </w:pPr>
          <w:r w:rsidRPr="00FF1E2D">
            <w:rPr>
              <w:rFonts w:ascii="Arial" w:hAnsi="Arial" w:cs="Arial"/>
              <w:sz w:val="22"/>
            </w:rPr>
            <w:t xml:space="preserve">Current </w:t>
          </w:r>
          <w:r w:rsidR="007650D8" w:rsidRPr="00FF1E2D">
            <w:rPr>
              <w:rFonts w:ascii="Arial" w:hAnsi="Arial" w:cs="Arial"/>
              <w:sz w:val="22"/>
            </w:rPr>
            <w:t xml:space="preserve">Debates </w:t>
          </w:r>
          <w:r w:rsidR="000420FF" w:rsidRPr="00FF1E2D">
            <w:rPr>
              <w:rFonts w:ascii="Arial" w:hAnsi="Arial" w:cs="Arial"/>
              <w:sz w:val="22"/>
            </w:rPr>
            <w:t>and Emerging issues</w:t>
          </w:r>
        </w:p>
        <w:p w14:paraId="1CFBCE43" w14:textId="685BF8BE" w:rsidR="007D7927" w:rsidRPr="00FF1E2D" w:rsidRDefault="00E22A89" w:rsidP="00C46735">
          <w:pPr>
            <w:pStyle w:val="ListParagraph"/>
            <w:numPr>
              <w:ilvl w:val="1"/>
              <w:numId w:val="25"/>
            </w:numPr>
            <w:jc w:val="both"/>
            <w:rPr>
              <w:rFonts w:ascii="Arial" w:hAnsi="Arial" w:cs="Arial"/>
              <w:sz w:val="22"/>
            </w:rPr>
          </w:pPr>
          <w:r w:rsidRPr="00FF1E2D">
            <w:rPr>
              <w:rFonts w:ascii="Arial" w:hAnsi="Arial" w:cs="Arial"/>
              <w:sz w:val="22"/>
            </w:rPr>
            <w:t xml:space="preserve">Classification </w:t>
          </w:r>
          <w:r w:rsidR="00CB7642" w:rsidRPr="00FF1E2D">
            <w:rPr>
              <w:rFonts w:ascii="Arial" w:hAnsi="Arial" w:cs="Arial"/>
              <w:sz w:val="22"/>
            </w:rPr>
            <w:t>Debates</w:t>
          </w:r>
        </w:p>
        <w:p w14:paraId="3022FB4B" w14:textId="2B627534" w:rsidR="00F67605" w:rsidRPr="00FF1E2D" w:rsidRDefault="00CB7642" w:rsidP="00C46735">
          <w:pPr>
            <w:pStyle w:val="ListParagraph"/>
            <w:numPr>
              <w:ilvl w:val="1"/>
              <w:numId w:val="25"/>
            </w:numPr>
            <w:jc w:val="both"/>
            <w:rPr>
              <w:rFonts w:ascii="Arial" w:hAnsi="Arial" w:cs="Arial"/>
              <w:sz w:val="22"/>
            </w:rPr>
          </w:pPr>
          <w:proofErr w:type="spellStart"/>
          <w:r w:rsidRPr="00FF1E2D">
            <w:rPr>
              <w:rFonts w:ascii="Arial" w:hAnsi="Arial" w:cs="Arial"/>
              <w:sz w:val="22"/>
            </w:rPr>
            <w:t>Neurodivergence</w:t>
          </w:r>
          <w:proofErr w:type="spellEnd"/>
          <w:r w:rsidRPr="00FF1E2D">
            <w:rPr>
              <w:rFonts w:ascii="Arial" w:hAnsi="Arial" w:cs="Arial"/>
              <w:sz w:val="22"/>
            </w:rPr>
            <w:t xml:space="preserve"> and Comorbidity</w:t>
          </w:r>
        </w:p>
        <w:p w14:paraId="549AC2B9" w14:textId="3B2CD6BB" w:rsidR="005D42B0" w:rsidRPr="00FF1E2D" w:rsidRDefault="00FE75D0" w:rsidP="00FF1E2D">
          <w:pPr>
            <w:jc w:val="both"/>
            <w:rPr>
              <w:rFonts w:ascii="Arial" w:hAnsi="Arial" w:cs="Arial"/>
              <w:sz w:val="22"/>
            </w:rPr>
          </w:pPr>
          <w:r w:rsidRPr="00FF1E2D">
            <w:rPr>
              <w:rFonts w:ascii="Arial" w:hAnsi="Arial" w:cs="Arial"/>
              <w:sz w:val="22"/>
            </w:rPr>
            <w:t>5</w:t>
          </w:r>
          <w:r w:rsidR="00CE3E17">
            <w:rPr>
              <w:rFonts w:ascii="Arial" w:hAnsi="Arial" w:cs="Arial"/>
              <w:sz w:val="22"/>
            </w:rPr>
            <w:t xml:space="preserve">.  </w:t>
          </w:r>
          <w:r w:rsidR="00760A0F" w:rsidRPr="00FF1E2D">
            <w:rPr>
              <w:rFonts w:ascii="Arial" w:hAnsi="Arial" w:cs="Arial"/>
              <w:sz w:val="22"/>
            </w:rPr>
            <w:t>Recommendations</w:t>
          </w:r>
        </w:p>
        <w:p w14:paraId="75607B8C" w14:textId="396754B5" w:rsidR="00760A0F" w:rsidRPr="00FF1E2D" w:rsidRDefault="00FE75D0" w:rsidP="00FF1E2D">
          <w:pPr>
            <w:jc w:val="both"/>
            <w:rPr>
              <w:rFonts w:ascii="Arial" w:hAnsi="Arial" w:cs="Arial"/>
              <w:sz w:val="22"/>
            </w:rPr>
          </w:pPr>
          <w:r w:rsidRPr="00FF1E2D">
            <w:rPr>
              <w:rFonts w:ascii="Arial" w:hAnsi="Arial" w:cs="Arial"/>
              <w:sz w:val="22"/>
            </w:rPr>
            <w:t xml:space="preserve">6. </w:t>
          </w:r>
          <w:r w:rsidR="003A5C57">
            <w:rPr>
              <w:rFonts w:ascii="Arial" w:hAnsi="Arial" w:cs="Arial"/>
              <w:sz w:val="22"/>
            </w:rPr>
            <w:t xml:space="preserve"> </w:t>
          </w:r>
          <w:r w:rsidR="00760A0F" w:rsidRPr="00FF1E2D">
            <w:rPr>
              <w:rFonts w:ascii="Arial" w:hAnsi="Arial" w:cs="Arial"/>
              <w:sz w:val="22"/>
            </w:rPr>
            <w:t>Conclusion</w:t>
          </w:r>
        </w:p>
        <w:p w14:paraId="627A2997" w14:textId="4CBB5050" w:rsidR="00760A0F" w:rsidRPr="00FF1E2D" w:rsidRDefault="003A5C57" w:rsidP="00FF1E2D">
          <w:pPr>
            <w:jc w:val="both"/>
            <w:rPr>
              <w:rFonts w:ascii="Arial" w:hAnsi="Arial" w:cs="Arial"/>
              <w:sz w:val="22"/>
            </w:rPr>
          </w:pPr>
          <w:r>
            <w:rPr>
              <w:rFonts w:ascii="Arial" w:hAnsi="Arial" w:cs="Arial"/>
              <w:sz w:val="22"/>
            </w:rPr>
            <w:t xml:space="preserve">     </w:t>
          </w:r>
          <w:r w:rsidR="00F801B9" w:rsidRPr="00FF1E2D">
            <w:rPr>
              <w:rFonts w:ascii="Arial" w:hAnsi="Arial" w:cs="Arial"/>
              <w:sz w:val="22"/>
            </w:rPr>
            <w:t>References</w:t>
          </w:r>
        </w:p>
        <w:p w14:paraId="4D472A00" w14:textId="77777777" w:rsidR="00760A0F" w:rsidRPr="00873E6C" w:rsidRDefault="00760A0F" w:rsidP="00760A0F"/>
        <w:p w14:paraId="11894FD6" w14:textId="0D32B4CE" w:rsidR="00C10320" w:rsidRPr="000E332B" w:rsidRDefault="000473AB" w:rsidP="00C10320">
          <w:pPr>
            <w:spacing w:line="360" w:lineRule="auto"/>
            <w:rPr>
              <w:rFonts w:cs="Times New Roman"/>
              <w:szCs w:val="24"/>
            </w:rPr>
          </w:pPr>
        </w:p>
      </w:sdtContent>
    </w:sdt>
    <w:p w14:paraId="4FF31254" w14:textId="3B1307EB" w:rsidR="0029088E" w:rsidRPr="000E332B" w:rsidRDefault="00C10320" w:rsidP="00C10320">
      <w:pPr>
        <w:spacing w:line="360" w:lineRule="auto"/>
        <w:rPr>
          <w:rFonts w:cs="Times New Roman"/>
          <w:szCs w:val="24"/>
        </w:rPr>
      </w:pPr>
      <w:r w:rsidRPr="000E332B">
        <w:rPr>
          <w:rFonts w:cs="Times New Roman"/>
          <w:szCs w:val="24"/>
        </w:rPr>
        <w:br w:type="page"/>
      </w:r>
    </w:p>
    <w:p w14:paraId="4BA25C03" w14:textId="77777777" w:rsidR="001B718B" w:rsidRPr="003C7BF8" w:rsidRDefault="001B718B" w:rsidP="003A6B89">
      <w:pPr>
        <w:pStyle w:val="Heading1"/>
        <w:spacing w:line="360" w:lineRule="auto"/>
        <w:rPr>
          <w:rFonts w:ascii="Arial" w:hAnsi="Arial" w:cs="Arial"/>
          <w:sz w:val="22"/>
          <w:szCs w:val="22"/>
        </w:rPr>
      </w:pPr>
      <w:bookmarkStart w:id="0" w:name="_Toc211251322"/>
      <w:r w:rsidRPr="003C7BF8">
        <w:rPr>
          <w:rFonts w:ascii="Arial" w:hAnsi="Arial" w:cs="Arial"/>
          <w:sz w:val="22"/>
          <w:szCs w:val="22"/>
        </w:rPr>
        <w:t>Introduction</w:t>
      </w:r>
      <w:bookmarkEnd w:id="0"/>
    </w:p>
    <w:p w14:paraId="2EB0ABE5" w14:textId="2F468004" w:rsidR="001B718B" w:rsidRPr="003C7BF8" w:rsidRDefault="001B718B" w:rsidP="003A6B89">
      <w:pPr>
        <w:spacing w:line="360" w:lineRule="auto"/>
        <w:ind w:firstLine="720"/>
        <w:rPr>
          <w:rFonts w:ascii="Arial" w:hAnsi="Arial" w:cs="Arial"/>
          <w:sz w:val="22"/>
        </w:rPr>
      </w:pPr>
      <w:r w:rsidRPr="003C7BF8">
        <w:rPr>
          <w:rFonts w:ascii="Arial" w:hAnsi="Arial" w:cs="Arial"/>
          <w:sz w:val="22"/>
        </w:rPr>
        <w:t>Psychiatric classification systems play an important role in mental health because they provide a common language for diagnosis, treatment, and research. These systems help health professionals understand symptoms clearly and offer consistent care across different services</w:t>
      </w:r>
      <w:r w:rsidR="008C001B" w:rsidRPr="003C7BF8">
        <w:rPr>
          <w:rFonts w:ascii="Arial" w:hAnsi="Arial" w:cs="Arial"/>
          <w:sz w:val="22"/>
        </w:rPr>
        <w:t xml:space="preserve"> (Stein et al., 2022)</w:t>
      </w:r>
      <w:r w:rsidRPr="003C7BF8">
        <w:rPr>
          <w:rFonts w:ascii="Arial" w:hAnsi="Arial" w:cs="Arial"/>
          <w:sz w:val="22"/>
        </w:rPr>
        <w:t xml:space="preserve">. One of the most widely used diagnostic systems is the DSM-5 and its updated version DSM-5-TR, which are used in many countries to guide mental health assessment and treatment. DSM-5 includes post-traumatic stress disorder (PTSD) but does not </w:t>
      </w:r>
      <w:proofErr w:type="spellStart"/>
      <w:r w:rsidRPr="003C7BF8">
        <w:rPr>
          <w:rFonts w:ascii="Arial" w:hAnsi="Arial" w:cs="Arial"/>
          <w:sz w:val="22"/>
        </w:rPr>
        <w:t>recognise</w:t>
      </w:r>
      <w:proofErr w:type="spellEnd"/>
      <w:r w:rsidRPr="003C7BF8">
        <w:rPr>
          <w:rFonts w:ascii="Arial" w:hAnsi="Arial" w:cs="Arial"/>
          <w:sz w:val="22"/>
        </w:rPr>
        <w:t xml:space="preserve"> complex post-traumatic stress disorder (CPTSD) as a separate diagnosis</w:t>
      </w:r>
      <w:r w:rsidR="008C001B" w:rsidRPr="003C7BF8">
        <w:rPr>
          <w:rFonts w:ascii="Arial" w:hAnsi="Arial" w:cs="Arial"/>
          <w:sz w:val="22"/>
        </w:rPr>
        <w:t xml:space="preserve"> (Center for Substance Abuse Treatment (US), 2020)</w:t>
      </w:r>
      <w:r w:rsidRPr="003C7BF8">
        <w:rPr>
          <w:rFonts w:ascii="Arial" w:hAnsi="Arial" w:cs="Arial"/>
          <w:sz w:val="22"/>
        </w:rPr>
        <w:t>. In contrast, the ICD-11 makes a clear distinction between PTSD and CPTSD by adding disturbances in self-</w:t>
      </w:r>
      <w:proofErr w:type="spellStart"/>
      <w:r w:rsidRPr="003C7BF8">
        <w:rPr>
          <w:rFonts w:ascii="Arial" w:hAnsi="Arial" w:cs="Arial"/>
          <w:sz w:val="22"/>
        </w:rPr>
        <w:t>organisation</w:t>
      </w:r>
      <w:proofErr w:type="spellEnd"/>
      <w:r w:rsidRPr="003C7BF8">
        <w:rPr>
          <w:rFonts w:ascii="Arial" w:hAnsi="Arial" w:cs="Arial"/>
          <w:sz w:val="22"/>
        </w:rPr>
        <w:t>, such as emotional regulation difficulties, negative self-concept, and relationship problems, as core features of CPTSD.</w:t>
      </w:r>
    </w:p>
    <w:p w14:paraId="4380DEE9" w14:textId="5310B3DC" w:rsidR="001B718B" w:rsidRPr="003C7BF8" w:rsidRDefault="001B718B" w:rsidP="003A6B89">
      <w:pPr>
        <w:spacing w:line="360" w:lineRule="auto"/>
        <w:ind w:firstLine="720"/>
        <w:rPr>
          <w:rFonts w:ascii="Arial" w:hAnsi="Arial" w:cs="Arial"/>
          <w:sz w:val="22"/>
        </w:rPr>
      </w:pPr>
      <w:r w:rsidRPr="003C7BF8">
        <w:rPr>
          <w:rFonts w:ascii="Arial" w:hAnsi="Arial" w:cs="Arial"/>
          <w:sz w:val="22"/>
        </w:rPr>
        <w:t>This report will focus on CPTSD using the ICD-11 framework. It will critically examine the classification, diagnosis, treatment, and rehabilitation of CPTSD. It will also explore current debates and emerging issues related to this condition, aligning with the module learning outcomes (LO1 and LO2). Understanding CPTSD is clinically and socially relevant because it affects many individuals who have experienced prolonged or repeated trauma, often leading to complex support needs in health and social care settings (WHO, 2024; APA, 2022; NICE, 2025).</w:t>
      </w:r>
    </w:p>
    <w:p w14:paraId="1E67E37D" w14:textId="3EE1F95C" w:rsidR="001B718B" w:rsidRPr="003C7BF8" w:rsidRDefault="001B718B" w:rsidP="003A6B89">
      <w:pPr>
        <w:pStyle w:val="Heading1"/>
        <w:spacing w:line="360" w:lineRule="auto"/>
        <w:rPr>
          <w:rFonts w:ascii="Arial" w:hAnsi="Arial" w:cs="Arial"/>
          <w:sz w:val="22"/>
          <w:szCs w:val="22"/>
        </w:rPr>
      </w:pPr>
      <w:bookmarkStart w:id="1" w:name="_Toc211251323"/>
      <w:r w:rsidRPr="003C7BF8">
        <w:rPr>
          <w:rFonts w:ascii="Arial" w:hAnsi="Arial" w:cs="Arial"/>
          <w:sz w:val="22"/>
          <w:szCs w:val="22"/>
        </w:rPr>
        <w:t>Classification and Diagnosis</w:t>
      </w:r>
      <w:bookmarkEnd w:id="1"/>
    </w:p>
    <w:p w14:paraId="128EED3B" w14:textId="0BD23598" w:rsidR="001B718B" w:rsidRPr="003C7BF8" w:rsidRDefault="001B718B" w:rsidP="003A6B89">
      <w:pPr>
        <w:pStyle w:val="Heading2"/>
        <w:spacing w:line="360" w:lineRule="auto"/>
        <w:rPr>
          <w:rFonts w:ascii="Arial" w:hAnsi="Arial"/>
          <w:sz w:val="22"/>
          <w:szCs w:val="22"/>
        </w:rPr>
      </w:pPr>
      <w:bookmarkStart w:id="2" w:name="_Toc211251324"/>
      <w:r w:rsidRPr="003C7BF8">
        <w:rPr>
          <w:rFonts w:ascii="Arial" w:hAnsi="Arial"/>
          <w:sz w:val="22"/>
          <w:szCs w:val="22"/>
        </w:rPr>
        <w:t>ICD-11 Classification</w:t>
      </w:r>
      <w:bookmarkEnd w:id="2"/>
    </w:p>
    <w:p w14:paraId="659A16A3" w14:textId="4F2D4499" w:rsidR="0000495B" w:rsidRPr="003C7BF8" w:rsidRDefault="001B718B" w:rsidP="003A6B89">
      <w:pPr>
        <w:spacing w:line="360" w:lineRule="auto"/>
        <w:ind w:firstLine="720"/>
        <w:rPr>
          <w:rFonts w:ascii="Arial" w:hAnsi="Arial" w:cs="Arial"/>
          <w:sz w:val="22"/>
        </w:rPr>
      </w:pPr>
      <w:r w:rsidRPr="003C7BF8">
        <w:rPr>
          <w:rFonts w:ascii="Arial" w:hAnsi="Arial" w:cs="Arial"/>
          <w:sz w:val="22"/>
        </w:rPr>
        <w:t xml:space="preserve">Complex post-traumatic stress disorder (CPTSD) is classified in Chapter 06: Mental, </w:t>
      </w:r>
      <w:proofErr w:type="spellStart"/>
      <w:r w:rsidRPr="003C7BF8">
        <w:rPr>
          <w:rFonts w:ascii="Arial" w:hAnsi="Arial" w:cs="Arial"/>
          <w:sz w:val="22"/>
        </w:rPr>
        <w:t>Behavioural</w:t>
      </w:r>
      <w:proofErr w:type="spellEnd"/>
      <w:r w:rsidRPr="003C7BF8">
        <w:rPr>
          <w:rFonts w:ascii="Arial" w:hAnsi="Arial" w:cs="Arial"/>
          <w:sz w:val="22"/>
        </w:rPr>
        <w:t xml:space="preserve"> or Neurodevelopmental Disorders of the ICD-11. It is placed under the category of “Disorders specifically associated with stress.” ICD-11 uses the term “disorder” to describe mental health conditions that cause significant distress and impair daily functioning</w:t>
      </w:r>
      <w:r w:rsidR="008C001B" w:rsidRPr="003C7BF8">
        <w:rPr>
          <w:rFonts w:ascii="Arial" w:hAnsi="Arial" w:cs="Arial"/>
          <w:sz w:val="22"/>
        </w:rPr>
        <w:t xml:space="preserve"> (Reed et al., 2019)</w:t>
      </w:r>
      <w:r w:rsidRPr="003C7BF8">
        <w:rPr>
          <w:rFonts w:ascii="Arial" w:hAnsi="Arial" w:cs="Arial"/>
          <w:sz w:val="22"/>
        </w:rPr>
        <w:t xml:space="preserve">. CPTSD is coded as 6B41, while PTSD is coded separately as 6B40, which shows that they are related but distinct conditions (WHO, 2024). ICD-11 defines CPTSD as a disorder that develops following exposure to an event or series of events that are extremely threatening or horrific. </w:t>
      </w:r>
      <w:r w:rsidR="0000495B" w:rsidRPr="003C7BF8">
        <w:rPr>
          <w:rFonts w:ascii="Arial" w:hAnsi="Arial" w:cs="Arial"/>
          <w:sz w:val="22"/>
        </w:rPr>
        <w:t>In comparison to PTSD, CPTSD encompasses the main symptoms of PTSD that are re-experiencing trauma, avoidance of cues, and a long-term feeling of being threatened and further disruptions in self-</w:t>
      </w:r>
      <w:proofErr w:type="spellStart"/>
      <w:r w:rsidR="0000495B" w:rsidRPr="003C7BF8">
        <w:rPr>
          <w:rFonts w:ascii="Arial" w:hAnsi="Arial" w:cs="Arial"/>
          <w:sz w:val="22"/>
        </w:rPr>
        <w:t>organisation</w:t>
      </w:r>
      <w:proofErr w:type="spellEnd"/>
      <w:r w:rsidR="0000495B" w:rsidRPr="003C7BF8">
        <w:rPr>
          <w:rFonts w:ascii="Arial" w:hAnsi="Arial" w:cs="Arial"/>
          <w:sz w:val="22"/>
        </w:rPr>
        <w:t xml:space="preserve"> (DSO) (</w:t>
      </w:r>
      <w:proofErr w:type="spellStart"/>
      <w:r w:rsidR="0000495B" w:rsidRPr="003C7BF8">
        <w:rPr>
          <w:rFonts w:ascii="Arial" w:hAnsi="Arial" w:cs="Arial"/>
          <w:sz w:val="22"/>
        </w:rPr>
        <w:t>Bachem</w:t>
      </w:r>
      <w:proofErr w:type="spellEnd"/>
      <w:r w:rsidR="0000495B" w:rsidRPr="003C7BF8">
        <w:rPr>
          <w:rFonts w:ascii="Arial" w:hAnsi="Arial" w:cs="Arial"/>
          <w:sz w:val="22"/>
        </w:rPr>
        <w:t xml:space="preserve"> et al., 2021). </w:t>
      </w:r>
    </w:p>
    <w:p w14:paraId="37E0C4E8" w14:textId="70A782D5" w:rsidR="001B718B" w:rsidRPr="003C7BF8" w:rsidRDefault="0000495B" w:rsidP="003A6B89">
      <w:pPr>
        <w:spacing w:line="360" w:lineRule="auto"/>
        <w:ind w:firstLine="720"/>
        <w:rPr>
          <w:rFonts w:ascii="Arial" w:hAnsi="Arial" w:cs="Arial"/>
          <w:sz w:val="22"/>
        </w:rPr>
      </w:pPr>
      <w:r w:rsidRPr="003C7BF8">
        <w:rPr>
          <w:rFonts w:ascii="Arial" w:hAnsi="Arial" w:cs="Arial"/>
          <w:sz w:val="22"/>
        </w:rPr>
        <w:t xml:space="preserve">These </w:t>
      </w:r>
      <w:r w:rsidR="009B160C" w:rsidRPr="003C7BF8">
        <w:rPr>
          <w:rFonts w:ascii="Arial" w:hAnsi="Arial" w:cs="Arial"/>
          <w:sz w:val="22"/>
        </w:rPr>
        <w:t>disruptions</w:t>
      </w:r>
      <w:r w:rsidRPr="003C7BF8">
        <w:rPr>
          <w:rFonts w:ascii="Arial" w:hAnsi="Arial" w:cs="Arial"/>
          <w:sz w:val="22"/>
        </w:rPr>
        <w:t xml:space="preserve"> involve emotional regulation problems, negative self-concept and relationship maintenance problems. </w:t>
      </w:r>
      <w:r w:rsidR="009B160C" w:rsidRPr="003C7BF8">
        <w:rPr>
          <w:rFonts w:ascii="Arial" w:hAnsi="Arial" w:cs="Arial"/>
          <w:sz w:val="22"/>
        </w:rPr>
        <w:t>This division is the more complex psychological impact of the chronic trauma or recurrent experience, which may be the childhood victimhood, domestic abuse, or enslavement (WHO, 2024). ICD-11 employs the disorder term, to demonstrate that CPTSD is linked to clinically significant symptoms requiring the assistance of a professional. The unique nature of CPTSD and PTSD is also a determinant that will help clinicians identify and treat more complex trauma manifestations</w:t>
      </w:r>
      <w:r w:rsidR="001B718B" w:rsidRPr="003C7BF8">
        <w:rPr>
          <w:rFonts w:ascii="Arial" w:hAnsi="Arial" w:cs="Arial"/>
          <w:sz w:val="22"/>
        </w:rPr>
        <w:t>.</w:t>
      </w:r>
    </w:p>
    <w:p w14:paraId="16E918FE" w14:textId="752CAD80" w:rsidR="001B718B" w:rsidRPr="003C7BF8" w:rsidRDefault="001B718B" w:rsidP="003A6B89">
      <w:pPr>
        <w:pStyle w:val="Heading2"/>
        <w:spacing w:line="360" w:lineRule="auto"/>
        <w:rPr>
          <w:rFonts w:ascii="Arial" w:hAnsi="Arial"/>
          <w:sz w:val="22"/>
          <w:szCs w:val="22"/>
        </w:rPr>
      </w:pPr>
      <w:bookmarkStart w:id="3" w:name="_Toc211251325"/>
      <w:r w:rsidRPr="003C7BF8">
        <w:rPr>
          <w:rFonts w:ascii="Arial" w:hAnsi="Arial"/>
          <w:sz w:val="22"/>
          <w:szCs w:val="22"/>
        </w:rPr>
        <w:t>Diagnostic Criteria and Process</w:t>
      </w:r>
      <w:bookmarkEnd w:id="3"/>
    </w:p>
    <w:p w14:paraId="291226E5" w14:textId="1CFA0FD8" w:rsidR="0000495B" w:rsidRPr="003C7BF8" w:rsidRDefault="006C1C13" w:rsidP="003A6B89">
      <w:pPr>
        <w:spacing w:line="360" w:lineRule="auto"/>
        <w:ind w:firstLine="720"/>
        <w:rPr>
          <w:rFonts w:ascii="Arial" w:hAnsi="Arial" w:cs="Arial"/>
          <w:sz w:val="22"/>
        </w:rPr>
      </w:pPr>
      <w:r w:rsidRPr="003C7BF8">
        <w:rPr>
          <w:rFonts w:ascii="Arial" w:hAnsi="Arial" w:cs="Arial"/>
          <w:sz w:val="22"/>
        </w:rPr>
        <w:t>The CPTSD diagnostic criteria of ICD-11 include PTSD and DSO symptoms (</w:t>
      </w:r>
      <w:proofErr w:type="spellStart"/>
      <w:r w:rsidRPr="003C7BF8">
        <w:rPr>
          <w:rFonts w:ascii="Arial" w:hAnsi="Arial" w:cs="Arial"/>
          <w:sz w:val="22"/>
        </w:rPr>
        <w:t>Karatzias</w:t>
      </w:r>
      <w:proofErr w:type="spellEnd"/>
      <w:r w:rsidRPr="003C7BF8">
        <w:rPr>
          <w:rFonts w:ascii="Arial" w:hAnsi="Arial" w:cs="Arial"/>
          <w:sz w:val="22"/>
        </w:rPr>
        <w:t xml:space="preserve"> et al., 2017). The symptoms of PTSD are grouped into three</w:t>
      </w:r>
      <w:r w:rsidR="0000495B" w:rsidRPr="003C7BF8">
        <w:rPr>
          <w:rFonts w:ascii="Arial" w:hAnsi="Arial" w:cs="Arial"/>
          <w:sz w:val="22"/>
        </w:rPr>
        <w:t>:</w:t>
      </w:r>
    </w:p>
    <w:p w14:paraId="386AEBE9" w14:textId="3558BEEA" w:rsidR="0000495B" w:rsidRPr="003C7BF8" w:rsidRDefault="0000495B" w:rsidP="003A6B89">
      <w:pPr>
        <w:pStyle w:val="ListParagraph"/>
        <w:numPr>
          <w:ilvl w:val="0"/>
          <w:numId w:val="21"/>
        </w:numPr>
        <w:spacing w:line="360" w:lineRule="auto"/>
        <w:rPr>
          <w:rFonts w:ascii="Arial" w:hAnsi="Arial" w:cs="Arial"/>
          <w:sz w:val="22"/>
        </w:rPr>
      </w:pPr>
      <w:r w:rsidRPr="003C7BF8">
        <w:rPr>
          <w:rFonts w:ascii="Arial" w:hAnsi="Arial" w:cs="Arial"/>
          <w:sz w:val="22"/>
        </w:rPr>
        <w:t>Reliving the traumatic incident in the present (e.g. flashbacks, nightmares).</w:t>
      </w:r>
    </w:p>
    <w:p w14:paraId="78E9143C" w14:textId="28A0E815" w:rsidR="0000495B" w:rsidRPr="003C7BF8" w:rsidRDefault="000B1F77" w:rsidP="003A6B89">
      <w:pPr>
        <w:pStyle w:val="ListParagraph"/>
        <w:numPr>
          <w:ilvl w:val="0"/>
          <w:numId w:val="21"/>
        </w:numPr>
        <w:spacing w:line="360" w:lineRule="auto"/>
        <w:rPr>
          <w:rFonts w:ascii="Arial" w:hAnsi="Arial" w:cs="Arial"/>
          <w:sz w:val="22"/>
        </w:rPr>
      </w:pPr>
      <w:r w:rsidRPr="003C7BF8">
        <w:rPr>
          <w:rFonts w:ascii="Arial" w:hAnsi="Arial" w:cs="Arial"/>
          <w:sz w:val="22"/>
        </w:rPr>
        <w:t>Eschewing</w:t>
      </w:r>
      <w:r w:rsidR="0000495B" w:rsidRPr="003C7BF8">
        <w:rPr>
          <w:rFonts w:ascii="Arial" w:hAnsi="Arial" w:cs="Arial"/>
          <w:sz w:val="22"/>
        </w:rPr>
        <w:t xml:space="preserve"> reminders of the trauma.</w:t>
      </w:r>
    </w:p>
    <w:p w14:paraId="20BA2800" w14:textId="3FF435A3" w:rsidR="0000495B" w:rsidRPr="003C7BF8" w:rsidRDefault="0000495B" w:rsidP="003A6B89">
      <w:pPr>
        <w:spacing w:line="360" w:lineRule="auto"/>
        <w:ind w:firstLine="720"/>
        <w:rPr>
          <w:rFonts w:ascii="Arial" w:hAnsi="Arial" w:cs="Arial"/>
          <w:sz w:val="22"/>
        </w:rPr>
      </w:pPr>
      <w:r w:rsidRPr="003C7BF8">
        <w:rPr>
          <w:rFonts w:ascii="Arial" w:hAnsi="Arial" w:cs="Arial"/>
          <w:sz w:val="22"/>
        </w:rPr>
        <w:t xml:space="preserve">There is a chronic feeling of present danger, typically displayed in hypervigilance or </w:t>
      </w:r>
      <w:proofErr w:type="spellStart"/>
      <w:r w:rsidRPr="003C7BF8">
        <w:rPr>
          <w:rFonts w:ascii="Arial" w:hAnsi="Arial" w:cs="Arial"/>
          <w:sz w:val="22"/>
        </w:rPr>
        <w:t>hyperreactive</w:t>
      </w:r>
      <w:proofErr w:type="spellEnd"/>
      <w:r w:rsidRPr="003C7BF8">
        <w:rPr>
          <w:rFonts w:ascii="Arial" w:hAnsi="Arial" w:cs="Arial"/>
          <w:sz w:val="22"/>
        </w:rPr>
        <w:t xml:space="preserve"> startle reflexes.</w:t>
      </w:r>
    </w:p>
    <w:p w14:paraId="209D588D" w14:textId="30E271D1" w:rsidR="0000495B" w:rsidRPr="003C7BF8" w:rsidRDefault="000B1F77" w:rsidP="003A6B89">
      <w:pPr>
        <w:spacing w:line="360" w:lineRule="auto"/>
        <w:ind w:firstLine="360"/>
        <w:rPr>
          <w:rFonts w:ascii="Arial" w:hAnsi="Arial" w:cs="Arial"/>
          <w:sz w:val="22"/>
        </w:rPr>
      </w:pPr>
      <w:r w:rsidRPr="003C7BF8">
        <w:rPr>
          <w:rFonts w:ascii="Arial" w:hAnsi="Arial" w:cs="Arial"/>
          <w:sz w:val="22"/>
        </w:rPr>
        <w:t>DSO symptoms are divided into three groups, as well (</w:t>
      </w:r>
      <w:proofErr w:type="spellStart"/>
      <w:r w:rsidRPr="003C7BF8">
        <w:rPr>
          <w:rFonts w:ascii="Arial" w:hAnsi="Arial" w:cs="Arial"/>
          <w:sz w:val="22"/>
        </w:rPr>
        <w:t>Shevlin</w:t>
      </w:r>
      <w:proofErr w:type="spellEnd"/>
      <w:r w:rsidRPr="003C7BF8">
        <w:rPr>
          <w:rFonts w:ascii="Arial" w:hAnsi="Arial" w:cs="Arial"/>
          <w:sz w:val="22"/>
        </w:rPr>
        <w:t xml:space="preserve"> et al., 2018)</w:t>
      </w:r>
      <w:r w:rsidR="0000495B" w:rsidRPr="003C7BF8">
        <w:rPr>
          <w:rFonts w:ascii="Arial" w:hAnsi="Arial" w:cs="Arial"/>
          <w:sz w:val="22"/>
        </w:rPr>
        <w:t>:</w:t>
      </w:r>
    </w:p>
    <w:p w14:paraId="4F5AD6D0" w14:textId="63B75814" w:rsidR="0000495B" w:rsidRPr="003C7BF8" w:rsidRDefault="0000495B" w:rsidP="003A6B89">
      <w:pPr>
        <w:pStyle w:val="ListParagraph"/>
        <w:numPr>
          <w:ilvl w:val="0"/>
          <w:numId w:val="19"/>
        </w:numPr>
        <w:spacing w:line="360" w:lineRule="auto"/>
        <w:rPr>
          <w:rFonts w:ascii="Arial" w:hAnsi="Arial" w:cs="Arial"/>
          <w:sz w:val="22"/>
        </w:rPr>
      </w:pPr>
      <w:r w:rsidRPr="003C7BF8">
        <w:rPr>
          <w:rFonts w:ascii="Arial" w:hAnsi="Arial" w:cs="Arial"/>
          <w:sz w:val="22"/>
        </w:rPr>
        <w:t>Difficulty in affecting regulation- difficulty regulating intense emotion like anger, fear or sadness.</w:t>
      </w:r>
    </w:p>
    <w:p w14:paraId="6AEFCF3D" w14:textId="0BBAE6D6" w:rsidR="0000495B" w:rsidRPr="003C7BF8" w:rsidRDefault="0000495B" w:rsidP="003A6B89">
      <w:pPr>
        <w:pStyle w:val="ListParagraph"/>
        <w:numPr>
          <w:ilvl w:val="0"/>
          <w:numId w:val="19"/>
        </w:numPr>
        <w:spacing w:line="360" w:lineRule="auto"/>
        <w:rPr>
          <w:rFonts w:ascii="Arial" w:hAnsi="Arial" w:cs="Arial"/>
          <w:sz w:val="22"/>
        </w:rPr>
      </w:pPr>
      <w:r w:rsidRPr="003C7BF8">
        <w:rPr>
          <w:rFonts w:ascii="Arial" w:hAnsi="Arial" w:cs="Arial"/>
          <w:sz w:val="22"/>
        </w:rPr>
        <w:t>Negative self-concept- worthlessness, shame, guilt.</w:t>
      </w:r>
    </w:p>
    <w:p w14:paraId="0CEE43A9" w14:textId="1C3664FA" w:rsidR="0000495B" w:rsidRPr="003C7BF8" w:rsidRDefault="0000495B" w:rsidP="003A6B89">
      <w:pPr>
        <w:pStyle w:val="ListParagraph"/>
        <w:numPr>
          <w:ilvl w:val="0"/>
          <w:numId w:val="19"/>
        </w:numPr>
        <w:spacing w:line="360" w:lineRule="auto"/>
        <w:rPr>
          <w:rFonts w:ascii="Arial" w:hAnsi="Arial" w:cs="Arial"/>
          <w:sz w:val="22"/>
        </w:rPr>
      </w:pPr>
      <w:r w:rsidRPr="003C7BF8">
        <w:rPr>
          <w:rFonts w:ascii="Arial" w:hAnsi="Arial" w:cs="Arial"/>
          <w:sz w:val="22"/>
        </w:rPr>
        <w:t>Interpersonal problems - problems in establishing and sustaining intimate or trusting relationships.</w:t>
      </w:r>
    </w:p>
    <w:p w14:paraId="0225F682" w14:textId="075FFA56" w:rsidR="001B718B" w:rsidRPr="003C7BF8" w:rsidRDefault="0000495B" w:rsidP="003A6B89">
      <w:pPr>
        <w:spacing w:line="360" w:lineRule="auto"/>
        <w:ind w:firstLine="432"/>
        <w:rPr>
          <w:rFonts w:ascii="Arial" w:hAnsi="Arial" w:cs="Arial"/>
          <w:sz w:val="22"/>
        </w:rPr>
      </w:pPr>
      <w:r w:rsidRPr="003C7BF8">
        <w:rPr>
          <w:rFonts w:ascii="Arial" w:hAnsi="Arial" w:cs="Arial"/>
          <w:sz w:val="22"/>
        </w:rPr>
        <w:t xml:space="preserve">Diagnosis is carried out with an in-depth clinical examination which incorporates trauma history, symptom assessment, and functional effect. </w:t>
      </w:r>
      <w:r w:rsidR="00D6570B" w:rsidRPr="003C7BF8">
        <w:rPr>
          <w:rFonts w:ascii="Arial" w:hAnsi="Arial" w:cs="Arial"/>
          <w:sz w:val="22"/>
        </w:rPr>
        <w:t>Among the primary tools used in the global ICD-11 CPTSD, there is the International Trauma Questionnaire (ITQ) developed to assess the symptoms of both PTSD and CPTSD with the manifestations of the latter per the ICD-11 standard (Kindred et al., 2025). The ITQ can be used to ensure that a clinician will be capable of distinguishing between PTSD and CPTSD presentation reliably (</w:t>
      </w:r>
      <w:proofErr w:type="spellStart"/>
      <w:r w:rsidR="00D6570B" w:rsidRPr="003C7BF8">
        <w:rPr>
          <w:rFonts w:ascii="Arial" w:hAnsi="Arial" w:cs="Arial"/>
          <w:sz w:val="22"/>
        </w:rPr>
        <w:t>Cloitre</w:t>
      </w:r>
      <w:proofErr w:type="spellEnd"/>
      <w:r w:rsidR="00D6570B" w:rsidRPr="003C7BF8">
        <w:rPr>
          <w:rFonts w:ascii="Arial" w:hAnsi="Arial" w:cs="Arial"/>
          <w:sz w:val="22"/>
        </w:rPr>
        <w:t xml:space="preserve"> et al., 2018). Comparatively, DSM-5 also defines PTSD as four groups of symptoms, including intrusion, avoidance, negative changes in cognition and mood, and changes in arousal and reactivity. The absence of CPTSD as a distinct diagnosis in DSM-5 can cause the manifestation of complex traumas as the manifestation of PTSD or another diagnosis. This is a large contrast because ICD-11 enables the ability to rely on a more specific picture of how trauma affects self-</w:t>
      </w:r>
      <w:proofErr w:type="spellStart"/>
      <w:r w:rsidR="00D6570B" w:rsidRPr="003C7BF8">
        <w:rPr>
          <w:rFonts w:ascii="Arial" w:hAnsi="Arial" w:cs="Arial"/>
          <w:sz w:val="22"/>
        </w:rPr>
        <w:t>organisation</w:t>
      </w:r>
      <w:proofErr w:type="spellEnd"/>
      <w:r w:rsidR="00D6570B" w:rsidRPr="003C7BF8">
        <w:rPr>
          <w:rFonts w:ascii="Arial" w:hAnsi="Arial" w:cs="Arial"/>
          <w:sz w:val="22"/>
        </w:rPr>
        <w:t xml:space="preserve"> and relationships (</w:t>
      </w:r>
      <w:proofErr w:type="spellStart"/>
      <w:r w:rsidR="00D6570B" w:rsidRPr="003C7BF8">
        <w:rPr>
          <w:rFonts w:ascii="Arial" w:hAnsi="Arial" w:cs="Arial"/>
          <w:sz w:val="22"/>
        </w:rPr>
        <w:t>Vang</w:t>
      </w:r>
      <w:proofErr w:type="spellEnd"/>
      <w:r w:rsidR="00D6570B" w:rsidRPr="003C7BF8">
        <w:rPr>
          <w:rFonts w:ascii="Arial" w:hAnsi="Arial" w:cs="Arial"/>
          <w:sz w:val="22"/>
        </w:rPr>
        <w:t xml:space="preserve"> et al., 2021)</w:t>
      </w:r>
      <w:r w:rsidR="001B718B" w:rsidRPr="003C7BF8">
        <w:rPr>
          <w:rFonts w:ascii="Arial" w:hAnsi="Arial" w:cs="Arial"/>
          <w:sz w:val="22"/>
        </w:rPr>
        <w:t>.</w:t>
      </w:r>
    </w:p>
    <w:p w14:paraId="7E353A42" w14:textId="2BDEC4B6" w:rsidR="001B718B" w:rsidRPr="003C7BF8" w:rsidRDefault="001B718B" w:rsidP="003A6B89">
      <w:pPr>
        <w:pStyle w:val="Heading2"/>
        <w:spacing w:line="360" w:lineRule="auto"/>
        <w:rPr>
          <w:rFonts w:ascii="Arial" w:hAnsi="Arial"/>
          <w:sz w:val="22"/>
          <w:szCs w:val="22"/>
        </w:rPr>
      </w:pPr>
      <w:bookmarkStart w:id="4" w:name="_Toc211251326"/>
      <w:r w:rsidRPr="003C7BF8">
        <w:rPr>
          <w:rFonts w:ascii="Arial" w:hAnsi="Arial"/>
          <w:sz w:val="22"/>
          <w:szCs w:val="22"/>
        </w:rPr>
        <w:t>Implications for Clinical Practice</w:t>
      </w:r>
      <w:bookmarkEnd w:id="4"/>
    </w:p>
    <w:p w14:paraId="265AB593" w14:textId="49FA4338" w:rsidR="001B718B" w:rsidRPr="003C7BF8" w:rsidRDefault="00D6570B" w:rsidP="003A6B89">
      <w:pPr>
        <w:spacing w:line="360" w:lineRule="auto"/>
        <w:ind w:firstLine="720"/>
        <w:rPr>
          <w:rFonts w:ascii="Arial" w:hAnsi="Arial" w:cs="Arial"/>
          <w:sz w:val="22"/>
        </w:rPr>
      </w:pPr>
      <w:r w:rsidRPr="003C7BF8">
        <w:rPr>
          <w:rFonts w:ascii="Arial" w:hAnsi="Arial" w:cs="Arial"/>
          <w:sz w:val="22"/>
        </w:rPr>
        <w:t>Complex Post-Traumatic Stress Disorder (CPTSD), has been classified in ICD-11, and the classification of this disorder has enormous clinical practice consequences</w:t>
      </w:r>
      <w:r w:rsidR="000B1F77" w:rsidRPr="003C7BF8">
        <w:rPr>
          <w:rFonts w:ascii="Arial" w:hAnsi="Arial" w:cs="Arial"/>
          <w:sz w:val="22"/>
        </w:rPr>
        <w:t>. It improves screening and identification, since it detects a broader range of the symptoms of the trauma, and could be applied to the differentiation of CPTSD and Post-Traumatic Stress Disorder (PTSD) and development of more efficient and gradual interventions (</w:t>
      </w:r>
      <w:proofErr w:type="spellStart"/>
      <w:r w:rsidR="000B1F77" w:rsidRPr="003C7BF8">
        <w:rPr>
          <w:rFonts w:ascii="Arial" w:hAnsi="Arial" w:cs="Arial"/>
          <w:sz w:val="22"/>
        </w:rPr>
        <w:t>Cloitre</w:t>
      </w:r>
      <w:proofErr w:type="spellEnd"/>
      <w:r w:rsidR="000B1F77" w:rsidRPr="003C7BF8">
        <w:rPr>
          <w:rFonts w:ascii="Arial" w:hAnsi="Arial" w:cs="Arial"/>
          <w:sz w:val="22"/>
        </w:rPr>
        <w:t xml:space="preserve"> et al., 2019). ICD-11 coding is also useful in reporting correctly, planning of services, and resource allocation. CPTSD awareness contributes to the idea of multi-agency collaboration since the vast majority of patients require psychological assistance and social services, such as housing and rehabilitation (Harvey et al., 2025). The common </w:t>
      </w:r>
      <w:proofErr w:type="spellStart"/>
      <w:r w:rsidR="000B1F77" w:rsidRPr="003C7BF8">
        <w:rPr>
          <w:rFonts w:ascii="Arial" w:hAnsi="Arial" w:cs="Arial"/>
          <w:sz w:val="22"/>
        </w:rPr>
        <w:t>categori</w:t>
      </w:r>
      <w:r w:rsidR="00251DF4" w:rsidRPr="003C7BF8">
        <w:rPr>
          <w:rFonts w:ascii="Arial" w:hAnsi="Arial" w:cs="Arial"/>
          <w:sz w:val="22"/>
        </w:rPr>
        <w:t>s</w:t>
      </w:r>
      <w:r w:rsidR="000B1F77" w:rsidRPr="003C7BF8">
        <w:rPr>
          <w:rFonts w:ascii="Arial" w:hAnsi="Arial" w:cs="Arial"/>
          <w:sz w:val="22"/>
        </w:rPr>
        <w:t>ation</w:t>
      </w:r>
      <w:proofErr w:type="spellEnd"/>
      <w:r w:rsidR="000B1F77" w:rsidRPr="003C7BF8">
        <w:rPr>
          <w:rFonts w:ascii="Arial" w:hAnsi="Arial" w:cs="Arial"/>
          <w:sz w:val="22"/>
        </w:rPr>
        <w:t xml:space="preserve"> further stimulates research and policy making since it can boost the knowledge on complex trauma, influence clinical direction, staff training and service development. This will help establish a more traumatically knowledgeable and person-</w:t>
      </w:r>
      <w:proofErr w:type="spellStart"/>
      <w:r w:rsidR="000B1F77" w:rsidRPr="003C7BF8">
        <w:rPr>
          <w:rFonts w:ascii="Arial" w:hAnsi="Arial" w:cs="Arial"/>
          <w:sz w:val="22"/>
        </w:rPr>
        <w:t>centred</w:t>
      </w:r>
      <w:proofErr w:type="spellEnd"/>
      <w:r w:rsidR="000B1F77" w:rsidRPr="003C7BF8">
        <w:rPr>
          <w:rFonts w:ascii="Arial" w:hAnsi="Arial" w:cs="Arial"/>
          <w:sz w:val="22"/>
        </w:rPr>
        <w:t xml:space="preserve"> care course and improve the long-term results of the people with CPTSD</w:t>
      </w:r>
      <w:r w:rsidR="001B718B" w:rsidRPr="003C7BF8">
        <w:rPr>
          <w:rFonts w:ascii="Arial" w:hAnsi="Arial" w:cs="Arial"/>
          <w:sz w:val="22"/>
        </w:rPr>
        <w:t>.</w:t>
      </w:r>
    </w:p>
    <w:p w14:paraId="0E18FFEE" w14:textId="3FF0EC64" w:rsidR="007B35D6" w:rsidRPr="003C7BF8" w:rsidRDefault="007B35D6" w:rsidP="003A6B89">
      <w:pPr>
        <w:pStyle w:val="Heading1"/>
        <w:spacing w:line="360" w:lineRule="auto"/>
        <w:rPr>
          <w:rFonts w:ascii="Arial" w:hAnsi="Arial" w:cs="Arial"/>
          <w:sz w:val="22"/>
          <w:szCs w:val="22"/>
        </w:rPr>
      </w:pPr>
      <w:bookmarkStart w:id="5" w:name="_Toc211251327"/>
      <w:r w:rsidRPr="003C7BF8">
        <w:rPr>
          <w:rFonts w:ascii="Arial" w:hAnsi="Arial" w:cs="Arial"/>
          <w:sz w:val="22"/>
          <w:szCs w:val="22"/>
        </w:rPr>
        <w:t>Treatment and Rehabilitation</w:t>
      </w:r>
      <w:bookmarkEnd w:id="5"/>
    </w:p>
    <w:p w14:paraId="701F16D0" w14:textId="67BF3325" w:rsidR="007B35D6" w:rsidRPr="003C7BF8" w:rsidRDefault="007B35D6" w:rsidP="003A6B89">
      <w:pPr>
        <w:pStyle w:val="Heading2"/>
        <w:spacing w:line="360" w:lineRule="auto"/>
        <w:rPr>
          <w:rFonts w:ascii="Arial" w:hAnsi="Arial"/>
          <w:sz w:val="22"/>
          <w:szCs w:val="22"/>
        </w:rPr>
      </w:pPr>
      <w:bookmarkStart w:id="6" w:name="_Toc211251328"/>
      <w:r w:rsidRPr="003C7BF8">
        <w:rPr>
          <w:rFonts w:ascii="Arial" w:hAnsi="Arial"/>
          <w:sz w:val="22"/>
          <w:szCs w:val="22"/>
        </w:rPr>
        <w:t>Standard Treatment Approaches</w:t>
      </w:r>
      <w:bookmarkEnd w:id="6"/>
    </w:p>
    <w:p w14:paraId="35277311" w14:textId="765F3B41" w:rsidR="000B1F77" w:rsidRPr="003C7BF8" w:rsidRDefault="000B1F77" w:rsidP="003A6B89">
      <w:pPr>
        <w:spacing w:line="360" w:lineRule="auto"/>
        <w:ind w:firstLine="720"/>
        <w:rPr>
          <w:rFonts w:ascii="Arial" w:hAnsi="Arial" w:cs="Arial"/>
          <w:sz w:val="22"/>
        </w:rPr>
      </w:pPr>
      <w:r w:rsidRPr="003C7BF8">
        <w:rPr>
          <w:rFonts w:ascii="Arial" w:hAnsi="Arial" w:cs="Arial"/>
          <w:sz w:val="22"/>
        </w:rPr>
        <w:t xml:space="preserve">The treatment of Complex Post-Traumatic Stress Disorder (CPTSD) is also focused on the reduction of trauma-related symptoms, improvement of the normal daily functioning and recovery. The treatment of trauma-related disorders is one of the forms of psychological interventions in the National Institute of Health and Care excellence guideline NG116, which dwells upon trauma and the initial line of treatment (National Institute for Health and Care excellence, 2018). Two types of therapies proposed include trauma-focused cognitive </w:t>
      </w:r>
      <w:proofErr w:type="spellStart"/>
      <w:r w:rsidRPr="003C7BF8">
        <w:rPr>
          <w:rFonts w:ascii="Arial" w:hAnsi="Arial" w:cs="Arial"/>
          <w:sz w:val="22"/>
        </w:rPr>
        <w:t>behavioural</w:t>
      </w:r>
      <w:proofErr w:type="spellEnd"/>
      <w:r w:rsidRPr="003C7BF8">
        <w:rPr>
          <w:rFonts w:ascii="Arial" w:hAnsi="Arial" w:cs="Arial"/>
          <w:sz w:val="22"/>
        </w:rPr>
        <w:t xml:space="preserve"> therapy (TF-CBT) and Eye Movement </w:t>
      </w:r>
      <w:proofErr w:type="spellStart"/>
      <w:r w:rsidRPr="003C7BF8">
        <w:rPr>
          <w:rFonts w:ascii="Arial" w:hAnsi="Arial" w:cs="Arial"/>
          <w:sz w:val="22"/>
        </w:rPr>
        <w:t>Desensiti</w:t>
      </w:r>
      <w:r w:rsidR="00251DF4" w:rsidRPr="003C7BF8">
        <w:rPr>
          <w:rFonts w:ascii="Arial" w:hAnsi="Arial" w:cs="Arial"/>
          <w:sz w:val="22"/>
        </w:rPr>
        <w:t>s</w:t>
      </w:r>
      <w:r w:rsidRPr="003C7BF8">
        <w:rPr>
          <w:rFonts w:ascii="Arial" w:hAnsi="Arial" w:cs="Arial"/>
          <w:sz w:val="22"/>
        </w:rPr>
        <w:t>ation</w:t>
      </w:r>
      <w:proofErr w:type="spellEnd"/>
      <w:r w:rsidRPr="003C7BF8">
        <w:rPr>
          <w:rFonts w:ascii="Arial" w:hAnsi="Arial" w:cs="Arial"/>
          <w:sz w:val="22"/>
        </w:rPr>
        <w:t xml:space="preserve"> and Reprocessing (EMDR). TF-CBT can be applied to the detection and the adjustment of the negative thoughts on the topic of the trauma, and EMDR is applied to reprocess trauma memories and reduce emotional suffering (Yadav and </w:t>
      </w:r>
      <w:proofErr w:type="spellStart"/>
      <w:r w:rsidRPr="003C7BF8">
        <w:rPr>
          <w:rFonts w:ascii="Arial" w:hAnsi="Arial" w:cs="Arial"/>
          <w:sz w:val="22"/>
        </w:rPr>
        <w:t>Gunturu</w:t>
      </w:r>
      <w:proofErr w:type="spellEnd"/>
      <w:r w:rsidRPr="003C7BF8">
        <w:rPr>
          <w:rFonts w:ascii="Arial" w:hAnsi="Arial" w:cs="Arial"/>
          <w:sz w:val="22"/>
        </w:rPr>
        <w:t>, 2024).</w:t>
      </w:r>
    </w:p>
    <w:p w14:paraId="2EF113B5" w14:textId="31E4A2C3" w:rsidR="0000495B" w:rsidRPr="003C7BF8" w:rsidRDefault="000B1F77" w:rsidP="003A6B89">
      <w:pPr>
        <w:spacing w:line="360" w:lineRule="auto"/>
        <w:ind w:firstLine="720"/>
        <w:rPr>
          <w:rFonts w:ascii="Arial" w:hAnsi="Arial" w:cs="Arial"/>
          <w:sz w:val="22"/>
        </w:rPr>
      </w:pPr>
      <w:r w:rsidRPr="003C7BF8">
        <w:rPr>
          <w:rFonts w:ascii="Arial" w:hAnsi="Arial" w:cs="Arial"/>
          <w:sz w:val="22"/>
        </w:rPr>
        <w:t>Regarding CPTSD, it is postulated that stage-based model of treatment is more likely to be effective than single-phase interventions. It is one of those models that has three steps in general</w:t>
      </w:r>
      <w:r w:rsidR="0000495B" w:rsidRPr="003C7BF8">
        <w:rPr>
          <w:rFonts w:ascii="Arial" w:hAnsi="Arial" w:cs="Arial"/>
          <w:sz w:val="22"/>
        </w:rPr>
        <w:t>:</w:t>
      </w:r>
    </w:p>
    <w:p w14:paraId="718DC2D8" w14:textId="74B7FECC" w:rsidR="0000495B" w:rsidRPr="003C7BF8" w:rsidRDefault="0000495B" w:rsidP="003A6B89">
      <w:pPr>
        <w:pStyle w:val="ListParagraph"/>
        <w:numPr>
          <w:ilvl w:val="0"/>
          <w:numId w:val="20"/>
        </w:numPr>
        <w:spacing w:line="360" w:lineRule="auto"/>
        <w:rPr>
          <w:rFonts w:ascii="Arial" w:hAnsi="Arial" w:cs="Arial"/>
          <w:b/>
          <w:bCs/>
          <w:sz w:val="22"/>
        </w:rPr>
      </w:pPr>
      <w:proofErr w:type="spellStart"/>
      <w:r w:rsidRPr="003C7BF8">
        <w:rPr>
          <w:rFonts w:ascii="Arial" w:hAnsi="Arial" w:cs="Arial"/>
          <w:sz w:val="22"/>
        </w:rPr>
        <w:t>Stabilisation</w:t>
      </w:r>
      <w:proofErr w:type="spellEnd"/>
      <w:r w:rsidRPr="003C7BF8">
        <w:rPr>
          <w:rFonts w:ascii="Arial" w:hAnsi="Arial" w:cs="Arial"/>
          <w:sz w:val="22"/>
        </w:rPr>
        <w:t>- assisting the individual to establish skills of emotional regulation, safety and trust.</w:t>
      </w:r>
    </w:p>
    <w:p w14:paraId="6678CC3B" w14:textId="26AF8D08" w:rsidR="0000495B" w:rsidRPr="003C7BF8" w:rsidRDefault="0000495B" w:rsidP="003A6B89">
      <w:pPr>
        <w:pStyle w:val="ListParagraph"/>
        <w:numPr>
          <w:ilvl w:val="0"/>
          <w:numId w:val="20"/>
        </w:numPr>
        <w:spacing w:line="360" w:lineRule="auto"/>
        <w:rPr>
          <w:rFonts w:ascii="Arial" w:hAnsi="Arial" w:cs="Arial"/>
          <w:b/>
          <w:bCs/>
          <w:sz w:val="22"/>
        </w:rPr>
      </w:pPr>
      <w:r w:rsidRPr="003C7BF8">
        <w:rPr>
          <w:rFonts w:ascii="Arial" w:hAnsi="Arial" w:cs="Arial"/>
          <w:sz w:val="22"/>
        </w:rPr>
        <w:t xml:space="preserve">Processing of trauma - treatment of traumatic memories with the use of </w:t>
      </w:r>
      <w:proofErr w:type="spellStart"/>
      <w:r w:rsidRPr="003C7BF8">
        <w:rPr>
          <w:rFonts w:ascii="Arial" w:hAnsi="Arial" w:cs="Arial"/>
          <w:sz w:val="22"/>
        </w:rPr>
        <w:t>speciali</w:t>
      </w:r>
      <w:r w:rsidR="00251DF4" w:rsidRPr="003C7BF8">
        <w:rPr>
          <w:rFonts w:ascii="Arial" w:hAnsi="Arial" w:cs="Arial"/>
          <w:sz w:val="22"/>
        </w:rPr>
        <w:t>s</w:t>
      </w:r>
      <w:r w:rsidRPr="003C7BF8">
        <w:rPr>
          <w:rFonts w:ascii="Arial" w:hAnsi="Arial" w:cs="Arial"/>
          <w:sz w:val="22"/>
        </w:rPr>
        <w:t>ed</w:t>
      </w:r>
      <w:proofErr w:type="spellEnd"/>
      <w:r w:rsidRPr="003C7BF8">
        <w:rPr>
          <w:rFonts w:ascii="Arial" w:hAnsi="Arial" w:cs="Arial"/>
          <w:sz w:val="22"/>
        </w:rPr>
        <w:t xml:space="preserve"> therapy such as EMDR or TF-CBT.</w:t>
      </w:r>
    </w:p>
    <w:p w14:paraId="433FE5B3" w14:textId="6FC0395B" w:rsidR="0000495B" w:rsidRPr="003C7BF8" w:rsidRDefault="0000495B" w:rsidP="003A6B89">
      <w:pPr>
        <w:pStyle w:val="ListParagraph"/>
        <w:numPr>
          <w:ilvl w:val="0"/>
          <w:numId w:val="20"/>
        </w:numPr>
        <w:spacing w:line="360" w:lineRule="auto"/>
        <w:rPr>
          <w:rFonts w:ascii="Arial" w:hAnsi="Arial" w:cs="Arial"/>
          <w:b/>
          <w:bCs/>
          <w:sz w:val="22"/>
        </w:rPr>
      </w:pPr>
      <w:r w:rsidRPr="003C7BF8">
        <w:rPr>
          <w:rFonts w:ascii="Arial" w:hAnsi="Arial" w:cs="Arial"/>
          <w:sz w:val="22"/>
        </w:rPr>
        <w:t>Reintegration - aiding the individual in restoring normal everyday life, relationships and self-worth following the trauma.</w:t>
      </w:r>
    </w:p>
    <w:p w14:paraId="6ECCB59D" w14:textId="799F8BFD" w:rsidR="007B35D6" w:rsidRPr="003C7BF8" w:rsidRDefault="0000495B" w:rsidP="003A6B89">
      <w:pPr>
        <w:spacing w:line="360" w:lineRule="auto"/>
        <w:ind w:firstLine="720"/>
        <w:rPr>
          <w:rFonts w:ascii="Arial" w:hAnsi="Arial" w:cs="Arial"/>
          <w:sz w:val="22"/>
        </w:rPr>
      </w:pPr>
      <w:r w:rsidRPr="003C7BF8">
        <w:rPr>
          <w:rFonts w:ascii="Arial" w:hAnsi="Arial" w:cs="Arial"/>
          <w:sz w:val="22"/>
        </w:rPr>
        <w:t xml:space="preserve">This gradual process is an acknowledgement that individuals with CPTSD tend to suffer more through emotional and relational problems as opposed to PTSD. </w:t>
      </w:r>
      <w:r w:rsidR="00D6570B" w:rsidRPr="003C7BF8">
        <w:rPr>
          <w:rFonts w:ascii="Arial" w:hAnsi="Arial" w:cs="Arial"/>
          <w:sz w:val="22"/>
        </w:rPr>
        <w:t>It facilitates therapy in a pace that is safe and manageable to people</w:t>
      </w:r>
      <w:r w:rsidR="007B35D6" w:rsidRPr="003C7BF8">
        <w:rPr>
          <w:rFonts w:ascii="Arial" w:hAnsi="Arial" w:cs="Arial"/>
          <w:sz w:val="22"/>
        </w:rPr>
        <w:t>.</w:t>
      </w:r>
    </w:p>
    <w:p w14:paraId="0CEB92EA" w14:textId="33A9F8EB" w:rsidR="007B35D6" w:rsidRPr="003C7BF8" w:rsidRDefault="007B35D6" w:rsidP="003A6B89">
      <w:pPr>
        <w:pStyle w:val="Heading2"/>
        <w:spacing w:line="360" w:lineRule="auto"/>
        <w:rPr>
          <w:rFonts w:ascii="Arial" w:hAnsi="Arial"/>
          <w:sz w:val="22"/>
          <w:szCs w:val="22"/>
        </w:rPr>
      </w:pPr>
      <w:bookmarkStart w:id="7" w:name="_Toc211251329"/>
      <w:r w:rsidRPr="003C7BF8">
        <w:rPr>
          <w:rFonts w:ascii="Arial" w:hAnsi="Arial"/>
          <w:sz w:val="22"/>
          <w:szCs w:val="22"/>
        </w:rPr>
        <w:t>Rehabilitation Measures</w:t>
      </w:r>
      <w:bookmarkEnd w:id="7"/>
    </w:p>
    <w:p w14:paraId="4EE507BA" w14:textId="2DADBF1A" w:rsidR="007B35D6" w:rsidRPr="003C7BF8" w:rsidRDefault="0000495B" w:rsidP="003A6B89">
      <w:pPr>
        <w:spacing w:line="360" w:lineRule="auto"/>
        <w:ind w:firstLine="720"/>
        <w:rPr>
          <w:rFonts w:ascii="Arial" w:hAnsi="Arial" w:cs="Arial"/>
          <w:sz w:val="22"/>
        </w:rPr>
      </w:pPr>
      <w:r w:rsidRPr="003C7BF8">
        <w:rPr>
          <w:rFonts w:ascii="Arial" w:hAnsi="Arial" w:cs="Arial"/>
          <w:sz w:val="22"/>
        </w:rPr>
        <w:t>Complex Post-Traumatic Stress Disorder (CPTSD) rehabilitation extends beyond symptom reduction to assist patients recovering independence, develop coping mechanisms, and restore their lives (</w:t>
      </w:r>
      <w:proofErr w:type="spellStart"/>
      <w:r w:rsidRPr="003C7BF8">
        <w:rPr>
          <w:rFonts w:ascii="Arial" w:hAnsi="Arial" w:cs="Arial"/>
          <w:sz w:val="22"/>
        </w:rPr>
        <w:t>Burback</w:t>
      </w:r>
      <w:proofErr w:type="spellEnd"/>
      <w:r w:rsidRPr="003C7BF8">
        <w:rPr>
          <w:rFonts w:ascii="Arial" w:hAnsi="Arial" w:cs="Arial"/>
          <w:sz w:val="22"/>
        </w:rPr>
        <w:t xml:space="preserve"> et al., 2023). Both inpatient and community services are important. Psychological therapy, social support and peer </w:t>
      </w:r>
      <w:proofErr w:type="spellStart"/>
      <w:r w:rsidRPr="003C7BF8">
        <w:rPr>
          <w:rFonts w:ascii="Arial" w:hAnsi="Arial" w:cs="Arial"/>
          <w:sz w:val="22"/>
        </w:rPr>
        <w:t>programmes</w:t>
      </w:r>
      <w:proofErr w:type="spellEnd"/>
      <w:r w:rsidRPr="003C7BF8">
        <w:rPr>
          <w:rFonts w:ascii="Arial" w:hAnsi="Arial" w:cs="Arial"/>
          <w:sz w:val="22"/>
        </w:rPr>
        <w:t xml:space="preserve"> are also used in community rehabilitation, thereby mitigating isolation and enhancing belonging. Treatment should follow personal goals and provide safe, respectful, and empowering environments, which can only be done through person-</w:t>
      </w:r>
      <w:proofErr w:type="spellStart"/>
      <w:r w:rsidRPr="003C7BF8">
        <w:rPr>
          <w:rFonts w:ascii="Arial" w:hAnsi="Arial" w:cs="Arial"/>
          <w:sz w:val="22"/>
        </w:rPr>
        <w:t>centred</w:t>
      </w:r>
      <w:proofErr w:type="spellEnd"/>
      <w:r w:rsidRPr="003C7BF8">
        <w:rPr>
          <w:rFonts w:ascii="Arial" w:hAnsi="Arial" w:cs="Arial"/>
          <w:sz w:val="22"/>
        </w:rPr>
        <w:t xml:space="preserve"> and trauma-informed care. The World Health </w:t>
      </w:r>
      <w:proofErr w:type="spellStart"/>
      <w:r w:rsidRPr="003C7BF8">
        <w:rPr>
          <w:rFonts w:ascii="Arial" w:hAnsi="Arial" w:cs="Arial"/>
          <w:sz w:val="22"/>
        </w:rPr>
        <w:t>Organi</w:t>
      </w:r>
      <w:r w:rsidR="00251DF4" w:rsidRPr="003C7BF8">
        <w:rPr>
          <w:rFonts w:ascii="Arial" w:hAnsi="Arial" w:cs="Arial"/>
          <w:sz w:val="22"/>
        </w:rPr>
        <w:t>s</w:t>
      </w:r>
      <w:r w:rsidRPr="003C7BF8">
        <w:rPr>
          <w:rFonts w:ascii="Arial" w:hAnsi="Arial" w:cs="Arial"/>
          <w:sz w:val="22"/>
        </w:rPr>
        <w:t>ation</w:t>
      </w:r>
      <w:proofErr w:type="spellEnd"/>
      <w:r w:rsidRPr="003C7BF8">
        <w:rPr>
          <w:rFonts w:ascii="Arial" w:hAnsi="Arial" w:cs="Arial"/>
          <w:sz w:val="22"/>
        </w:rPr>
        <w:t xml:space="preserve"> </w:t>
      </w:r>
      <w:proofErr w:type="spellStart"/>
      <w:r w:rsidRPr="003C7BF8">
        <w:rPr>
          <w:rFonts w:ascii="Arial" w:hAnsi="Arial" w:cs="Arial"/>
          <w:sz w:val="22"/>
        </w:rPr>
        <w:t>mhGAP</w:t>
      </w:r>
      <w:proofErr w:type="spellEnd"/>
      <w:r w:rsidRPr="003C7BF8">
        <w:rPr>
          <w:rFonts w:ascii="Arial" w:hAnsi="Arial" w:cs="Arial"/>
          <w:sz w:val="22"/>
        </w:rPr>
        <w:t xml:space="preserve"> </w:t>
      </w:r>
      <w:proofErr w:type="spellStart"/>
      <w:r w:rsidRPr="003C7BF8">
        <w:rPr>
          <w:rFonts w:ascii="Arial" w:hAnsi="Arial" w:cs="Arial"/>
          <w:sz w:val="22"/>
        </w:rPr>
        <w:t>programme</w:t>
      </w:r>
      <w:proofErr w:type="spellEnd"/>
      <w:r w:rsidRPr="003C7BF8">
        <w:rPr>
          <w:rFonts w:ascii="Arial" w:hAnsi="Arial" w:cs="Arial"/>
          <w:sz w:val="22"/>
        </w:rPr>
        <w:t xml:space="preserve"> suggests community-based interventions and stepped-care models, in which basic support is provided by trained non-specialists and intensive care is offered by the specialists in case of necessity (WHO, 2023). In hospitals, rehabilitation depends on multidisciplinary teams that can meet the psychological, social, and practical needs such as housing, employment, and social integration to help patients recover in the long term</w:t>
      </w:r>
      <w:r w:rsidR="007B35D6" w:rsidRPr="003C7BF8">
        <w:rPr>
          <w:rFonts w:ascii="Arial" w:hAnsi="Arial" w:cs="Arial"/>
          <w:sz w:val="22"/>
        </w:rPr>
        <w:t>.</w:t>
      </w:r>
    </w:p>
    <w:p w14:paraId="46A8B2D1" w14:textId="1C563E8A" w:rsidR="007B35D6" w:rsidRPr="003C7BF8" w:rsidRDefault="007B35D6" w:rsidP="003A6B89">
      <w:pPr>
        <w:pStyle w:val="Heading2"/>
        <w:spacing w:line="360" w:lineRule="auto"/>
        <w:rPr>
          <w:rFonts w:ascii="Arial" w:hAnsi="Arial"/>
          <w:sz w:val="22"/>
          <w:szCs w:val="22"/>
        </w:rPr>
      </w:pPr>
      <w:bookmarkStart w:id="8" w:name="_Toc211251330"/>
      <w:r w:rsidRPr="003C7BF8">
        <w:rPr>
          <w:rFonts w:ascii="Arial" w:hAnsi="Arial"/>
          <w:sz w:val="22"/>
          <w:szCs w:val="22"/>
        </w:rPr>
        <w:t>Effectiveness and Limitations</w:t>
      </w:r>
      <w:bookmarkEnd w:id="8"/>
    </w:p>
    <w:p w14:paraId="17E800DC" w14:textId="5F7231B4" w:rsidR="001B718B" w:rsidRPr="003C7BF8" w:rsidRDefault="0000495B" w:rsidP="003A6B89">
      <w:pPr>
        <w:spacing w:line="360" w:lineRule="auto"/>
        <w:ind w:firstLine="720"/>
        <w:rPr>
          <w:rFonts w:ascii="Arial" w:hAnsi="Arial" w:cs="Arial"/>
          <w:sz w:val="22"/>
        </w:rPr>
      </w:pPr>
      <w:r w:rsidRPr="003C7BF8">
        <w:rPr>
          <w:rFonts w:ascii="Arial" w:hAnsi="Arial" w:cs="Arial"/>
          <w:sz w:val="22"/>
        </w:rPr>
        <w:t>As demonstrated, trauma-based treatments, including TF-CBT and EMDR, prove effective in lessening symptoms and enhancing emotional regulation in the complex post-traumatic stress disorder (CPTSD). Treatment and peer support and community integration enhance long-term recovery (</w:t>
      </w:r>
      <w:proofErr w:type="spellStart"/>
      <w:r w:rsidRPr="003C7BF8">
        <w:rPr>
          <w:rFonts w:ascii="Arial" w:hAnsi="Arial" w:cs="Arial"/>
          <w:sz w:val="22"/>
        </w:rPr>
        <w:t>Gjerstad</w:t>
      </w:r>
      <w:proofErr w:type="spellEnd"/>
      <w:r w:rsidRPr="003C7BF8">
        <w:rPr>
          <w:rFonts w:ascii="Arial" w:hAnsi="Arial" w:cs="Arial"/>
          <w:sz w:val="22"/>
        </w:rPr>
        <w:t xml:space="preserve"> et al., 2024), whereas phase-based treatments improve functioning. However, challenges remain. There are numerous obstacles that many individuals encounter, including prolonged waiting lists, inadequate trauma-informed care, and comorbidities, such as depression or anxiety. Individuals who experienced chronic trauma may need more lenient and protracted treatment. Even though ICD-11 makes sense out of CPTSD, the services are not always tailored to provide proper care (Kindred et al., 2025b). Professional training is necessary to have a consistent, accessible, and effective treatment</w:t>
      </w:r>
      <w:r w:rsidR="00E6037D" w:rsidRPr="003C7BF8">
        <w:rPr>
          <w:rFonts w:ascii="Arial" w:hAnsi="Arial" w:cs="Arial"/>
          <w:sz w:val="22"/>
        </w:rPr>
        <w:t>.</w:t>
      </w:r>
    </w:p>
    <w:p w14:paraId="6ED82854" w14:textId="605C713F" w:rsidR="002B12C3" w:rsidRPr="003C7BF8" w:rsidRDefault="002B12C3" w:rsidP="003A6B89">
      <w:pPr>
        <w:pStyle w:val="Heading1"/>
        <w:spacing w:line="360" w:lineRule="auto"/>
        <w:rPr>
          <w:rFonts w:ascii="Arial" w:hAnsi="Arial" w:cs="Arial"/>
          <w:sz w:val="22"/>
          <w:szCs w:val="22"/>
        </w:rPr>
      </w:pPr>
      <w:bookmarkStart w:id="9" w:name="_Toc211251331"/>
      <w:r w:rsidRPr="003C7BF8">
        <w:rPr>
          <w:rFonts w:ascii="Arial" w:hAnsi="Arial" w:cs="Arial"/>
          <w:sz w:val="22"/>
          <w:szCs w:val="22"/>
        </w:rPr>
        <w:t>Current Debates and Emerging Issues</w:t>
      </w:r>
      <w:bookmarkEnd w:id="9"/>
    </w:p>
    <w:p w14:paraId="75902250" w14:textId="156BE466" w:rsidR="002B12C3" w:rsidRPr="003C7BF8" w:rsidRDefault="002B12C3" w:rsidP="003A6B89">
      <w:pPr>
        <w:pStyle w:val="Heading2"/>
        <w:spacing w:line="360" w:lineRule="auto"/>
        <w:rPr>
          <w:rFonts w:ascii="Arial" w:hAnsi="Arial"/>
          <w:sz w:val="22"/>
          <w:szCs w:val="22"/>
        </w:rPr>
      </w:pPr>
      <w:bookmarkStart w:id="10" w:name="_Toc211251332"/>
      <w:r w:rsidRPr="003C7BF8">
        <w:rPr>
          <w:rFonts w:ascii="Arial" w:hAnsi="Arial"/>
          <w:sz w:val="22"/>
          <w:szCs w:val="22"/>
        </w:rPr>
        <w:t>Classification Debates</w:t>
      </w:r>
      <w:bookmarkEnd w:id="10"/>
    </w:p>
    <w:p w14:paraId="3B293E0A" w14:textId="4DE1D8BF" w:rsidR="002B12C3" w:rsidRPr="003C7BF8" w:rsidRDefault="001202AA" w:rsidP="003A6B89">
      <w:pPr>
        <w:spacing w:line="360" w:lineRule="auto"/>
        <w:ind w:firstLine="720"/>
        <w:rPr>
          <w:rFonts w:ascii="Arial" w:hAnsi="Arial" w:cs="Arial"/>
          <w:sz w:val="22"/>
        </w:rPr>
      </w:pPr>
      <w:r w:rsidRPr="003C7BF8">
        <w:rPr>
          <w:rFonts w:ascii="Arial" w:hAnsi="Arial" w:cs="Arial"/>
          <w:sz w:val="22"/>
        </w:rPr>
        <w:t xml:space="preserve">A discussion exists whether Complex Post-Traumatic Stress Disorder (CPTSD) is to be defined as a separate condition and not as an extension of Post-Traumatic Stress Disorder (PTSD). Advocates of the ICD-11 method believe that CPTSD possesses its peculiarities, which are not reflected in PTSD (Moller et al., 2020). </w:t>
      </w:r>
      <w:proofErr w:type="spellStart"/>
      <w:r w:rsidRPr="003C7BF8">
        <w:rPr>
          <w:rFonts w:ascii="Arial" w:hAnsi="Arial" w:cs="Arial"/>
          <w:sz w:val="22"/>
        </w:rPr>
        <w:t>Dhingra</w:t>
      </w:r>
      <w:proofErr w:type="spellEnd"/>
      <w:r w:rsidRPr="003C7BF8">
        <w:rPr>
          <w:rFonts w:ascii="Arial" w:hAnsi="Arial" w:cs="Arial"/>
          <w:sz w:val="22"/>
        </w:rPr>
        <w:t xml:space="preserve"> et al. (2021) discovered a different factor structure, disturbances in self-</w:t>
      </w:r>
      <w:proofErr w:type="spellStart"/>
      <w:r w:rsidRPr="003C7BF8">
        <w:rPr>
          <w:rFonts w:ascii="Arial" w:hAnsi="Arial" w:cs="Arial"/>
          <w:sz w:val="22"/>
        </w:rPr>
        <w:t>organisation</w:t>
      </w:r>
      <w:proofErr w:type="spellEnd"/>
      <w:r w:rsidRPr="003C7BF8">
        <w:rPr>
          <w:rFonts w:ascii="Arial" w:hAnsi="Arial" w:cs="Arial"/>
          <w:sz w:val="22"/>
        </w:rPr>
        <w:t xml:space="preserve"> being a distinct yet similar cluster of symptoms. Critics however opine that CPTSD is a condition that is like PTSD and other conditions, which complicates diagnosis yet offers no better results. Others are afraid that different groups can result in disparities in care. Regardless of these controversies, ICD-11 is the only major system of classification that acknowledges CPTSD as a separate one</w:t>
      </w:r>
      <w:r w:rsidR="00E6037D" w:rsidRPr="003C7BF8">
        <w:rPr>
          <w:rFonts w:ascii="Arial" w:hAnsi="Arial" w:cs="Arial"/>
          <w:sz w:val="22"/>
        </w:rPr>
        <w:t>.</w:t>
      </w:r>
    </w:p>
    <w:p w14:paraId="3A1486B9" w14:textId="15E97BB1" w:rsidR="002B12C3" w:rsidRPr="003C7BF8" w:rsidRDefault="002B12C3" w:rsidP="003A6B89">
      <w:pPr>
        <w:pStyle w:val="Heading2"/>
        <w:spacing w:line="360" w:lineRule="auto"/>
        <w:rPr>
          <w:rFonts w:ascii="Arial" w:hAnsi="Arial"/>
          <w:sz w:val="22"/>
          <w:szCs w:val="22"/>
        </w:rPr>
      </w:pPr>
      <w:bookmarkStart w:id="11" w:name="_Toc211251333"/>
      <w:proofErr w:type="spellStart"/>
      <w:r w:rsidRPr="003C7BF8">
        <w:rPr>
          <w:rFonts w:ascii="Arial" w:hAnsi="Arial"/>
          <w:sz w:val="22"/>
          <w:szCs w:val="22"/>
        </w:rPr>
        <w:t>Neurodivergence</w:t>
      </w:r>
      <w:proofErr w:type="spellEnd"/>
      <w:r w:rsidRPr="003C7BF8">
        <w:rPr>
          <w:rFonts w:ascii="Arial" w:hAnsi="Arial"/>
          <w:sz w:val="22"/>
          <w:szCs w:val="22"/>
        </w:rPr>
        <w:t xml:space="preserve"> and Comorbidity</w:t>
      </w:r>
      <w:bookmarkEnd w:id="11"/>
    </w:p>
    <w:p w14:paraId="385EA9E8" w14:textId="2BE6F315" w:rsidR="002B12C3" w:rsidRPr="003C7BF8" w:rsidRDefault="001202AA" w:rsidP="003A6B89">
      <w:pPr>
        <w:spacing w:line="360" w:lineRule="auto"/>
        <w:ind w:firstLine="720"/>
        <w:rPr>
          <w:rFonts w:ascii="Arial" w:hAnsi="Arial" w:cs="Arial"/>
          <w:sz w:val="22"/>
        </w:rPr>
      </w:pPr>
      <w:r w:rsidRPr="003C7BF8">
        <w:rPr>
          <w:rFonts w:ascii="Arial" w:hAnsi="Arial" w:cs="Arial"/>
          <w:sz w:val="22"/>
        </w:rPr>
        <w:t xml:space="preserve">The other contentious topic is the overlap between CPTSD and such </w:t>
      </w:r>
      <w:proofErr w:type="spellStart"/>
      <w:r w:rsidRPr="003C7BF8">
        <w:rPr>
          <w:rFonts w:ascii="Arial" w:hAnsi="Arial" w:cs="Arial"/>
          <w:sz w:val="22"/>
        </w:rPr>
        <w:t>neurodivergent</w:t>
      </w:r>
      <w:proofErr w:type="spellEnd"/>
      <w:r w:rsidRPr="003C7BF8">
        <w:rPr>
          <w:rFonts w:ascii="Arial" w:hAnsi="Arial" w:cs="Arial"/>
          <w:sz w:val="22"/>
        </w:rPr>
        <w:t xml:space="preserve"> disorders as Attention-deficit/hyperactivity disorder (ADHD) and autism spectrum disorder (ASD) (Lau-Zhu, Fritz and </w:t>
      </w:r>
      <w:proofErr w:type="spellStart"/>
      <w:r w:rsidRPr="003C7BF8">
        <w:rPr>
          <w:rFonts w:ascii="Arial" w:hAnsi="Arial" w:cs="Arial"/>
          <w:sz w:val="22"/>
        </w:rPr>
        <w:t>McLoughlin</w:t>
      </w:r>
      <w:proofErr w:type="spellEnd"/>
      <w:r w:rsidRPr="003C7BF8">
        <w:rPr>
          <w:rFonts w:ascii="Arial" w:hAnsi="Arial" w:cs="Arial"/>
          <w:sz w:val="22"/>
        </w:rPr>
        <w:t xml:space="preserve">, 2019). Emotional regulation, attention, and social relationships are some of the aspects of CPTSD that can </w:t>
      </w:r>
      <w:r w:rsidR="000331DC" w:rsidRPr="003C7BF8">
        <w:rPr>
          <w:rFonts w:ascii="Arial" w:hAnsi="Arial" w:cs="Arial"/>
          <w:sz w:val="22"/>
        </w:rPr>
        <w:t>be presented</w:t>
      </w:r>
      <w:r w:rsidRPr="003C7BF8">
        <w:rPr>
          <w:rFonts w:ascii="Arial" w:hAnsi="Arial" w:cs="Arial"/>
          <w:sz w:val="22"/>
        </w:rPr>
        <w:t xml:space="preserve"> as challenges to many </w:t>
      </w:r>
      <w:r w:rsidR="000331DC" w:rsidRPr="003C7BF8">
        <w:rPr>
          <w:rFonts w:ascii="Arial" w:hAnsi="Arial" w:cs="Arial"/>
          <w:sz w:val="22"/>
        </w:rPr>
        <w:t>people</w:t>
      </w:r>
      <w:r w:rsidRPr="003C7BF8">
        <w:rPr>
          <w:rFonts w:ascii="Arial" w:hAnsi="Arial" w:cs="Arial"/>
          <w:sz w:val="22"/>
        </w:rPr>
        <w:t xml:space="preserve"> thereby resembling some aspects of </w:t>
      </w:r>
      <w:proofErr w:type="spellStart"/>
      <w:r w:rsidRPr="003C7BF8">
        <w:rPr>
          <w:rFonts w:ascii="Arial" w:hAnsi="Arial" w:cs="Arial"/>
          <w:sz w:val="22"/>
        </w:rPr>
        <w:t>neurodivergent</w:t>
      </w:r>
      <w:proofErr w:type="spellEnd"/>
      <w:r w:rsidRPr="003C7BF8">
        <w:rPr>
          <w:rFonts w:ascii="Arial" w:hAnsi="Arial" w:cs="Arial"/>
          <w:sz w:val="22"/>
        </w:rPr>
        <w:t xml:space="preserve"> presentations. This overlap has the potential to complicate diagnosis and cause misdiagnosis or access to inappropriate support. Clinicians have been advised to employ the use of differential </w:t>
      </w:r>
      <w:r w:rsidR="000331DC" w:rsidRPr="003C7BF8">
        <w:rPr>
          <w:rFonts w:ascii="Arial" w:hAnsi="Arial" w:cs="Arial"/>
          <w:sz w:val="22"/>
        </w:rPr>
        <w:t>assessments</w:t>
      </w:r>
      <w:r w:rsidRPr="003C7BF8">
        <w:rPr>
          <w:rFonts w:ascii="Arial" w:hAnsi="Arial" w:cs="Arial"/>
          <w:sz w:val="22"/>
        </w:rPr>
        <w:t xml:space="preserve"> </w:t>
      </w:r>
      <w:r w:rsidR="000B1F77" w:rsidRPr="003C7BF8">
        <w:rPr>
          <w:rFonts w:ascii="Arial" w:hAnsi="Arial" w:cs="Arial"/>
          <w:sz w:val="22"/>
        </w:rPr>
        <w:t>to</w:t>
      </w:r>
      <w:r w:rsidRPr="003C7BF8">
        <w:rPr>
          <w:rFonts w:ascii="Arial" w:hAnsi="Arial" w:cs="Arial"/>
          <w:sz w:val="22"/>
        </w:rPr>
        <w:t xml:space="preserve"> critically differentiate between symptoms associated with trauma and symptoms associated with neurodevelopmental differences. </w:t>
      </w:r>
      <w:r w:rsidR="000B1F77" w:rsidRPr="003C7BF8">
        <w:rPr>
          <w:rFonts w:ascii="Arial" w:hAnsi="Arial" w:cs="Arial"/>
          <w:sz w:val="22"/>
        </w:rPr>
        <w:t xml:space="preserve">It is also defined by </w:t>
      </w:r>
      <w:r w:rsidR="000331DC" w:rsidRPr="003C7BF8">
        <w:rPr>
          <w:rFonts w:ascii="Arial" w:hAnsi="Arial" w:cs="Arial"/>
          <w:sz w:val="22"/>
        </w:rPr>
        <w:t>comorbidity</w:t>
      </w:r>
      <w:r w:rsidR="000B1F77" w:rsidRPr="003C7BF8">
        <w:rPr>
          <w:rFonts w:ascii="Arial" w:hAnsi="Arial" w:cs="Arial"/>
          <w:sz w:val="22"/>
        </w:rPr>
        <w:t xml:space="preserve"> that an individual can develop CPTSD and a </w:t>
      </w:r>
      <w:proofErr w:type="spellStart"/>
      <w:r w:rsidR="000B1F77" w:rsidRPr="003C7BF8">
        <w:rPr>
          <w:rFonts w:ascii="Arial" w:hAnsi="Arial" w:cs="Arial"/>
          <w:sz w:val="22"/>
        </w:rPr>
        <w:t>neurodivergent</w:t>
      </w:r>
      <w:proofErr w:type="spellEnd"/>
      <w:r w:rsidR="000B1F77" w:rsidRPr="003C7BF8">
        <w:rPr>
          <w:rFonts w:ascii="Arial" w:hAnsi="Arial" w:cs="Arial"/>
          <w:sz w:val="22"/>
        </w:rPr>
        <w:t xml:space="preserve"> condition at the same time. It requires more </w:t>
      </w:r>
      <w:proofErr w:type="spellStart"/>
      <w:r w:rsidR="000B1F77" w:rsidRPr="003C7BF8">
        <w:rPr>
          <w:rFonts w:ascii="Arial" w:hAnsi="Arial" w:cs="Arial"/>
          <w:sz w:val="22"/>
        </w:rPr>
        <w:t>individualised</w:t>
      </w:r>
      <w:proofErr w:type="spellEnd"/>
      <w:r w:rsidR="000B1F77" w:rsidRPr="003C7BF8">
        <w:rPr>
          <w:rFonts w:ascii="Arial" w:hAnsi="Arial" w:cs="Arial"/>
          <w:sz w:val="22"/>
        </w:rPr>
        <w:t xml:space="preserve"> and receptive treatment plans since generic trauma-based therapy may fail to address all the needs of the patient (Randle et al., 2025)</w:t>
      </w:r>
      <w:r w:rsidR="002B12C3" w:rsidRPr="003C7BF8">
        <w:rPr>
          <w:rFonts w:ascii="Arial" w:hAnsi="Arial" w:cs="Arial"/>
          <w:sz w:val="22"/>
        </w:rPr>
        <w:t>.</w:t>
      </w:r>
    </w:p>
    <w:p w14:paraId="4520D984" w14:textId="250EBE07" w:rsidR="002B12C3" w:rsidRPr="003C7BF8" w:rsidRDefault="002B12C3" w:rsidP="003A6B89">
      <w:pPr>
        <w:pStyle w:val="Heading2"/>
        <w:spacing w:line="360" w:lineRule="auto"/>
        <w:rPr>
          <w:rFonts w:ascii="Arial" w:hAnsi="Arial"/>
          <w:sz w:val="22"/>
          <w:szCs w:val="22"/>
        </w:rPr>
      </w:pPr>
      <w:bookmarkStart w:id="12" w:name="_Toc211251334"/>
      <w:r w:rsidRPr="003C7BF8">
        <w:rPr>
          <w:rFonts w:ascii="Arial" w:hAnsi="Arial"/>
          <w:sz w:val="22"/>
          <w:szCs w:val="22"/>
        </w:rPr>
        <w:t>Impact on Practice and Policy</w:t>
      </w:r>
      <w:bookmarkEnd w:id="12"/>
    </w:p>
    <w:p w14:paraId="38E81D42" w14:textId="6D34691E" w:rsidR="001B718B" w:rsidRPr="003C7BF8" w:rsidRDefault="00833570" w:rsidP="003A6B89">
      <w:pPr>
        <w:spacing w:line="360" w:lineRule="auto"/>
        <w:ind w:firstLine="720"/>
        <w:rPr>
          <w:rFonts w:ascii="Arial" w:hAnsi="Arial" w:cs="Arial"/>
          <w:sz w:val="22"/>
        </w:rPr>
      </w:pPr>
      <w:r w:rsidRPr="003C7BF8">
        <w:rPr>
          <w:rFonts w:ascii="Arial" w:hAnsi="Arial" w:cs="Arial"/>
          <w:sz w:val="22"/>
        </w:rPr>
        <w:t xml:space="preserve">Mental health service and policy have implications for such discussions. </w:t>
      </w:r>
      <w:r w:rsidR="004F0ACE" w:rsidRPr="003C7BF8">
        <w:rPr>
          <w:rFonts w:ascii="Arial" w:hAnsi="Arial" w:cs="Arial"/>
          <w:sz w:val="22"/>
        </w:rPr>
        <w:t>Health and social care services should realign their screening instrument, treatment course, and employee training in the event that CPTSD turns into a special problem. It can assist in making sure that more suitable assistance is provided to individuals with complicated trauma (</w:t>
      </w:r>
      <w:proofErr w:type="spellStart"/>
      <w:r w:rsidR="004F0ACE" w:rsidRPr="003C7BF8">
        <w:rPr>
          <w:rFonts w:ascii="Arial" w:hAnsi="Arial" w:cs="Arial"/>
          <w:sz w:val="22"/>
        </w:rPr>
        <w:t>Burback</w:t>
      </w:r>
      <w:proofErr w:type="spellEnd"/>
      <w:r w:rsidR="004F0ACE" w:rsidRPr="003C7BF8">
        <w:rPr>
          <w:rFonts w:ascii="Arial" w:hAnsi="Arial" w:cs="Arial"/>
          <w:sz w:val="22"/>
        </w:rPr>
        <w:t xml:space="preserve"> et al., 2023). Such a consideration involves more financial and service production in order to meet the emerging needs of such a population. The alterations to the interventions of the population might be necessary to implement the early trauma intervention and trauma-informed care in different spheres, which include healthcare, education, and social services. The awareness of CPTSD also indicates that the concerted actions of mental health workers, social workers, and community services are in demand (WHO, 2024). Finally, classification of the CPTSD is not only important to the clinical practice, but also the allocation of resources, professional training and the personal access to support</w:t>
      </w:r>
      <w:r w:rsidR="001B718B" w:rsidRPr="003C7BF8">
        <w:rPr>
          <w:rFonts w:ascii="Arial" w:hAnsi="Arial" w:cs="Arial"/>
          <w:sz w:val="22"/>
        </w:rPr>
        <w:t>.</w:t>
      </w:r>
    </w:p>
    <w:p w14:paraId="51B9F21E" w14:textId="77777777" w:rsidR="002B12C3" w:rsidRPr="003C7BF8" w:rsidRDefault="002B12C3" w:rsidP="003A6B89">
      <w:pPr>
        <w:pStyle w:val="Heading1"/>
        <w:spacing w:line="360" w:lineRule="auto"/>
        <w:rPr>
          <w:rFonts w:ascii="Arial" w:hAnsi="Arial" w:cs="Arial"/>
          <w:sz w:val="22"/>
          <w:szCs w:val="22"/>
        </w:rPr>
      </w:pPr>
      <w:bookmarkStart w:id="13" w:name="_Toc211251335"/>
      <w:r w:rsidRPr="003C7BF8">
        <w:rPr>
          <w:rFonts w:ascii="Arial" w:hAnsi="Arial" w:cs="Arial"/>
          <w:sz w:val="22"/>
          <w:szCs w:val="22"/>
        </w:rPr>
        <w:t>Recommendations</w:t>
      </w:r>
      <w:bookmarkEnd w:id="13"/>
    </w:p>
    <w:p w14:paraId="0E478086" w14:textId="58B0E847" w:rsidR="00833570" w:rsidRPr="003C7BF8" w:rsidRDefault="004F0ACE" w:rsidP="003A6B89">
      <w:pPr>
        <w:spacing w:line="360" w:lineRule="auto"/>
        <w:ind w:firstLine="576"/>
        <w:rPr>
          <w:rFonts w:ascii="Arial" w:hAnsi="Arial" w:cs="Arial"/>
          <w:sz w:val="22"/>
        </w:rPr>
      </w:pPr>
      <w:r w:rsidRPr="003C7BF8">
        <w:rPr>
          <w:rFonts w:ascii="Arial" w:hAnsi="Arial" w:cs="Arial"/>
          <w:sz w:val="22"/>
        </w:rPr>
        <w:t>Complex Post-Traumatic Stress Disorder (CPTSD) needs a more sufficient classification and assessment with an improved clinical guideline and widespread application of ICD-11. The training of health professionals on how to distinguish between CPTSD and Post-Traumatic Stress Disorder (PTSD) among others is one of the approaches that will help to diagnose these disorders. More often than not, structured interventions, such as International Trauma Questionnaire (ITQ) should be used to detect CPTSD more reliably and early detect the disorder to prevent the risk of misdiagnosis. The access to the interventions of the trauma-related ones should be improved as well (D’Angelo et al., 2024). The services would be on time and can be marketed by adopting stepped-care models, and expansion of community-based services, which are traumatically informed</w:t>
      </w:r>
      <w:r w:rsidR="00833570" w:rsidRPr="003C7BF8">
        <w:rPr>
          <w:rFonts w:ascii="Arial" w:hAnsi="Arial" w:cs="Arial"/>
          <w:sz w:val="22"/>
        </w:rPr>
        <w:t xml:space="preserve">. </w:t>
      </w:r>
    </w:p>
    <w:p w14:paraId="45550013" w14:textId="70B526D9" w:rsidR="001B718B" w:rsidRPr="003C7BF8" w:rsidRDefault="00833570" w:rsidP="003A6B89">
      <w:pPr>
        <w:spacing w:line="360" w:lineRule="auto"/>
        <w:ind w:firstLine="576"/>
        <w:rPr>
          <w:rFonts w:ascii="Arial" w:hAnsi="Arial" w:cs="Arial"/>
          <w:sz w:val="22"/>
        </w:rPr>
      </w:pPr>
      <w:r w:rsidRPr="003C7BF8">
        <w:rPr>
          <w:rFonts w:ascii="Arial" w:hAnsi="Arial" w:cs="Arial"/>
          <w:sz w:val="22"/>
        </w:rPr>
        <w:t>Peer support and culturally sensitive approaches can also be used to involve and perform. On the policy level, this involves investment in early diagnosis, staff training, and combined rehabilitation pathways to improve the service capacity and continuity of care (Barraclough et al., 2021). Finally, the literature gap still exists and needs to be filled with more information on the correlation between CPTSD and Attention-deficit/hyperactivity disorder (ADHD) and autism spectrum disorder (ASD). These connections would be helpful to obtain some knowledge about the assessment and intervention plans to enhance them. The review of the community-based and culturally adapted treatment models could also help to shape the future evidence-based policy and practice (WHO, 2024)</w:t>
      </w:r>
      <w:r w:rsidR="001F7415" w:rsidRPr="003C7BF8">
        <w:rPr>
          <w:rFonts w:ascii="Arial" w:hAnsi="Arial" w:cs="Arial"/>
          <w:sz w:val="22"/>
        </w:rPr>
        <w:t>.</w:t>
      </w:r>
    </w:p>
    <w:p w14:paraId="4339D813" w14:textId="77777777" w:rsidR="002B12C3" w:rsidRPr="003C7BF8" w:rsidRDefault="002B12C3" w:rsidP="003A6B89">
      <w:pPr>
        <w:pStyle w:val="Heading1"/>
        <w:spacing w:line="360" w:lineRule="auto"/>
        <w:rPr>
          <w:rFonts w:ascii="Arial" w:hAnsi="Arial" w:cs="Arial"/>
          <w:sz w:val="22"/>
          <w:szCs w:val="22"/>
        </w:rPr>
      </w:pPr>
      <w:bookmarkStart w:id="14" w:name="_Toc211251336"/>
      <w:r w:rsidRPr="003C7BF8">
        <w:rPr>
          <w:rFonts w:ascii="Arial" w:hAnsi="Arial" w:cs="Arial"/>
          <w:sz w:val="22"/>
          <w:szCs w:val="22"/>
        </w:rPr>
        <w:t>Conclusion</w:t>
      </w:r>
      <w:bookmarkEnd w:id="14"/>
    </w:p>
    <w:p w14:paraId="7C7D27B5" w14:textId="4344478B" w:rsidR="002B12C3" w:rsidRPr="003C7BF8" w:rsidRDefault="00833570" w:rsidP="003A6B89">
      <w:pPr>
        <w:spacing w:line="360" w:lineRule="auto"/>
        <w:ind w:firstLine="432"/>
        <w:rPr>
          <w:rFonts w:ascii="Arial" w:hAnsi="Arial" w:cs="Arial"/>
          <w:sz w:val="22"/>
        </w:rPr>
      </w:pPr>
      <w:r w:rsidRPr="003C7BF8">
        <w:rPr>
          <w:rFonts w:ascii="Arial" w:hAnsi="Arial" w:cs="Arial"/>
          <w:sz w:val="22"/>
        </w:rPr>
        <w:t>Considering the above analysis, complex Post-Traumatic Stress Disorder (CPTSD) is an ICD-11 category that is a major step towards the management and comprehension of trauma-linked disorders. Post-Traumatic Stress Disorder (PTSD) is a different diagnosis, which implies having issues with self-</w:t>
      </w:r>
      <w:proofErr w:type="spellStart"/>
      <w:r w:rsidRPr="003C7BF8">
        <w:rPr>
          <w:rFonts w:ascii="Arial" w:hAnsi="Arial" w:cs="Arial"/>
          <w:sz w:val="22"/>
        </w:rPr>
        <w:t>organisation</w:t>
      </w:r>
      <w:proofErr w:type="spellEnd"/>
      <w:r w:rsidRPr="003C7BF8">
        <w:rPr>
          <w:rFonts w:ascii="Arial" w:hAnsi="Arial" w:cs="Arial"/>
          <w:sz w:val="22"/>
        </w:rPr>
        <w:t xml:space="preserve">, unlike CPTSD. The fair evaluation with the assistance of such structured tools as International Trauma Questionnaire (ITQ) is the foundation of early identification and adequate treatment planning. It has been proven that the level of recovery can be improved with the help of the trauma-oriented treatment, including TF-CBT, EMDR, and </w:t>
      </w:r>
      <w:proofErr w:type="spellStart"/>
      <w:r w:rsidRPr="003C7BF8">
        <w:rPr>
          <w:rFonts w:ascii="Arial" w:hAnsi="Arial" w:cs="Arial"/>
          <w:sz w:val="22"/>
        </w:rPr>
        <w:t>phaged</w:t>
      </w:r>
      <w:proofErr w:type="spellEnd"/>
      <w:r w:rsidRPr="003C7BF8">
        <w:rPr>
          <w:rFonts w:ascii="Arial" w:hAnsi="Arial" w:cs="Arial"/>
          <w:sz w:val="22"/>
        </w:rPr>
        <w:t xml:space="preserve"> care models. The recent classification scandals and neo-vagueness point to the need to research more, improve the definition of the diagnosis, and be a trauma-informed practitioner. The health systems in the future should focus on the concept of integrated care pathways, workforce development and concept of early intervention. </w:t>
      </w:r>
      <w:r w:rsidR="004F0ACE" w:rsidRPr="003C7BF8">
        <w:rPr>
          <w:rFonts w:ascii="Arial" w:hAnsi="Arial" w:cs="Arial"/>
          <w:sz w:val="22"/>
        </w:rPr>
        <w:t>Such a policy and practice acknowledgment of CPTSD can result in more access to care and support of individuals with complex trauma</w:t>
      </w:r>
      <w:r w:rsidR="001B718B" w:rsidRPr="003C7BF8">
        <w:rPr>
          <w:rFonts w:ascii="Arial" w:hAnsi="Arial" w:cs="Arial"/>
          <w:sz w:val="22"/>
        </w:rPr>
        <w:t>.</w:t>
      </w:r>
    </w:p>
    <w:p w14:paraId="6F08E556" w14:textId="3CCEC03E" w:rsidR="001B718B" w:rsidRPr="003C7BF8" w:rsidRDefault="002B12C3" w:rsidP="003A6B89">
      <w:pPr>
        <w:spacing w:line="360" w:lineRule="auto"/>
        <w:rPr>
          <w:rFonts w:ascii="Arial" w:hAnsi="Arial" w:cs="Arial"/>
          <w:sz w:val="22"/>
        </w:rPr>
      </w:pPr>
      <w:r w:rsidRPr="003C7BF8">
        <w:rPr>
          <w:rFonts w:ascii="Arial" w:hAnsi="Arial" w:cs="Arial"/>
          <w:sz w:val="22"/>
        </w:rPr>
        <w:br w:type="page"/>
      </w:r>
    </w:p>
    <w:p w14:paraId="2BF4592A" w14:textId="62B1E7CF" w:rsidR="001B718B" w:rsidRPr="003C7BF8" w:rsidRDefault="001B718B" w:rsidP="003A6B89">
      <w:pPr>
        <w:pStyle w:val="Heading1"/>
        <w:numPr>
          <w:ilvl w:val="0"/>
          <w:numId w:val="0"/>
        </w:numPr>
        <w:spacing w:line="360" w:lineRule="auto"/>
        <w:rPr>
          <w:rFonts w:ascii="Arial" w:hAnsi="Arial" w:cs="Arial"/>
          <w:sz w:val="22"/>
          <w:szCs w:val="22"/>
        </w:rPr>
      </w:pPr>
      <w:bookmarkStart w:id="15" w:name="_Toc211251337"/>
      <w:r w:rsidRPr="003C7BF8">
        <w:rPr>
          <w:rFonts w:ascii="Arial" w:hAnsi="Arial" w:cs="Arial"/>
          <w:sz w:val="22"/>
          <w:szCs w:val="22"/>
        </w:rPr>
        <w:t>Reference</w:t>
      </w:r>
      <w:bookmarkEnd w:id="15"/>
      <w:r w:rsidRPr="003C7BF8">
        <w:rPr>
          <w:rFonts w:ascii="Arial" w:hAnsi="Arial" w:cs="Arial"/>
          <w:sz w:val="22"/>
          <w:szCs w:val="22"/>
        </w:rPr>
        <w:t xml:space="preserve"> </w:t>
      </w:r>
    </w:p>
    <w:p w14:paraId="6AC5CC22"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Bachem</w:t>
      </w:r>
      <w:proofErr w:type="spellEnd"/>
      <w:r w:rsidRPr="003C7BF8">
        <w:rPr>
          <w:rFonts w:ascii="Arial" w:hAnsi="Arial" w:cs="Arial"/>
          <w:sz w:val="22"/>
        </w:rPr>
        <w:t xml:space="preserve">, R., Levin, Y., </w:t>
      </w:r>
      <w:proofErr w:type="spellStart"/>
      <w:r w:rsidRPr="003C7BF8">
        <w:rPr>
          <w:rFonts w:ascii="Arial" w:hAnsi="Arial" w:cs="Arial"/>
          <w:sz w:val="22"/>
        </w:rPr>
        <w:t>Zerach</w:t>
      </w:r>
      <w:proofErr w:type="spellEnd"/>
      <w:r w:rsidRPr="003C7BF8">
        <w:rPr>
          <w:rFonts w:ascii="Arial" w:hAnsi="Arial" w:cs="Arial"/>
          <w:sz w:val="22"/>
        </w:rPr>
        <w:t xml:space="preserve">, G., </w:t>
      </w:r>
      <w:proofErr w:type="spellStart"/>
      <w:r w:rsidRPr="003C7BF8">
        <w:rPr>
          <w:rFonts w:ascii="Arial" w:hAnsi="Arial" w:cs="Arial"/>
          <w:sz w:val="22"/>
        </w:rPr>
        <w:t>Cloitre</w:t>
      </w:r>
      <w:proofErr w:type="spellEnd"/>
      <w:r w:rsidRPr="003C7BF8">
        <w:rPr>
          <w:rFonts w:ascii="Arial" w:hAnsi="Arial" w:cs="Arial"/>
          <w:sz w:val="22"/>
        </w:rPr>
        <w:t xml:space="preserve">, M. and Solomon, Z. (2021). The interpersonal implications of PTSD and complex PTSD: The role of disturbances in self-organization. </w:t>
      </w:r>
      <w:r w:rsidRPr="003C7BF8">
        <w:rPr>
          <w:rFonts w:ascii="Arial" w:hAnsi="Arial" w:cs="Arial"/>
          <w:i/>
          <w:iCs/>
          <w:sz w:val="22"/>
        </w:rPr>
        <w:t>Journal of Affective Disorders</w:t>
      </w:r>
      <w:r w:rsidRPr="003C7BF8">
        <w:rPr>
          <w:rFonts w:ascii="Arial" w:hAnsi="Arial" w:cs="Arial"/>
          <w:sz w:val="22"/>
        </w:rPr>
        <w:t xml:space="preserve">, 290, pp.149–156. </w:t>
      </w:r>
      <w:proofErr w:type="spellStart"/>
      <w:r w:rsidRPr="003C7BF8">
        <w:rPr>
          <w:rFonts w:ascii="Arial" w:hAnsi="Arial" w:cs="Arial"/>
          <w:sz w:val="22"/>
        </w:rPr>
        <w:t>doi:</w:t>
      </w:r>
      <w:hyperlink r:id="rId7" w:history="1">
        <w:r w:rsidRPr="003C7BF8">
          <w:rPr>
            <w:rFonts w:ascii="Arial" w:hAnsi="Arial" w:cs="Arial"/>
            <w:sz w:val="22"/>
          </w:rPr>
          <w:t>https</w:t>
        </w:r>
        <w:proofErr w:type="spellEnd"/>
        <w:r w:rsidRPr="003C7BF8">
          <w:rPr>
            <w:rFonts w:ascii="Arial" w:hAnsi="Arial" w:cs="Arial"/>
            <w:sz w:val="22"/>
          </w:rPr>
          <w:t>://doi.org/10.1016/j.jad.2021.04.075</w:t>
        </w:r>
      </w:hyperlink>
      <w:r w:rsidRPr="003C7BF8">
        <w:rPr>
          <w:rFonts w:ascii="Arial" w:hAnsi="Arial" w:cs="Arial"/>
          <w:sz w:val="22"/>
        </w:rPr>
        <w:t>.</w:t>
      </w:r>
    </w:p>
    <w:p w14:paraId="413532FB"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Barraclough, F., Smith-Merry, J., Stein, V. and Pit, S. (2021). Workforce Development in Integrated Care: A Scoping Review. </w:t>
      </w:r>
      <w:r w:rsidRPr="003C7BF8">
        <w:rPr>
          <w:rFonts w:ascii="Arial" w:hAnsi="Arial" w:cs="Arial"/>
          <w:i/>
          <w:iCs/>
          <w:sz w:val="22"/>
        </w:rPr>
        <w:t>International Journal of Integrated Care</w:t>
      </w:r>
      <w:r w:rsidRPr="003C7BF8">
        <w:rPr>
          <w:rFonts w:ascii="Arial" w:hAnsi="Arial" w:cs="Arial"/>
          <w:sz w:val="22"/>
        </w:rPr>
        <w:t xml:space="preserve">, [online] 21(4), p.23. </w:t>
      </w:r>
      <w:proofErr w:type="spellStart"/>
      <w:r w:rsidRPr="003C7BF8">
        <w:rPr>
          <w:rFonts w:ascii="Arial" w:hAnsi="Arial" w:cs="Arial"/>
          <w:sz w:val="22"/>
        </w:rPr>
        <w:t>doi:</w:t>
      </w:r>
      <w:hyperlink r:id="rId8" w:history="1">
        <w:r w:rsidRPr="003C7BF8">
          <w:rPr>
            <w:rFonts w:ascii="Arial" w:hAnsi="Arial" w:cs="Arial"/>
            <w:sz w:val="22"/>
          </w:rPr>
          <w:t>https</w:t>
        </w:r>
        <w:proofErr w:type="spellEnd"/>
        <w:r w:rsidRPr="003C7BF8">
          <w:rPr>
            <w:rFonts w:ascii="Arial" w:hAnsi="Arial" w:cs="Arial"/>
            <w:sz w:val="22"/>
          </w:rPr>
          <w:t>://doi.org/10.5334/ijic.6004</w:t>
        </w:r>
      </w:hyperlink>
      <w:r w:rsidRPr="003C7BF8">
        <w:rPr>
          <w:rFonts w:ascii="Arial" w:hAnsi="Arial" w:cs="Arial"/>
          <w:sz w:val="22"/>
        </w:rPr>
        <w:t>.</w:t>
      </w:r>
    </w:p>
    <w:p w14:paraId="30F1A020"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Burback</w:t>
      </w:r>
      <w:proofErr w:type="spellEnd"/>
      <w:r w:rsidRPr="003C7BF8">
        <w:rPr>
          <w:rFonts w:ascii="Arial" w:hAnsi="Arial" w:cs="Arial"/>
          <w:sz w:val="22"/>
        </w:rPr>
        <w:t xml:space="preserve">, L., </w:t>
      </w:r>
      <w:proofErr w:type="spellStart"/>
      <w:r w:rsidRPr="003C7BF8">
        <w:rPr>
          <w:rFonts w:ascii="Arial" w:hAnsi="Arial" w:cs="Arial"/>
          <w:sz w:val="22"/>
        </w:rPr>
        <w:t>Brémault</w:t>
      </w:r>
      <w:proofErr w:type="spellEnd"/>
      <w:r w:rsidRPr="003C7BF8">
        <w:rPr>
          <w:rFonts w:ascii="Arial" w:hAnsi="Arial" w:cs="Arial"/>
          <w:sz w:val="22"/>
        </w:rPr>
        <w:t xml:space="preserve">-Phillips, S., </w:t>
      </w:r>
      <w:proofErr w:type="spellStart"/>
      <w:r w:rsidRPr="003C7BF8">
        <w:rPr>
          <w:rFonts w:ascii="Arial" w:hAnsi="Arial" w:cs="Arial"/>
          <w:sz w:val="22"/>
        </w:rPr>
        <w:t>Nijdam</w:t>
      </w:r>
      <w:proofErr w:type="spellEnd"/>
      <w:r w:rsidRPr="003C7BF8">
        <w:rPr>
          <w:rFonts w:ascii="Arial" w:hAnsi="Arial" w:cs="Arial"/>
          <w:sz w:val="22"/>
        </w:rPr>
        <w:t xml:space="preserve">, M.J., McFarlane, A. and </w:t>
      </w:r>
      <w:proofErr w:type="spellStart"/>
      <w:r w:rsidRPr="003C7BF8">
        <w:rPr>
          <w:rFonts w:ascii="Arial" w:hAnsi="Arial" w:cs="Arial"/>
          <w:sz w:val="22"/>
        </w:rPr>
        <w:t>Vermetten</w:t>
      </w:r>
      <w:proofErr w:type="spellEnd"/>
      <w:r w:rsidRPr="003C7BF8">
        <w:rPr>
          <w:rFonts w:ascii="Arial" w:hAnsi="Arial" w:cs="Arial"/>
          <w:sz w:val="22"/>
        </w:rPr>
        <w:t xml:space="preserve">, E. (2023). Treatment of posttraumatic stress disorder: A state-of-the-art review. </w:t>
      </w:r>
      <w:r w:rsidRPr="003C7BF8">
        <w:rPr>
          <w:rFonts w:ascii="Arial" w:hAnsi="Arial" w:cs="Arial"/>
          <w:i/>
          <w:iCs/>
          <w:sz w:val="22"/>
        </w:rPr>
        <w:t>Current Neuropharmacology</w:t>
      </w:r>
      <w:r w:rsidRPr="003C7BF8">
        <w:rPr>
          <w:rFonts w:ascii="Arial" w:hAnsi="Arial" w:cs="Arial"/>
          <w:sz w:val="22"/>
        </w:rPr>
        <w:t xml:space="preserve">, [online] 22(4). </w:t>
      </w:r>
      <w:proofErr w:type="spellStart"/>
      <w:r w:rsidRPr="003C7BF8">
        <w:rPr>
          <w:rFonts w:ascii="Arial" w:hAnsi="Arial" w:cs="Arial"/>
          <w:sz w:val="22"/>
        </w:rPr>
        <w:t>doi:</w:t>
      </w:r>
      <w:hyperlink r:id="rId9" w:history="1">
        <w:r w:rsidRPr="003C7BF8">
          <w:rPr>
            <w:rFonts w:ascii="Arial" w:hAnsi="Arial" w:cs="Arial"/>
            <w:sz w:val="22"/>
          </w:rPr>
          <w:t>https</w:t>
        </w:r>
        <w:proofErr w:type="spellEnd"/>
        <w:r w:rsidRPr="003C7BF8">
          <w:rPr>
            <w:rFonts w:ascii="Arial" w:hAnsi="Arial" w:cs="Arial"/>
            <w:sz w:val="22"/>
          </w:rPr>
          <w:t>://doi.org/10.2174/1570159x21666230428091433</w:t>
        </w:r>
      </w:hyperlink>
      <w:r w:rsidRPr="003C7BF8">
        <w:rPr>
          <w:rFonts w:ascii="Arial" w:hAnsi="Arial" w:cs="Arial"/>
          <w:sz w:val="22"/>
        </w:rPr>
        <w:t>.</w:t>
      </w:r>
    </w:p>
    <w:p w14:paraId="4098B667"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Center for Substance Abuse Treatment (US) (2020). </w:t>
      </w:r>
      <w:r w:rsidRPr="003C7BF8">
        <w:rPr>
          <w:rFonts w:ascii="Arial" w:hAnsi="Arial" w:cs="Arial"/>
          <w:i/>
          <w:iCs/>
          <w:sz w:val="22"/>
        </w:rPr>
        <w:t>DSM-5 diagnostic criteria for PTSD</w:t>
      </w:r>
      <w:r w:rsidRPr="003C7BF8">
        <w:rPr>
          <w:rFonts w:ascii="Arial" w:hAnsi="Arial" w:cs="Arial"/>
          <w:sz w:val="22"/>
        </w:rPr>
        <w:t xml:space="preserve">. [online] National Library of Medicine. Available at: </w:t>
      </w:r>
      <w:hyperlink r:id="rId10" w:history="1">
        <w:r w:rsidRPr="003C7BF8">
          <w:rPr>
            <w:rFonts w:ascii="Arial" w:hAnsi="Arial" w:cs="Arial"/>
            <w:sz w:val="22"/>
          </w:rPr>
          <w:t>https://www.ncbi.nlm.nih.gov/books/NBK207191/box/part1_ch3.box16/</w:t>
        </w:r>
      </w:hyperlink>
      <w:r w:rsidRPr="003C7BF8">
        <w:rPr>
          <w:rFonts w:ascii="Arial" w:hAnsi="Arial" w:cs="Arial"/>
          <w:sz w:val="22"/>
        </w:rPr>
        <w:t>.</w:t>
      </w:r>
    </w:p>
    <w:p w14:paraId="3D9A71E6"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Cloitre</w:t>
      </w:r>
      <w:proofErr w:type="spellEnd"/>
      <w:r w:rsidRPr="003C7BF8">
        <w:rPr>
          <w:rFonts w:ascii="Arial" w:hAnsi="Arial" w:cs="Arial"/>
          <w:sz w:val="22"/>
        </w:rPr>
        <w:t xml:space="preserve">, M., Hyland, P., </w:t>
      </w:r>
      <w:proofErr w:type="spellStart"/>
      <w:r w:rsidRPr="003C7BF8">
        <w:rPr>
          <w:rFonts w:ascii="Arial" w:hAnsi="Arial" w:cs="Arial"/>
          <w:sz w:val="22"/>
        </w:rPr>
        <w:t>Bisson</w:t>
      </w:r>
      <w:proofErr w:type="spellEnd"/>
      <w:r w:rsidRPr="003C7BF8">
        <w:rPr>
          <w:rFonts w:ascii="Arial" w:hAnsi="Arial" w:cs="Arial"/>
          <w:sz w:val="22"/>
        </w:rPr>
        <w:t xml:space="preserve">, J.I., Brewin, C.R., Roberts, N.P., </w:t>
      </w:r>
      <w:proofErr w:type="spellStart"/>
      <w:r w:rsidRPr="003C7BF8">
        <w:rPr>
          <w:rFonts w:ascii="Arial" w:hAnsi="Arial" w:cs="Arial"/>
          <w:sz w:val="22"/>
        </w:rPr>
        <w:t>Karatzias</w:t>
      </w:r>
      <w:proofErr w:type="spellEnd"/>
      <w:r w:rsidRPr="003C7BF8">
        <w:rPr>
          <w:rFonts w:ascii="Arial" w:hAnsi="Arial" w:cs="Arial"/>
          <w:sz w:val="22"/>
        </w:rPr>
        <w:t xml:space="preserve">, T. and </w:t>
      </w:r>
      <w:proofErr w:type="spellStart"/>
      <w:r w:rsidRPr="003C7BF8">
        <w:rPr>
          <w:rFonts w:ascii="Arial" w:hAnsi="Arial" w:cs="Arial"/>
          <w:sz w:val="22"/>
        </w:rPr>
        <w:t>Shevlin</w:t>
      </w:r>
      <w:proofErr w:type="spellEnd"/>
      <w:r w:rsidRPr="003C7BF8">
        <w:rPr>
          <w:rFonts w:ascii="Arial" w:hAnsi="Arial" w:cs="Arial"/>
          <w:sz w:val="22"/>
        </w:rPr>
        <w:t>, M. (2019). ICD</w:t>
      </w:r>
      <w:r w:rsidRPr="003C7BF8">
        <w:rPr>
          <w:rFonts w:ascii="Cambria Math" w:hAnsi="Cambria Math" w:cs="Cambria Math"/>
          <w:sz w:val="22"/>
        </w:rPr>
        <w:t>‐</w:t>
      </w:r>
      <w:r w:rsidRPr="003C7BF8">
        <w:rPr>
          <w:rFonts w:ascii="Arial" w:hAnsi="Arial" w:cs="Arial"/>
          <w:sz w:val="22"/>
        </w:rPr>
        <w:t>11 Posttraumatic Stress Disorder and Complex Posttraumatic Stress Disorder in the United States: A Population</w:t>
      </w:r>
      <w:r w:rsidRPr="003C7BF8">
        <w:rPr>
          <w:rFonts w:ascii="Cambria Math" w:hAnsi="Cambria Math" w:cs="Cambria Math"/>
          <w:sz w:val="22"/>
        </w:rPr>
        <w:t>‐</w:t>
      </w:r>
      <w:r w:rsidRPr="003C7BF8">
        <w:rPr>
          <w:rFonts w:ascii="Arial" w:hAnsi="Arial" w:cs="Arial"/>
          <w:sz w:val="22"/>
        </w:rPr>
        <w:t xml:space="preserve">Based Study. </w:t>
      </w:r>
      <w:r w:rsidRPr="003C7BF8">
        <w:rPr>
          <w:rFonts w:ascii="Arial" w:hAnsi="Arial" w:cs="Arial"/>
          <w:i/>
          <w:iCs/>
          <w:sz w:val="22"/>
        </w:rPr>
        <w:t>Journal of Traumatic Stress</w:t>
      </w:r>
      <w:r w:rsidRPr="003C7BF8">
        <w:rPr>
          <w:rFonts w:ascii="Arial" w:hAnsi="Arial" w:cs="Arial"/>
          <w:sz w:val="22"/>
        </w:rPr>
        <w:t xml:space="preserve">, 32(6). </w:t>
      </w:r>
      <w:proofErr w:type="spellStart"/>
      <w:r w:rsidRPr="003C7BF8">
        <w:rPr>
          <w:rFonts w:ascii="Arial" w:hAnsi="Arial" w:cs="Arial"/>
          <w:sz w:val="22"/>
        </w:rPr>
        <w:t>doi:</w:t>
      </w:r>
      <w:hyperlink r:id="rId11" w:history="1">
        <w:r w:rsidRPr="003C7BF8">
          <w:rPr>
            <w:rFonts w:ascii="Arial" w:hAnsi="Arial" w:cs="Arial"/>
            <w:sz w:val="22"/>
          </w:rPr>
          <w:t>https</w:t>
        </w:r>
        <w:proofErr w:type="spellEnd"/>
        <w:r w:rsidRPr="003C7BF8">
          <w:rPr>
            <w:rFonts w:ascii="Arial" w:hAnsi="Arial" w:cs="Arial"/>
            <w:sz w:val="22"/>
          </w:rPr>
          <w:t>://doi.org/10.1002/jts.22454</w:t>
        </w:r>
      </w:hyperlink>
      <w:r w:rsidRPr="003C7BF8">
        <w:rPr>
          <w:rFonts w:ascii="Arial" w:hAnsi="Arial" w:cs="Arial"/>
          <w:sz w:val="22"/>
        </w:rPr>
        <w:t>.</w:t>
      </w:r>
    </w:p>
    <w:p w14:paraId="69104E48"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D’Angelo, M., </w:t>
      </w:r>
      <w:proofErr w:type="spellStart"/>
      <w:r w:rsidRPr="003C7BF8">
        <w:rPr>
          <w:rFonts w:ascii="Arial" w:hAnsi="Arial" w:cs="Arial"/>
          <w:sz w:val="22"/>
        </w:rPr>
        <w:t>Valenza</w:t>
      </w:r>
      <w:proofErr w:type="spellEnd"/>
      <w:r w:rsidRPr="003C7BF8">
        <w:rPr>
          <w:rFonts w:ascii="Arial" w:hAnsi="Arial" w:cs="Arial"/>
          <w:sz w:val="22"/>
        </w:rPr>
        <w:t xml:space="preserve">, M., Anna Maria </w:t>
      </w:r>
      <w:proofErr w:type="spellStart"/>
      <w:r w:rsidRPr="003C7BF8">
        <w:rPr>
          <w:rFonts w:ascii="Arial" w:hAnsi="Arial" w:cs="Arial"/>
          <w:sz w:val="22"/>
        </w:rPr>
        <w:t>Iazzolino</w:t>
      </w:r>
      <w:proofErr w:type="spellEnd"/>
      <w:r w:rsidRPr="003C7BF8">
        <w:rPr>
          <w:rFonts w:ascii="Arial" w:hAnsi="Arial" w:cs="Arial"/>
          <w:sz w:val="22"/>
        </w:rPr>
        <w:t xml:space="preserve">, </w:t>
      </w:r>
      <w:proofErr w:type="spellStart"/>
      <w:r w:rsidRPr="003C7BF8">
        <w:rPr>
          <w:rFonts w:ascii="Arial" w:hAnsi="Arial" w:cs="Arial"/>
          <w:sz w:val="22"/>
        </w:rPr>
        <w:t>Longobardi</w:t>
      </w:r>
      <w:proofErr w:type="spellEnd"/>
      <w:r w:rsidRPr="003C7BF8">
        <w:rPr>
          <w:rFonts w:ascii="Arial" w:hAnsi="Arial" w:cs="Arial"/>
          <w:sz w:val="22"/>
        </w:rPr>
        <w:t xml:space="preserve">, G., Valeria Di Stefano, </w:t>
      </w:r>
      <w:proofErr w:type="spellStart"/>
      <w:r w:rsidRPr="003C7BF8">
        <w:rPr>
          <w:rFonts w:ascii="Arial" w:hAnsi="Arial" w:cs="Arial"/>
          <w:sz w:val="22"/>
        </w:rPr>
        <w:t>Visalli</w:t>
      </w:r>
      <w:proofErr w:type="spellEnd"/>
      <w:r w:rsidRPr="003C7BF8">
        <w:rPr>
          <w:rFonts w:ascii="Arial" w:hAnsi="Arial" w:cs="Arial"/>
          <w:sz w:val="22"/>
        </w:rPr>
        <w:t xml:space="preserve">, G., Luca </w:t>
      </w:r>
      <w:proofErr w:type="spellStart"/>
      <w:r w:rsidRPr="003C7BF8">
        <w:rPr>
          <w:rFonts w:ascii="Arial" w:hAnsi="Arial" w:cs="Arial"/>
          <w:sz w:val="22"/>
        </w:rPr>
        <w:t>Steardo</w:t>
      </w:r>
      <w:proofErr w:type="spellEnd"/>
      <w:r w:rsidRPr="003C7BF8">
        <w:rPr>
          <w:rFonts w:ascii="Arial" w:hAnsi="Arial" w:cs="Arial"/>
          <w:sz w:val="22"/>
        </w:rPr>
        <w:t xml:space="preserve">, </w:t>
      </w:r>
      <w:proofErr w:type="spellStart"/>
      <w:r w:rsidRPr="003C7BF8">
        <w:rPr>
          <w:rFonts w:ascii="Arial" w:hAnsi="Arial" w:cs="Arial"/>
          <w:sz w:val="22"/>
        </w:rPr>
        <w:t>Scuderi</w:t>
      </w:r>
      <w:proofErr w:type="spellEnd"/>
      <w:r w:rsidRPr="003C7BF8">
        <w:rPr>
          <w:rFonts w:ascii="Arial" w:hAnsi="Arial" w:cs="Arial"/>
          <w:sz w:val="22"/>
        </w:rPr>
        <w:t xml:space="preserve">, C., </w:t>
      </w:r>
      <w:proofErr w:type="spellStart"/>
      <w:r w:rsidRPr="003C7BF8">
        <w:rPr>
          <w:rFonts w:ascii="Arial" w:hAnsi="Arial" w:cs="Arial"/>
          <w:sz w:val="22"/>
        </w:rPr>
        <w:t>Mirko</w:t>
      </w:r>
      <w:proofErr w:type="spellEnd"/>
      <w:r w:rsidRPr="003C7BF8">
        <w:rPr>
          <w:rFonts w:ascii="Arial" w:hAnsi="Arial" w:cs="Arial"/>
          <w:sz w:val="22"/>
        </w:rPr>
        <w:t xml:space="preserve"> </w:t>
      </w:r>
      <w:proofErr w:type="spellStart"/>
      <w:r w:rsidRPr="003C7BF8">
        <w:rPr>
          <w:rFonts w:ascii="Arial" w:hAnsi="Arial" w:cs="Arial"/>
          <w:sz w:val="22"/>
        </w:rPr>
        <w:t>Manchia</w:t>
      </w:r>
      <w:proofErr w:type="spellEnd"/>
      <w:r w:rsidRPr="003C7BF8">
        <w:rPr>
          <w:rFonts w:ascii="Arial" w:hAnsi="Arial" w:cs="Arial"/>
          <w:sz w:val="22"/>
        </w:rPr>
        <w:t xml:space="preserve"> and Luca </w:t>
      </w:r>
      <w:proofErr w:type="spellStart"/>
      <w:r w:rsidRPr="003C7BF8">
        <w:rPr>
          <w:rFonts w:ascii="Arial" w:hAnsi="Arial" w:cs="Arial"/>
          <w:sz w:val="22"/>
        </w:rPr>
        <w:t>Steardo</w:t>
      </w:r>
      <w:proofErr w:type="spellEnd"/>
      <w:r w:rsidRPr="003C7BF8">
        <w:rPr>
          <w:rFonts w:ascii="Arial" w:hAnsi="Arial" w:cs="Arial"/>
          <w:sz w:val="22"/>
        </w:rPr>
        <w:t xml:space="preserve"> (2024). Exploring the Interplay between Complex Post-Traumatic Stress Disorder and Obsessive–Compulsive Disorder Severity: Implications for Clinical Practice. </w:t>
      </w:r>
      <w:proofErr w:type="spellStart"/>
      <w:r w:rsidRPr="003C7BF8">
        <w:rPr>
          <w:rFonts w:ascii="Arial" w:hAnsi="Arial" w:cs="Arial"/>
          <w:i/>
          <w:iCs/>
          <w:sz w:val="22"/>
        </w:rPr>
        <w:t>Medicina</w:t>
      </w:r>
      <w:proofErr w:type="spellEnd"/>
      <w:r w:rsidRPr="003C7BF8">
        <w:rPr>
          <w:rFonts w:ascii="Arial" w:hAnsi="Arial" w:cs="Arial"/>
          <w:sz w:val="22"/>
        </w:rPr>
        <w:t xml:space="preserve">, 60(3), pp.408–408. </w:t>
      </w:r>
      <w:proofErr w:type="spellStart"/>
      <w:r w:rsidRPr="003C7BF8">
        <w:rPr>
          <w:rFonts w:ascii="Arial" w:hAnsi="Arial" w:cs="Arial"/>
          <w:sz w:val="22"/>
        </w:rPr>
        <w:t>doi:</w:t>
      </w:r>
      <w:hyperlink r:id="rId12" w:history="1">
        <w:r w:rsidRPr="003C7BF8">
          <w:rPr>
            <w:rFonts w:ascii="Arial" w:hAnsi="Arial" w:cs="Arial"/>
            <w:sz w:val="22"/>
          </w:rPr>
          <w:t>https</w:t>
        </w:r>
        <w:proofErr w:type="spellEnd"/>
        <w:r w:rsidRPr="003C7BF8">
          <w:rPr>
            <w:rFonts w:ascii="Arial" w:hAnsi="Arial" w:cs="Arial"/>
            <w:sz w:val="22"/>
          </w:rPr>
          <w:t>://doi.org/10.3390/medicina60030408</w:t>
        </w:r>
      </w:hyperlink>
      <w:r w:rsidRPr="003C7BF8">
        <w:rPr>
          <w:rFonts w:ascii="Arial" w:hAnsi="Arial" w:cs="Arial"/>
          <w:sz w:val="22"/>
        </w:rPr>
        <w:t>.</w:t>
      </w:r>
    </w:p>
    <w:p w14:paraId="3198162B"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Dhingra</w:t>
      </w:r>
      <w:proofErr w:type="spellEnd"/>
      <w:r w:rsidRPr="003C7BF8">
        <w:rPr>
          <w:rFonts w:ascii="Arial" w:hAnsi="Arial" w:cs="Arial"/>
          <w:sz w:val="22"/>
        </w:rPr>
        <w:t xml:space="preserve">, K., Mitchell, S.M., Davies, B. and Taylor, P.J. (2021). Examining the factor structure of ICD-11 posttraumatic stress disorder (PTSD) and complex-PTSD among prison staff exposed to potentially traumatic experiences. </w:t>
      </w:r>
      <w:r w:rsidRPr="003C7BF8">
        <w:rPr>
          <w:rFonts w:ascii="Arial" w:hAnsi="Arial" w:cs="Arial"/>
          <w:i/>
          <w:iCs/>
          <w:sz w:val="22"/>
        </w:rPr>
        <w:t>Psychiatry Research</w:t>
      </w:r>
      <w:r w:rsidRPr="003C7BF8">
        <w:rPr>
          <w:rFonts w:ascii="Arial" w:hAnsi="Arial" w:cs="Arial"/>
          <w:sz w:val="22"/>
        </w:rPr>
        <w:t xml:space="preserve">, 303, p.114085. </w:t>
      </w:r>
      <w:proofErr w:type="spellStart"/>
      <w:r w:rsidRPr="003C7BF8">
        <w:rPr>
          <w:rFonts w:ascii="Arial" w:hAnsi="Arial" w:cs="Arial"/>
          <w:sz w:val="22"/>
        </w:rPr>
        <w:t>doi:</w:t>
      </w:r>
      <w:hyperlink r:id="rId13" w:history="1">
        <w:r w:rsidRPr="003C7BF8">
          <w:rPr>
            <w:rFonts w:ascii="Arial" w:hAnsi="Arial" w:cs="Arial"/>
            <w:sz w:val="22"/>
          </w:rPr>
          <w:t>https</w:t>
        </w:r>
        <w:proofErr w:type="spellEnd"/>
        <w:r w:rsidRPr="003C7BF8">
          <w:rPr>
            <w:rFonts w:ascii="Arial" w:hAnsi="Arial" w:cs="Arial"/>
            <w:sz w:val="22"/>
          </w:rPr>
          <w:t>://doi.org/10.1016/j.psychres.2021.114085</w:t>
        </w:r>
      </w:hyperlink>
      <w:r w:rsidRPr="003C7BF8">
        <w:rPr>
          <w:rFonts w:ascii="Arial" w:hAnsi="Arial" w:cs="Arial"/>
          <w:sz w:val="22"/>
        </w:rPr>
        <w:t>.</w:t>
      </w:r>
    </w:p>
    <w:p w14:paraId="32974CAF"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Gjerstad</w:t>
      </w:r>
      <w:proofErr w:type="spellEnd"/>
      <w:r w:rsidRPr="003C7BF8">
        <w:rPr>
          <w:rFonts w:ascii="Arial" w:hAnsi="Arial" w:cs="Arial"/>
          <w:sz w:val="22"/>
        </w:rPr>
        <w:t xml:space="preserve">, S.F., </w:t>
      </w:r>
      <w:proofErr w:type="spellStart"/>
      <w:r w:rsidRPr="003C7BF8">
        <w:rPr>
          <w:rFonts w:ascii="Arial" w:hAnsi="Arial" w:cs="Arial"/>
          <w:sz w:val="22"/>
        </w:rPr>
        <w:t>Nordin</w:t>
      </w:r>
      <w:proofErr w:type="spellEnd"/>
      <w:r w:rsidRPr="003C7BF8">
        <w:rPr>
          <w:rFonts w:ascii="Arial" w:hAnsi="Arial" w:cs="Arial"/>
          <w:sz w:val="22"/>
        </w:rPr>
        <w:t xml:space="preserve">, L., </w:t>
      </w:r>
      <w:proofErr w:type="spellStart"/>
      <w:r w:rsidRPr="003C7BF8">
        <w:rPr>
          <w:rFonts w:ascii="Arial" w:hAnsi="Arial" w:cs="Arial"/>
          <w:sz w:val="22"/>
        </w:rPr>
        <w:t>Poulsen</w:t>
      </w:r>
      <w:proofErr w:type="spellEnd"/>
      <w:r w:rsidRPr="003C7BF8">
        <w:rPr>
          <w:rFonts w:ascii="Arial" w:hAnsi="Arial" w:cs="Arial"/>
          <w:sz w:val="22"/>
        </w:rPr>
        <w:t xml:space="preserve">, S., Antares, F. and </w:t>
      </w:r>
      <w:proofErr w:type="spellStart"/>
      <w:r w:rsidRPr="003C7BF8">
        <w:rPr>
          <w:rFonts w:ascii="Arial" w:hAnsi="Arial" w:cs="Arial"/>
          <w:sz w:val="22"/>
        </w:rPr>
        <w:t>Palic</w:t>
      </w:r>
      <w:proofErr w:type="spellEnd"/>
      <w:r w:rsidRPr="003C7BF8">
        <w:rPr>
          <w:rFonts w:ascii="Arial" w:hAnsi="Arial" w:cs="Arial"/>
          <w:sz w:val="22"/>
        </w:rPr>
        <w:t xml:space="preserve">, S. (2024). How is trauma-focused therapy experienced by adults with PTSD? A systematic review of qualitative studies. </w:t>
      </w:r>
      <w:r w:rsidRPr="003C7BF8">
        <w:rPr>
          <w:rFonts w:ascii="Arial" w:hAnsi="Arial" w:cs="Arial"/>
          <w:i/>
          <w:iCs/>
          <w:sz w:val="22"/>
        </w:rPr>
        <w:t>BMC Psychology</w:t>
      </w:r>
      <w:r w:rsidRPr="003C7BF8">
        <w:rPr>
          <w:rFonts w:ascii="Arial" w:hAnsi="Arial" w:cs="Arial"/>
          <w:sz w:val="22"/>
        </w:rPr>
        <w:t xml:space="preserve">, 12(1). </w:t>
      </w:r>
      <w:proofErr w:type="spellStart"/>
      <w:r w:rsidRPr="003C7BF8">
        <w:rPr>
          <w:rFonts w:ascii="Arial" w:hAnsi="Arial" w:cs="Arial"/>
          <w:sz w:val="22"/>
        </w:rPr>
        <w:t>doi:</w:t>
      </w:r>
      <w:hyperlink r:id="rId14" w:history="1">
        <w:r w:rsidRPr="003C7BF8">
          <w:rPr>
            <w:rFonts w:ascii="Arial" w:hAnsi="Arial" w:cs="Arial"/>
            <w:sz w:val="22"/>
          </w:rPr>
          <w:t>https</w:t>
        </w:r>
        <w:proofErr w:type="spellEnd"/>
        <w:r w:rsidRPr="003C7BF8">
          <w:rPr>
            <w:rFonts w:ascii="Arial" w:hAnsi="Arial" w:cs="Arial"/>
            <w:sz w:val="22"/>
          </w:rPr>
          <w:t>://doi.org/10.1186/s40359-024-01588-x</w:t>
        </w:r>
      </w:hyperlink>
      <w:r w:rsidRPr="003C7BF8">
        <w:rPr>
          <w:rFonts w:ascii="Arial" w:hAnsi="Arial" w:cs="Arial"/>
          <w:sz w:val="22"/>
        </w:rPr>
        <w:t>.</w:t>
      </w:r>
    </w:p>
    <w:p w14:paraId="71659FFA"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Harvey, L.R., Slade, T., </w:t>
      </w:r>
      <w:proofErr w:type="spellStart"/>
      <w:r w:rsidRPr="003C7BF8">
        <w:rPr>
          <w:rFonts w:ascii="Arial" w:hAnsi="Arial" w:cs="Arial"/>
          <w:sz w:val="22"/>
        </w:rPr>
        <w:t>Marel</w:t>
      </w:r>
      <w:proofErr w:type="spellEnd"/>
      <w:r w:rsidRPr="003C7BF8">
        <w:rPr>
          <w:rFonts w:ascii="Arial" w:hAnsi="Arial" w:cs="Arial"/>
          <w:sz w:val="22"/>
        </w:rPr>
        <w:t xml:space="preserve">, C. and Mills, K.L. (2025). ICD-11 PTSD, complex PTSD, and substance use disorder: Associations and clinical correlates. </w:t>
      </w:r>
      <w:r w:rsidRPr="003C7BF8">
        <w:rPr>
          <w:rFonts w:ascii="Arial" w:hAnsi="Arial" w:cs="Arial"/>
          <w:i/>
          <w:iCs/>
          <w:sz w:val="22"/>
        </w:rPr>
        <w:t>Psychological Trauma: Theory, Research, Practice, and Policy</w:t>
      </w:r>
      <w:r w:rsidRPr="003C7BF8">
        <w:rPr>
          <w:rFonts w:ascii="Arial" w:hAnsi="Arial" w:cs="Arial"/>
          <w:sz w:val="22"/>
        </w:rPr>
        <w:t xml:space="preserve">. </w:t>
      </w:r>
      <w:proofErr w:type="spellStart"/>
      <w:r w:rsidRPr="003C7BF8">
        <w:rPr>
          <w:rFonts w:ascii="Arial" w:hAnsi="Arial" w:cs="Arial"/>
          <w:sz w:val="22"/>
        </w:rPr>
        <w:t>doi:</w:t>
      </w:r>
      <w:hyperlink r:id="rId15" w:history="1">
        <w:r w:rsidRPr="003C7BF8">
          <w:rPr>
            <w:rFonts w:ascii="Arial" w:hAnsi="Arial" w:cs="Arial"/>
            <w:sz w:val="22"/>
          </w:rPr>
          <w:t>https</w:t>
        </w:r>
        <w:proofErr w:type="spellEnd"/>
        <w:r w:rsidRPr="003C7BF8">
          <w:rPr>
            <w:rFonts w:ascii="Arial" w:hAnsi="Arial" w:cs="Arial"/>
            <w:sz w:val="22"/>
          </w:rPr>
          <w:t>://doi.org/10.1037/tra0001957</w:t>
        </w:r>
      </w:hyperlink>
      <w:r w:rsidRPr="003C7BF8">
        <w:rPr>
          <w:rFonts w:ascii="Arial" w:hAnsi="Arial" w:cs="Arial"/>
          <w:sz w:val="22"/>
        </w:rPr>
        <w:t>.</w:t>
      </w:r>
    </w:p>
    <w:p w14:paraId="62B721D2"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Karatzias</w:t>
      </w:r>
      <w:proofErr w:type="spellEnd"/>
      <w:r w:rsidRPr="003C7BF8">
        <w:rPr>
          <w:rFonts w:ascii="Arial" w:hAnsi="Arial" w:cs="Arial"/>
          <w:sz w:val="22"/>
        </w:rPr>
        <w:t xml:space="preserve">, T., </w:t>
      </w:r>
      <w:proofErr w:type="spellStart"/>
      <w:r w:rsidRPr="003C7BF8">
        <w:rPr>
          <w:rFonts w:ascii="Arial" w:hAnsi="Arial" w:cs="Arial"/>
          <w:sz w:val="22"/>
        </w:rPr>
        <w:t>Cloitre</w:t>
      </w:r>
      <w:proofErr w:type="spellEnd"/>
      <w:r w:rsidRPr="003C7BF8">
        <w:rPr>
          <w:rFonts w:ascii="Arial" w:hAnsi="Arial" w:cs="Arial"/>
          <w:sz w:val="22"/>
        </w:rPr>
        <w:t xml:space="preserve">, M., </w:t>
      </w:r>
      <w:proofErr w:type="spellStart"/>
      <w:r w:rsidRPr="003C7BF8">
        <w:rPr>
          <w:rFonts w:ascii="Arial" w:hAnsi="Arial" w:cs="Arial"/>
          <w:sz w:val="22"/>
        </w:rPr>
        <w:t>Maercker</w:t>
      </w:r>
      <w:proofErr w:type="spellEnd"/>
      <w:r w:rsidRPr="003C7BF8">
        <w:rPr>
          <w:rFonts w:ascii="Arial" w:hAnsi="Arial" w:cs="Arial"/>
          <w:sz w:val="22"/>
        </w:rPr>
        <w:t xml:space="preserve">, A., </w:t>
      </w:r>
      <w:proofErr w:type="spellStart"/>
      <w:r w:rsidRPr="003C7BF8">
        <w:rPr>
          <w:rFonts w:ascii="Arial" w:hAnsi="Arial" w:cs="Arial"/>
          <w:sz w:val="22"/>
        </w:rPr>
        <w:t>Kazlauskas</w:t>
      </w:r>
      <w:proofErr w:type="spellEnd"/>
      <w:r w:rsidRPr="003C7BF8">
        <w:rPr>
          <w:rFonts w:ascii="Arial" w:hAnsi="Arial" w:cs="Arial"/>
          <w:sz w:val="22"/>
        </w:rPr>
        <w:t xml:space="preserve">, E., </w:t>
      </w:r>
      <w:proofErr w:type="spellStart"/>
      <w:r w:rsidRPr="003C7BF8">
        <w:rPr>
          <w:rFonts w:ascii="Arial" w:hAnsi="Arial" w:cs="Arial"/>
          <w:sz w:val="22"/>
        </w:rPr>
        <w:t>Shevlin</w:t>
      </w:r>
      <w:proofErr w:type="spellEnd"/>
      <w:r w:rsidRPr="003C7BF8">
        <w:rPr>
          <w:rFonts w:ascii="Arial" w:hAnsi="Arial" w:cs="Arial"/>
          <w:sz w:val="22"/>
        </w:rPr>
        <w:t xml:space="preserve">, M., Hyland, P., </w:t>
      </w:r>
      <w:proofErr w:type="spellStart"/>
      <w:r w:rsidRPr="003C7BF8">
        <w:rPr>
          <w:rFonts w:ascii="Arial" w:hAnsi="Arial" w:cs="Arial"/>
          <w:sz w:val="22"/>
        </w:rPr>
        <w:t>Bisson</w:t>
      </w:r>
      <w:proofErr w:type="spellEnd"/>
      <w:r w:rsidRPr="003C7BF8">
        <w:rPr>
          <w:rFonts w:ascii="Arial" w:hAnsi="Arial" w:cs="Arial"/>
          <w:sz w:val="22"/>
        </w:rPr>
        <w:t xml:space="preserve">, J.I., Roberts, N.P. and Brewin, C.R. (2017). PTSD and Complex PTSD: ICD-11 updates on concept and measurement in the UK, USA, Germany and Lithuania. </w:t>
      </w:r>
      <w:r w:rsidRPr="003C7BF8">
        <w:rPr>
          <w:rFonts w:ascii="Arial" w:hAnsi="Arial" w:cs="Arial"/>
          <w:i/>
          <w:iCs/>
          <w:sz w:val="22"/>
        </w:rPr>
        <w:t xml:space="preserve">European Journal of </w:t>
      </w:r>
      <w:proofErr w:type="spellStart"/>
      <w:r w:rsidRPr="003C7BF8">
        <w:rPr>
          <w:rFonts w:ascii="Arial" w:hAnsi="Arial" w:cs="Arial"/>
          <w:i/>
          <w:iCs/>
          <w:sz w:val="22"/>
        </w:rPr>
        <w:t>Psychotraumatology</w:t>
      </w:r>
      <w:proofErr w:type="spellEnd"/>
      <w:r w:rsidRPr="003C7BF8">
        <w:rPr>
          <w:rFonts w:ascii="Arial" w:hAnsi="Arial" w:cs="Arial"/>
          <w:sz w:val="22"/>
        </w:rPr>
        <w:t xml:space="preserve">, 8(sup7), p.1418103. </w:t>
      </w:r>
      <w:proofErr w:type="spellStart"/>
      <w:r w:rsidRPr="003C7BF8">
        <w:rPr>
          <w:rFonts w:ascii="Arial" w:hAnsi="Arial" w:cs="Arial"/>
          <w:sz w:val="22"/>
        </w:rPr>
        <w:t>doi:</w:t>
      </w:r>
      <w:hyperlink r:id="rId16" w:history="1">
        <w:r w:rsidRPr="003C7BF8">
          <w:rPr>
            <w:rFonts w:ascii="Arial" w:hAnsi="Arial" w:cs="Arial"/>
            <w:sz w:val="22"/>
          </w:rPr>
          <w:t>https</w:t>
        </w:r>
        <w:proofErr w:type="spellEnd"/>
        <w:r w:rsidRPr="003C7BF8">
          <w:rPr>
            <w:rFonts w:ascii="Arial" w:hAnsi="Arial" w:cs="Arial"/>
            <w:sz w:val="22"/>
          </w:rPr>
          <w:t>://doi.org/10.1080/20008198.2017.1418103</w:t>
        </w:r>
      </w:hyperlink>
      <w:r w:rsidRPr="003C7BF8">
        <w:rPr>
          <w:rFonts w:ascii="Arial" w:hAnsi="Arial" w:cs="Arial"/>
          <w:sz w:val="22"/>
        </w:rPr>
        <w:t>.</w:t>
      </w:r>
    </w:p>
    <w:p w14:paraId="269953A0"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Kindred, R., </w:t>
      </w:r>
      <w:proofErr w:type="spellStart"/>
      <w:r w:rsidRPr="003C7BF8">
        <w:rPr>
          <w:rFonts w:ascii="Arial" w:hAnsi="Arial" w:cs="Arial"/>
          <w:sz w:val="22"/>
        </w:rPr>
        <w:t>Jak</w:t>
      </w:r>
      <w:proofErr w:type="spellEnd"/>
      <w:r w:rsidRPr="003C7BF8">
        <w:rPr>
          <w:rFonts w:ascii="Arial" w:hAnsi="Arial" w:cs="Arial"/>
          <w:sz w:val="22"/>
        </w:rPr>
        <w:t xml:space="preserve">, S., Hamer, R., </w:t>
      </w:r>
      <w:proofErr w:type="spellStart"/>
      <w:r w:rsidRPr="003C7BF8">
        <w:rPr>
          <w:rFonts w:ascii="Arial" w:hAnsi="Arial" w:cs="Arial"/>
          <w:sz w:val="22"/>
        </w:rPr>
        <w:t>Nedeljkovic</w:t>
      </w:r>
      <w:proofErr w:type="spellEnd"/>
      <w:r w:rsidRPr="003C7BF8">
        <w:rPr>
          <w:rFonts w:ascii="Arial" w:hAnsi="Arial" w:cs="Arial"/>
          <w:sz w:val="22"/>
        </w:rPr>
        <w:t xml:space="preserve">, M. and Bates, G.W. (2025). Evaluating the ICD-11 PTSD and Complex PTSD Constructs: A Meta-Analytic Confirmatory Factor Analysis of the International Trauma Questionnaire. </w:t>
      </w:r>
      <w:r w:rsidRPr="003C7BF8">
        <w:rPr>
          <w:rFonts w:ascii="Arial" w:hAnsi="Arial" w:cs="Arial"/>
          <w:i/>
          <w:iCs/>
          <w:sz w:val="22"/>
        </w:rPr>
        <w:t>Assessment</w:t>
      </w:r>
      <w:r w:rsidRPr="003C7BF8">
        <w:rPr>
          <w:rFonts w:ascii="Arial" w:hAnsi="Arial" w:cs="Arial"/>
          <w:sz w:val="22"/>
        </w:rPr>
        <w:t xml:space="preserve">. </w:t>
      </w:r>
      <w:proofErr w:type="spellStart"/>
      <w:r w:rsidRPr="003C7BF8">
        <w:rPr>
          <w:rFonts w:ascii="Arial" w:hAnsi="Arial" w:cs="Arial"/>
          <w:sz w:val="22"/>
        </w:rPr>
        <w:t>doi:</w:t>
      </w:r>
      <w:hyperlink r:id="rId17" w:history="1">
        <w:r w:rsidRPr="003C7BF8">
          <w:rPr>
            <w:rFonts w:ascii="Arial" w:hAnsi="Arial" w:cs="Arial"/>
            <w:sz w:val="22"/>
          </w:rPr>
          <w:t>https</w:t>
        </w:r>
        <w:proofErr w:type="spellEnd"/>
        <w:r w:rsidRPr="003C7BF8">
          <w:rPr>
            <w:rFonts w:ascii="Arial" w:hAnsi="Arial" w:cs="Arial"/>
            <w:sz w:val="22"/>
          </w:rPr>
          <w:t>://doi.org/10.1177/10731911251340837</w:t>
        </w:r>
      </w:hyperlink>
      <w:r w:rsidRPr="003C7BF8">
        <w:rPr>
          <w:rFonts w:ascii="Arial" w:hAnsi="Arial" w:cs="Arial"/>
          <w:sz w:val="22"/>
        </w:rPr>
        <w:t>.</w:t>
      </w:r>
    </w:p>
    <w:p w14:paraId="6329EEE6"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Lau-Zhu, A., Fritz, A. and </w:t>
      </w:r>
      <w:proofErr w:type="spellStart"/>
      <w:r w:rsidRPr="003C7BF8">
        <w:rPr>
          <w:rFonts w:ascii="Arial" w:hAnsi="Arial" w:cs="Arial"/>
          <w:sz w:val="22"/>
        </w:rPr>
        <w:t>McLoughlin</w:t>
      </w:r>
      <w:proofErr w:type="spellEnd"/>
      <w:r w:rsidRPr="003C7BF8">
        <w:rPr>
          <w:rFonts w:ascii="Arial" w:hAnsi="Arial" w:cs="Arial"/>
          <w:sz w:val="22"/>
        </w:rPr>
        <w:t xml:space="preserve">, G. (2019). Overlaps and distinctions between attention deficit/hyperactivity disorder and autism spectrum disorder in young adulthood: Systematic review and guiding framework for EEG-imaging research. </w:t>
      </w:r>
      <w:r w:rsidRPr="003C7BF8">
        <w:rPr>
          <w:rFonts w:ascii="Arial" w:hAnsi="Arial" w:cs="Arial"/>
          <w:i/>
          <w:iCs/>
          <w:sz w:val="22"/>
        </w:rPr>
        <w:t xml:space="preserve">Neuroscience and </w:t>
      </w:r>
      <w:proofErr w:type="spellStart"/>
      <w:r w:rsidRPr="003C7BF8">
        <w:rPr>
          <w:rFonts w:ascii="Arial" w:hAnsi="Arial" w:cs="Arial"/>
          <w:i/>
          <w:iCs/>
          <w:sz w:val="22"/>
        </w:rPr>
        <w:t>Biobehavioral</w:t>
      </w:r>
      <w:proofErr w:type="spellEnd"/>
      <w:r w:rsidRPr="003C7BF8">
        <w:rPr>
          <w:rFonts w:ascii="Arial" w:hAnsi="Arial" w:cs="Arial"/>
          <w:i/>
          <w:iCs/>
          <w:sz w:val="22"/>
        </w:rPr>
        <w:t xml:space="preserve"> Reviews</w:t>
      </w:r>
      <w:r w:rsidRPr="003C7BF8">
        <w:rPr>
          <w:rFonts w:ascii="Arial" w:hAnsi="Arial" w:cs="Arial"/>
          <w:sz w:val="22"/>
        </w:rPr>
        <w:t xml:space="preserve">, [online] 96(1), pp.93–115. </w:t>
      </w:r>
      <w:proofErr w:type="spellStart"/>
      <w:r w:rsidRPr="003C7BF8">
        <w:rPr>
          <w:rFonts w:ascii="Arial" w:hAnsi="Arial" w:cs="Arial"/>
          <w:sz w:val="22"/>
        </w:rPr>
        <w:t>doi:</w:t>
      </w:r>
      <w:hyperlink r:id="rId18" w:history="1">
        <w:r w:rsidRPr="003C7BF8">
          <w:rPr>
            <w:rFonts w:ascii="Arial" w:hAnsi="Arial" w:cs="Arial"/>
            <w:sz w:val="22"/>
          </w:rPr>
          <w:t>https</w:t>
        </w:r>
        <w:proofErr w:type="spellEnd"/>
        <w:r w:rsidRPr="003C7BF8">
          <w:rPr>
            <w:rFonts w:ascii="Arial" w:hAnsi="Arial" w:cs="Arial"/>
            <w:sz w:val="22"/>
          </w:rPr>
          <w:t>://doi.org/10.1016/j.neubiorev.2018.10.009</w:t>
        </w:r>
      </w:hyperlink>
      <w:r w:rsidRPr="003C7BF8">
        <w:rPr>
          <w:rFonts w:ascii="Arial" w:hAnsi="Arial" w:cs="Arial"/>
          <w:sz w:val="22"/>
        </w:rPr>
        <w:t>.</w:t>
      </w:r>
    </w:p>
    <w:p w14:paraId="5ABEDC39"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Møller</w:t>
      </w:r>
      <w:proofErr w:type="spellEnd"/>
      <w:r w:rsidRPr="003C7BF8">
        <w:rPr>
          <w:rFonts w:ascii="Arial" w:hAnsi="Arial" w:cs="Arial"/>
          <w:sz w:val="22"/>
        </w:rPr>
        <w:t xml:space="preserve">, L., </w:t>
      </w:r>
      <w:proofErr w:type="spellStart"/>
      <w:r w:rsidRPr="003C7BF8">
        <w:rPr>
          <w:rFonts w:ascii="Arial" w:hAnsi="Arial" w:cs="Arial"/>
          <w:sz w:val="22"/>
        </w:rPr>
        <w:t>Augsburger</w:t>
      </w:r>
      <w:proofErr w:type="spellEnd"/>
      <w:r w:rsidRPr="003C7BF8">
        <w:rPr>
          <w:rFonts w:ascii="Arial" w:hAnsi="Arial" w:cs="Arial"/>
          <w:sz w:val="22"/>
        </w:rPr>
        <w:t xml:space="preserve">, M., </w:t>
      </w:r>
      <w:proofErr w:type="spellStart"/>
      <w:r w:rsidRPr="003C7BF8">
        <w:rPr>
          <w:rFonts w:ascii="Arial" w:hAnsi="Arial" w:cs="Arial"/>
          <w:sz w:val="22"/>
        </w:rPr>
        <w:t>Elklit</w:t>
      </w:r>
      <w:proofErr w:type="spellEnd"/>
      <w:r w:rsidRPr="003C7BF8">
        <w:rPr>
          <w:rFonts w:ascii="Arial" w:hAnsi="Arial" w:cs="Arial"/>
          <w:sz w:val="22"/>
        </w:rPr>
        <w:t xml:space="preserve">, A., </w:t>
      </w:r>
      <w:proofErr w:type="spellStart"/>
      <w:r w:rsidRPr="003C7BF8">
        <w:rPr>
          <w:rFonts w:ascii="Arial" w:hAnsi="Arial" w:cs="Arial"/>
          <w:sz w:val="22"/>
        </w:rPr>
        <w:t>Søgaard</w:t>
      </w:r>
      <w:proofErr w:type="spellEnd"/>
      <w:r w:rsidRPr="003C7BF8">
        <w:rPr>
          <w:rFonts w:ascii="Arial" w:hAnsi="Arial" w:cs="Arial"/>
          <w:sz w:val="22"/>
        </w:rPr>
        <w:t xml:space="preserve">, U. and </w:t>
      </w:r>
      <w:proofErr w:type="spellStart"/>
      <w:r w:rsidRPr="003C7BF8">
        <w:rPr>
          <w:rFonts w:ascii="Arial" w:hAnsi="Arial" w:cs="Arial"/>
          <w:sz w:val="22"/>
        </w:rPr>
        <w:t>Simonsen</w:t>
      </w:r>
      <w:proofErr w:type="spellEnd"/>
      <w:r w:rsidRPr="003C7BF8">
        <w:rPr>
          <w:rFonts w:ascii="Arial" w:hAnsi="Arial" w:cs="Arial"/>
          <w:sz w:val="22"/>
        </w:rPr>
        <w:t>, E. (2020). Traumatic experiences, ICD</w:t>
      </w:r>
      <w:r w:rsidRPr="003C7BF8">
        <w:rPr>
          <w:rFonts w:ascii="Cambria Math" w:hAnsi="Cambria Math" w:cs="Cambria Math"/>
          <w:sz w:val="22"/>
        </w:rPr>
        <w:t>‐</w:t>
      </w:r>
      <w:r w:rsidRPr="003C7BF8">
        <w:rPr>
          <w:rFonts w:ascii="Arial" w:hAnsi="Arial" w:cs="Arial"/>
          <w:sz w:val="22"/>
        </w:rPr>
        <w:t>11 PTSD, ICD</w:t>
      </w:r>
      <w:r w:rsidRPr="003C7BF8">
        <w:rPr>
          <w:rFonts w:ascii="Cambria Math" w:hAnsi="Cambria Math" w:cs="Cambria Math"/>
          <w:sz w:val="22"/>
        </w:rPr>
        <w:t>‐</w:t>
      </w:r>
      <w:r w:rsidRPr="003C7BF8">
        <w:rPr>
          <w:rFonts w:ascii="Arial" w:hAnsi="Arial" w:cs="Arial"/>
          <w:sz w:val="22"/>
        </w:rPr>
        <w:t>11 Complex PTSD, and the overlap with ICD</w:t>
      </w:r>
      <w:r w:rsidRPr="003C7BF8">
        <w:rPr>
          <w:rFonts w:ascii="Cambria Math" w:hAnsi="Cambria Math" w:cs="Cambria Math"/>
          <w:sz w:val="22"/>
        </w:rPr>
        <w:t>‐</w:t>
      </w:r>
      <w:r w:rsidRPr="003C7BF8">
        <w:rPr>
          <w:rFonts w:ascii="Arial" w:hAnsi="Arial" w:cs="Arial"/>
          <w:sz w:val="22"/>
        </w:rPr>
        <w:t xml:space="preserve">10 diagnoses. </w:t>
      </w:r>
      <w:proofErr w:type="spellStart"/>
      <w:r w:rsidRPr="003C7BF8">
        <w:rPr>
          <w:rFonts w:ascii="Arial" w:hAnsi="Arial" w:cs="Arial"/>
          <w:i/>
          <w:iCs/>
          <w:sz w:val="22"/>
        </w:rPr>
        <w:t>Acta</w:t>
      </w:r>
      <w:proofErr w:type="spellEnd"/>
      <w:r w:rsidRPr="003C7BF8">
        <w:rPr>
          <w:rFonts w:ascii="Arial" w:hAnsi="Arial" w:cs="Arial"/>
          <w:i/>
          <w:iCs/>
          <w:sz w:val="22"/>
        </w:rPr>
        <w:t xml:space="preserve"> </w:t>
      </w:r>
      <w:proofErr w:type="spellStart"/>
      <w:r w:rsidRPr="003C7BF8">
        <w:rPr>
          <w:rFonts w:ascii="Arial" w:hAnsi="Arial" w:cs="Arial"/>
          <w:i/>
          <w:iCs/>
          <w:sz w:val="22"/>
        </w:rPr>
        <w:t>Psychiatrica</w:t>
      </w:r>
      <w:proofErr w:type="spellEnd"/>
      <w:r w:rsidRPr="003C7BF8">
        <w:rPr>
          <w:rFonts w:ascii="Arial" w:hAnsi="Arial" w:cs="Arial"/>
          <w:i/>
          <w:iCs/>
          <w:sz w:val="22"/>
        </w:rPr>
        <w:t xml:space="preserve"> </w:t>
      </w:r>
      <w:proofErr w:type="spellStart"/>
      <w:r w:rsidRPr="003C7BF8">
        <w:rPr>
          <w:rFonts w:ascii="Arial" w:hAnsi="Arial" w:cs="Arial"/>
          <w:i/>
          <w:iCs/>
          <w:sz w:val="22"/>
        </w:rPr>
        <w:t>Scandinavica</w:t>
      </w:r>
      <w:proofErr w:type="spellEnd"/>
      <w:r w:rsidRPr="003C7BF8">
        <w:rPr>
          <w:rFonts w:ascii="Arial" w:hAnsi="Arial" w:cs="Arial"/>
          <w:sz w:val="22"/>
        </w:rPr>
        <w:t xml:space="preserve">, 141(5), pp.421–431. </w:t>
      </w:r>
      <w:proofErr w:type="spellStart"/>
      <w:r w:rsidRPr="003C7BF8">
        <w:rPr>
          <w:rFonts w:ascii="Arial" w:hAnsi="Arial" w:cs="Arial"/>
          <w:sz w:val="22"/>
        </w:rPr>
        <w:t>doi:</w:t>
      </w:r>
      <w:hyperlink r:id="rId19" w:history="1">
        <w:r w:rsidRPr="003C7BF8">
          <w:rPr>
            <w:rFonts w:ascii="Arial" w:hAnsi="Arial" w:cs="Arial"/>
            <w:sz w:val="22"/>
          </w:rPr>
          <w:t>https</w:t>
        </w:r>
        <w:proofErr w:type="spellEnd"/>
        <w:r w:rsidRPr="003C7BF8">
          <w:rPr>
            <w:rFonts w:ascii="Arial" w:hAnsi="Arial" w:cs="Arial"/>
            <w:sz w:val="22"/>
          </w:rPr>
          <w:t>://doi.org/10.1111/acps.13161</w:t>
        </w:r>
      </w:hyperlink>
      <w:r w:rsidRPr="003C7BF8">
        <w:rPr>
          <w:rFonts w:ascii="Arial" w:hAnsi="Arial" w:cs="Arial"/>
          <w:sz w:val="22"/>
        </w:rPr>
        <w:t>.</w:t>
      </w:r>
    </w:p>
    <w:p w14:paraId="67135B69"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National Institute for Health and Care excellence (2018). </w:t>
      </w:r>
      <w:r w:rsidRPr="003C7BF8">
        <w:rPr>
          <w:rFonts w:ascii="Arial" w:hAnsi="Arial" w:cs="Arial"/>
          <w:i/>
          <w:iCs/>
          <w:sz w:val="22"/>
        </w:rPr>
        <w:t>Post-traumatic stress disorder</w:t>
      </w:r>
      <w:r w:rsidRPr="003C7BF8">
        <w:rPr>
          <w:rFonts w:ascii="Arial" w:hAnsi="Arial" w:cs="Arial"/>
          <w:sz w:val="22"/>
        </w:rPr>
        <w:t xml:space="preserve">. [online] Nice.org.uk. Available at: </w:t>
      </w:r>
      <w:hyperlink r:id="rId20" w:history="1">
        <w:r w:rsidRPr="003C7BF8">
          <w:rPr>
            <w:rFonts w:ascii="Arial" w:hAnsi="Arial" w:cs="Arial"/>
            <w:sz w:val="22"/>
          </w:rPr>
          <w:t>https://www.nice.org.uk/guidance/ng116</w:t>
        </w:r>
      </w:hyperlink>
      <w:r w:rsidRPr="003C7BF8">
        <w:rPr>
          <w:rFonts w:ascii="Arial" w:hAnsi="Arial" w:cs="Arial"/>
          <w:sz w:val="22"/>
        </w:rPr>
        <w:t>.</w:t>
      </w:r>
    </w:p>
    <w:p w14:paraId="6CA6A9C7"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Randle, T.S., </w:t>
      </w:r>
      <w:proofErr w:type="spellStart"/>
      <w:r w:rsidRPr="003C7BF8">
        <w:rPr>
          <w:rFonts w:ascii="Arial" w:hAnsi="Arial" w:cs="Arial"/>
          <w:sz w:val="22"/>
        </w:rPr>
        <w:t>Miskovic</w:t>
      </w:r>
      <w:proofErr w:type="spellEnd"/>
      <w:r w:rsidRPr="003C7BF8">
        <w:rPr>
          <w:rFonts w:ascii="Arial" w:hAnsi="Arial" w:cs="Arial"/>
          <w:sz w:val="22"/>
        </w:rPr>
        <w:t xml:space="preserve">, L.N., Grant, V.R., </w:t>
      </w:r>
      <w:proofErr w:type="spellStart"/>
      <w:r w:rsidRPr="003C7BF8">
        <w:rPr>
          <w:rFonts w:ascii="Arial" w:hAnsi="Arial" w:cs="Arial"/>
          <w:sz w:val="22"/>
        </w:rPr>
        <w:t>Okechukwu</w:t>
      </w:r>
      <w:proofErr w:type="spellEnd"/>
      <w:r w:rsidRPr="003C7BF8">
        <w:rPr>
          <w:rFonts w:ascii="Arial" w:hAnsi="Arial" w:cs="Arial"/>
          <w:sz w:val="22"/>
        </w:rPr>
        <w:t xml:space="preserve">, A.I., </w:t>
      </w:r>
      <w:proofErr w:type="spellStart"/>
      <w:r w:rsidRPr="003C7BF8">
        <w:rPr>
          <w:rFonts w:ascii="Arial" w:hAnsi="Arial" w:cs="Arial"/>
          <w:sz w:val="22"/>
        </w:rPr>
        <w:t>Shahzad</w:t>
      </w:r>
      <w:proofErr w:type="spellEnd"/>
      <w:r w:rsidRPr="003C7BF8">
        <w:rPr>
          <w:rFonts w:ascii="Arial" w:hAnsi="Arial" w:cs="Arial"/>
          <w:sz w:val="22"/>
        </w:rPr>
        <w:t xml:space="preserve">, N., </w:t>
      </w:r>
      <w:proofErr w:type="spellStart"/>
      <w:r w:rsidRPr="003C7BF8">
        <w:rPr>
          <w:rFonts w:ascii="Arial" w:hAnsi="Arial" w:cs="Arial"/>
          <w:sz w:val="22"/>
        </w:rPr>
        <w:t>Mkandawire</w:t>
      </w:r>
      <w:proofErr w:type="spellEnd"/>
      <w:r w:rsidRPr="003C7BF8">
        <w:rPr>
          <w:rFonts w:ascii="Arial" w:hAnsi="Arial" w:cs="Arial"/>
          <w:sz w:val="22"/>
        </w:rPr>
        <w:t xml:space="preserve">, K.C., Warrick, M. and Smith, Z.R. (2025). Untangling the Threads: The Impact of Co-Occurring OCD and ADHD Symptoms for Black and/or </w:t>
      </w:r>
      <w:proofErr w:type="spellStart"/>
      <w:r w:rsidRPr="003C7BF8">
        <w:rPr>
          <w:rFonts w:ascii="Arial" w:hAnsi="Arial" w:cs="Arial"/>
          <w:sz w:val="22"/>
        </w:rPr>
        <w:t>Latiné</w:t>
      </w:r>
      <w:proofErr w:type="spellEnd"/>
      <w:r w:rsidRPr="003C7BF8">
        <w:rPr>
          <w:rFonts w:ascii="Arial" w:hAnsi="Arial" w:cs="Arial"/>
          <w:sz w:val="22"/>
        </w:rPr>
        <w:t xml:space="preserve"> Youth. </w:t>
      </w:r>
      <w:r w:rsidRPr="003C7BF8">
        <w:rPr>
          <w:rFonts w:ascii="Arial" w:hAnsi="Arial" w:cs="Arial"/>
          <w:i/>
          <w:iCs/>
          <w:sz w:val="22"/>
        </w:rPr>
        <w:t>Children</w:t>
      </w:r>
      <w:r w:rsidRPr="003C7BF8">
        <w:rPr>
          <w:rFonts w:ascii="Arial" w:hAnsi="Arial" w:cs="Arial"/>
          <w:sz w:val="22"/>
        </w:rPr>
        <w:t xml:space="preserve">, [online] 12(6), pp.674–674. </w:t>
      </w:r>
      <w:proofErr w:type="spellStart"/>
      <w:r w:rsidRPr="003C7BF8">
        <w:rPr>
          <w:rFonts w:ascii="Arial" w:hAnsi="Arial" w:cs="Arial"/>
          <w:sz w:val="22"/>
        </w:rPr>
        <w:t>doi:</w:t>
      </w:r>
      <w:hyperlink r:id="rId21" w:history="1">
        <w:r w:rsidRPr="003C7BF8">
          <w:rPr>
            <w:rFonts w:ascii="Arial" w:hAnsi="Arial" w:cs="Arial"/>
            <w:sz w:val="22"/>
          </w:rPr>
          <w:t>https</w:t>
        </w:r>
        <w:proofErr w:type="spellEnd"/>
        <w:r w:rsidRPr="003C7BF8">
          <w:rPr>
            <w:rFonts w:ascii="Arial" w:hAnsi="Arial" w:cs="Arial"/>
            <w:sz w:val="22"/>
          </w:rPr>
          <w:t>://doi.org/10.3390/children12060674</w:t>
        </w:r>
      </w:hyperlink>
      <w:r w:rsidRPr="003C7BF8">
        <w:rPr>
          <w:rFonts w:ascii="Arial" w:hAnsi="Arial" w:cs="Arial"/>
          <w:sz w:val="22"/>
        </w:rPr>
        <w:t>.</w:t>
      </w:r>
    </w:p>
    <w:p w14:paraId="50CC20F1"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Reed, G.M., First, M.B., </w:t>
      </w:r>
      <w:proofErr w:type="spellStart"/>
      <w:r w:rsidRPr="003C7BF8">
        <w:rPr>
          <w:rFonts w:ascii="Arial" w:hAnsi="Arial" w:cs="Arial"/>
          <w:sz w:val="22"/>
        </w:rPr>
        <w:t>Kogan</w:t>
      </w:r>
      <w:proofErr w:type="spellEnd"/>
      <w:r w:rsidRPr="003C7BF8">
        <w:rPr>
          <w:rFonts w:ascii="Arial" w:hAnsi="Arial" w:cs="Arial"/>
          <w:sz w:val="22"/>
        </w:rPr>
        <w:t xml:space="preserve">, C.S., Hyman, S.E., </w:t>
      </w:r>
      <w:proofErr w:type="spellStart"/>
      <w:r w:rsidRPr="003C7BF8">
        <w:rPr>
          <w:rFonts w:ascii="Arial" w:hAnsi="Arial" w:cs="Arial"/>
          <w:sz w:val="22"/>
        </w:rPr>
        <w:t>Gureje</w:t>
      </w:r>
      <w:proofErr w:type="spellEnd"/>
      <w:r w:rsidRPr="003C7BF8">
        <w:rPr>
          <w:rFonts w:ascii="Arial" w:hAnsi="Arial" w:cs="Arial"/>
          <w:sz w:val="22"/>
        </w:rPr>
        <w:t xml:space="preserve">, O., </w:t>
      </w:r>
      <w:proofErr w:type="spellStart"/>
      <w:r w:rsidRPr="003C7BF8">
        <w:rPr>
          <w:rFonts w:ascii="Arial" w:hAnsi="Arial" w:cs="Arial"/>
          <w:sz w:val="22"/>
        </w:rPr>
        <w:t>Gaebel</w:t>
      </w:r>
      <w:proofErr w:type="spellEnd"/>
      <w:r w:rsidRPr="003C7BF8">
        <w:rPr>
          <w:rFonts w:ascii="Arial" w:hAnsi="Arial" w:cs="Arial"/>
          <w:sz w:val="22"/>
        </w:rPr>
        <w:t xml:space="preserve">, W., Maj, M., Stein, D.J., </w:t>
      </w:r>
      <w:proofErr w:type="spellStart"/>
      <w:r w:rsidRPr="003C7BF8">
        <w:rPr>
          <w:rFonts w:ascii="Arial" w:hAnsi="Arial" w:cs="Arial"/>
          <w:sz w:val="22"/>
        </w:rPr>
        <w:t>Maercker</w:t>
      </w:r>
      <w:proofErr w:type="spellEnd"/>
      <w:r w:rsidRPr="003C7BF8">
        <w:rPr>
          <w:rFonts w:ascii="Arial" w:hAnsi="Arial" w:cs="Arial"/>
          <w:sz w:val="22"/>
        </w:rPr>
        <w:t xml:space="preserve">, A., </w:t>
      </w:r>
      <w:proofErr w:type="spellStart"/>
      <w:r w:rsidRPr="003C7BF8">
        <w:rPr>
          <w:rFonts w:ascii="Arial" w:hAnsi="Arial" w:cs="Arial"/>
          <w:sz w:val="22"/>
        </w:rPr>
        <w:t>Tyrer</w:t>
      </w:r>
      <w:proofErr w:type="spellEnd"/>
      <w:r w:rsidRPr="003C7BF8">
        <w:rPr>
          <w:rFonts w:ascii="Arial" w:hAnsi="Arial" w:cs="Arial"/>
          <w:sz w:val="22"/>
        </w:rPr>
        <w:t xml:space="preserve">, P., </w:t>
      </w:r>
      <w:proofErr w:type="spellStart"/>
      <w:r w:rsidRPr="003C7BF8">
        <w:rPr>
          <w:rFonts w:ascii="Arial" w:hAnsi="Arial" w:cs="Arial"/>
          <w:sz w:val="22"/>
        </w:rPr>
        <w:t>Claudino</w:t>
      </w:r>
      <w:proofErr w:type="spellEnd"/>
      <w:r w:rsidRPr="003C7BF8">
        <w:rPr>
          <w:rFonts w:ascii="Arial" w:hAnsi="Arial" w:cs="Arial"/>
          <w:sz w:val="22"/>
        </w:rPr>
        <w:t xml:space="preserve">, A., </w:t>
      </w:r>
      <w:proofErr w:type="spellStart"/>
      <w:r w:rsidRPr="003C7BF8">
        <w:rPr>
          <w:rFonts w:ascii="Arial" w:hAnsi="Arial" w:cs="Arial"/>
          <w:sz w:val="22"/>
        </w:rPr>
        <w:t>Garralda</w:t>
      </w:r>
      <w:proofErr w:type="spellEnd"/>
      <w:r w:rsidRPr="003C7BF8">
        <w:rPr>
          <w:rFonts w:ascii="Arial" w:hAnsi="Arial" w:cs="Arial"/>
          <w:sz w:val="22"/>
        </w:rPr>
        <w:t>, E., Salvador-</w:t>
      </w:r>
      <w:proofErr w:type="spellStart"/>
      <w:r w:rsidRPr="003C7BF8">
        <w:rPr>
          <w:rFonts w:ascii="Arial" w:hAnsi="Arial" w:cs="Arial"/>
          <w:sz w:val="22"/>
        </w:rPr>
        <w:t>Carulla</w:t>
      </w:r>
      <w:proofErr w:type="spellEnd"/>
      <w:r w:rsidRPr="003C7BF8">
        <w:rPr>
          <w:rFonts w:ascii="Arial" w:hAnsi="Arial" w:cs="Arial"/>
          <w:sz w:val="22"/>
        </w:rPr>
        <w:t xml:space="preserve">, L., Ray, R., Saunders, J.B., </w:t>
      </w:r>
      <w:proofErr w:type="spellStart"/>
      <w:r w:rsidRPr="003C7BF8">
        <w:rPr>
          <w:rFonts w:ascii="Arial" w:hAnsi="Arial" w:cs="Arial"/>
          <w:sz w:val="22"/>
        </w:rPr>
        <w:t>Dua</w:t>
      </w:r>
      <w:proofErr w:type="spellEnd"/>
      <w:r w:rsidRPr="003C7BF8">
        <w:rPr>
          <w:rFonts w:ascii="Arial" w:hAnsi="Arial" w:cs="Arial"/>
          <w:sz w:val="22"/>
        </w:rPr>
        <w:t xml:space="preserve">, T., </w:t>
      </w:r>
      <w:proofErr w:type="spellStart"/>
      <w:r w:rsidRPr="003C7BF8">
        <w:rPr>
          <w:rFonts w:ascii="Arial" w:hAnsi="Arial" w:cs="Arial"/>
          <w:sz w:val="22"/>
        </w:rPr>
        <w:t>Poznyak</w:t>
      </w:r>
      <w:proofErr w:type="spellEnd"/>
      <w:r w:rsidRPr="003C7BF8">
        <w:rPr>
          <w:rFonts w:ascii="Arial" w:hAnsi="Arial" w:cs="Arial"/>
          <w:sz w:val="22"/>
        </w:rPr>
        <w:t>, V., Medina-</w:t>
      </w:r>
      <w:proofErr w:type="spellStart"/>
      <w:r w:rsidRPr="003C7BF8">
        <w:rPr>
          <w:rFonts w:ascii="Arial" w:hAnsi="Arial" w:cs="Arial"/>
          <w:sz w:val="22"/>
        </w:rPr>
        <w:t>Mora</w:t>
      </w:r>
      <w:proofErr w:type="spellEnd"/>
      <w:r w:rsidRPr="003C7BF8">
        <w:rPr>
          <w:rFonts w:ascii="Arial" w:hAnsi="Arial" w:cs="Arial"/>
          <w:sz w:val="22"/>
        </w:rPr>
        <w:t xml:space="preserve">, M.E., Pike, K.M. and </w:t>
      </w:r>
      <w:proofErr w:type="spellStart"/>
      <w:r w:rsidRPr="003C7BF8">
        <w:rPr>
          <w:rFonts w:ascii="Arial" w:hAnsi="Arial" w:cs="Arial"/>
          <w:sz w:val="22"/>
        </w:rPr>
        <w:t>Ayuso-Mateos</w:t>
      </w:r>
      <w:proofErr w:type="spellEnd"/>
      <w:r w:rsidRPr="003C7BF8">
        <w:rPr>
          <w:rFonts w:ascii="Arial" w:hAnsi="Arial" w:cs="Arial"/>
          <w:sz w:val="22"/>
        </w:rPr>
        <w:t xml:space="preserve">, J.L. (2019). Innovations and changes in the ICD-11 classification of mental, </w:t>
      </w:r>
      <w:proofErr w:type="spellStart"/>
      <w:r w:rsidRPr="003C7BF8">
        <w:rPr>
          <w:rFonts w:ascii="Arial" w:hAnsi="Arial" w:cs="Arial"/>
          <w:sz w:val="22"/>
        </w:rPr>
        <w:t>behavioural</w:t>
      </w:r>
      <w:proofErr w:type="spellEnd"/>
      <w:r w:rsidRPr="003C7BF8">
        <w:rPr>
          <w:rFonts w:ascii="Arial" w:hAnsi="Arial" w:cs="Arial"/>
          <w:sz w:val="22"/>
        </w:rPr>
        <w:t xml:space="preserve"> and neurodevelopmental disorders. </w:t>
      </w:r>
      <w:r w:rsidRPr="003C7BF8">
        <w:rPr>
          <w:rFonts w:ascii="Arial" w:hAnsi="Arial" w:cs="Arial"/>
          <w:i/>
          <w:iCs/>
          <w:sz w:val="22"/>
        </w:rPr>
        <w:t>World Psychiatry</w:t>
      </w:r>
      <w:r w:rsidRPr="003C7BF8">
        <w:rPr>
          <w:rFonts w:ascii="Arial" w:hAnsi="Arial" w:cs="Arial"/>
          <w:sz w:val="22"/>
        </w:rPr>
        <w:t xml:space="preserve">, [online] 18(1), pp.3–19. Available at: </w:t>
      </w:r>
      <w:hyperlink r:id="rId22" w:history="1">
        <w:r w:rsidRPr="003C7BF8">
          <w:rPr>
            <w:rFonts w:ascii="Arial" w:hAnsi="Arial" w:cs="Arial"/>
            <w:sz w:val="22"/>
          </w:rPr>
          <w:t>https://onlinelibrary.wiley.com/doi/full/10.1002/wps.20611</w:t>
        </w:r>
      </w:hyperlink>
      <w:r w:rsidRPr="003C7BF8">
        <w:rPr>
          <w:rFonts w:ascii="Arial" w:hAnsi="Arial" w:cs="Arial"/>
          <w:sz w:val="22"/>
        </w:rPr>
        <w:t>.</w:t>
      </w:r>
    </w:p>
    <w:p w14:paraId="42189BE3"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Shevlin</w:t>
      </w:r>
      <w:proofErr w:type="spellEnd"/>
      <w:r w:rsidRPr="003C7BF8">
        <w:rPr>
          <w:rFonts w:ascii="Arial" w:hAnsi="Arial" w:cs="Arial"/>
          <w:sz w:val="22"/>
        </w:rPr>
        <w:t xml:space="preserve">, M., Hyland, P., Roberts, N.P., </w:t>
      </w:r>
      <w:proofErr w:type="spellStart"/>
      <w:r w:rsidRPr="003C7BF8">
        <w:rPr>
          <w:rFonts w:ascii="Arial" w:hAnsi="Arial" w:cs="Arial"/>
          <w:sz w:val="22"/>
        </w:rPr>
        <w:t>Bisson</w:t>
      </w:r>
      <w:proofErr w:type="spellEnd"/>
      <w:r w:rsidRPr="003C7BF8">
        <w:rPr>
          <w:rFonts w:ascii="Arial" w:hAnsi="Arial" w:cs="Arial"/>
          <w:sz w:val="22"/>
        </w:rPr>
        <w:t xml:space="preserve">, J.I., Brewin, C.R. and </w:t>
      </w:r>
      <w:proofErr w:type="spellStart"/>
      <w:r w:rsidRPr="003C7BF8">
        <w:rPr>
          <w:rFonts w:ascii="Arial" w:hAnsi="Arial" w:cs="Arial"/>
          <w:sz w:val="22"/>
        </w:rPr>
        <w:t>Cloitre</w:t>
      </w:r>
      <w:proofErr w:type="spellEnd"/>
      <w:r w:rsidRPr="003C7BF8">
        <w:rPr>
          <w:rFonts w:ascii="Arial" w:hAnsi="Arial" w:cs="Arial"/>
          <w:sz w:val="22"/>
        </w:rPr>
        <w:t xml:space="preserve">, M. (2018). A psychometric assessment of Disturbances in Self-Organization symptom indicators for ICD-11 Complex PTSD using the International Trauma Questionnaire. </w:t>
      </w:r>
      <w:r w:rsidRPr="003C7BF8">
        <w:rPr>
          <w:rFonts w:ascii="Arial" w:hAnsi="Arial" w:cs="Arial"/>
          <w:i/>
          <w:iCs/>
          <w:sz w:val="22"/>
        </w:rPr>
        <w:t xml:space="preserve">European Journal of </w:t>
      </w:r>
      <w:proofErr w:type="spellStart"/>
      <w:r w:rsidRPr="003C7BF8">
        <w:rPr>
          <w:rFonts w:ascii="Arial" w:hAnsi="Arial" w:cs="Arial"/>
          <w:i/>
          <w:iCs/>
          <w:sz w:val="22"/>
        </w:rPr>
        <w:t>Psychotraumatology</w:t>
      </w:r>
      <w:proofErr w:type="spellEnd"/>
      <w:r w:rsidRPr="003C7BF8">
        <w:rPr>
          <w:rFonts w:ascii="Arial" w:hAnsi="Arial" w:cs="Arial"/>
          <w:sz w:val="22"/>
        </w:rPr>
        <w:t xml:space="preserve">, 9(1), p.1419749. </w:t>
      </w:r>
      <w:proofErr w:type="spellStart"/>
      <w:r w:rsidRPr="003C7BF8">
        <w:rPr>
          <w:rFonts w:ascii="Arial" w:hAnsi="Arial" w:cs="Arial"/>
          <w:sz w:val="22"/>
        </w:rPr>
        <w:t>doi:</w:t>
      </w:r>
      <w:hyperlink r:id="rId23" w:history="1">
        <w:r w:rsidRPr="003C7BF8">
          <w:rPr>
            <w:rFonts w:ascii="Arial" w:hAnsi="Arial" w:cs="Arial"/>
            <w:sz w:val="22"/>
          </w:rPr>
          <w:t>https</w:t>
        </w:r>
        <w:proofErr w:type="spellEnd"/>
        <w:r w:rsidRPr="003C7BF8">
          <w:rPr>
            <w:rFonts w:ascii="Arial" w:hAnsi="Arial" w:cs="Arial"/>
            <w:sz w:val="22"/>
          </w:rPr>
          <w:t>://doi.org/10.1080/20008198.2017.1419749</w:t>
        </w:r>
      </w:hyperlink>
      <w:r w:rsidRPr="003C7BF8">
        <w:rPr>
          <w:rFonts w:ascii="Arial" w:hAnsi="Arial" w:cs="Arial"/>
          <w:sz w:val="22"/>
        </w:rPr>
        <w:t>.</w:t>
      </w:r>
    </w:p>
    <w:p w14:paraId="4521213E"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r w:rsidRPr="003C7BF8">
        <w:rPr>
          <w:rFonts w:ascii="Arial" w:hAnsi="Arial" w:cs="Arial"/>
          <w:sz w:val="22"/>
        </w:rPr>
        <w:t xml:space="preserve">Stein, D.J., </w:t>
      </w:r>
      <w:proofErr w:type="spellStart"/>
      <w:r w:rsidRPr="003C7BF8">
        <w:rPr>
          <w:rFonts w:ascii="Arial" w:hAnsi="Arial" w:cs="Arial"/>
          <w:sz w:val="22"/>
        </w:rPr>
        <w:t>Shoptaw</w:t>
      </w:r>
      <w:proofErr w:type="spellEnd"/>
      <w:r w:rsidRPr="003C7BF8">
        <w:rPr>
          <w:rFonts w:ascii="Arial" w:hAnsi="Arial" w:cs="Arial"/>
          <w:sz w:val="22"/>
        </w:rPr>
        <w:t xml:space="preserve">, S.J., Vigo, D.V., Lund, C., </w:t>
      </w:r>
      <w:proofErr w:type="spellStart"/>
      <w:r w:rsidRPr="003C7BF8">
        <w:rPr>
          <w:rFonts w:ascii="Arial" w:hAnsi="Arial" w:cs="Arial"/>
          <w:sz w:val="22"/>
        </w:rPr>
        <w:t>Cuijpers</w:t>
      </w:r>
      <w:proofErr w:type="spellEnd"/>
      <w:r w:rsidRPr="003C7BF8">
        <w:rPr>
          <w:rFonts w:ascii="Arial" w:hAnsi="Arial" w:cs="Arial"/>
          <w:sz w:val="22"/>
        </w:rPr>
        <w:t xml:space="preserve">, P., </w:t>
      </w:r>
      <w:proofErr w:type="spellStart"/>
      <w:r w:rsidRPr="003C7BF8">
        <w:rPr>
          <w:rFonts w:ascii="Arial" w:hAnsi="Arial" w:cs="Arial"/>
          <w:sz w:val="22"/>
        </w:rPr>
        <w:t>Bantjes</w:t>
      </w:r>
      <w:proofErr w:type="spellEnd"/>
      <w:r w:rsidRPr="003C7BF8">
        <w:rPr>
          <w:rFonts w:ascii="Arial" w:hAnsi="Arial" w:cs="Arial"/>
          <w:sz w:val="22"/>
        </w:rPr>
        <w:t xml:space="preserve">, J., Sartorius, N. and Maj, M. (2022). Psychiatric Diagnosis and Treatment in the 21st century: Paradigm Shifts versus Incremental Integration. </w:t>
      </w:r>
      <w:r w:rsidRPr="003C7BF8">
        <w:rPr>
          <w:rFonts w:ascii="Arial" w:hAnsi="Arial" w:cs="Arial"/>
          <w:i/>
          <w:iCs/>
          <w:sz w:val="22"/>
        </w:rPr>
        <w:t>World Psychiatry</w:t>
      </w:r>
      <w:r w:rsidRPr="003C7BF8">
        <w:rPr>
          <w:rFonts w:ascii="Arial" w:hAnsi="Arial" w:cs="Arial"/>
          <w:sz w:val="22"/>
        </w:rPr>
        <w:t xml:space="preserve">, [online] 21(3), pp.393–414. Available at: </w:t>
      </w:r>
      <w:hyperlink r:id="rId24" w:history="1">
        <w:r w:rsidRPr="003C7BF8">
          <w:rPr>
            <w:rFonts w:ascii="Arial" w:hAnsi="Arial" w:cs="Arial"/>
            <w:sz w:val="22"/>
          </w:rPr>
          <w:t>https://pmc.ncbi.nlm.nih.gov/articles/PMC9453916/</w:t>
        </w:r>
      </w:hyperlink>
      <w:r w:rsidRPr="003C7BF8">
        <w:rPr>
          <w:rFonts w:ascii="Arial" w:hAnsi="Arial" w:cs="Arial"/>
          <w:sz w:val="22"/>
        </w:rPr>
        <w:t>.</w:t>
      </w:r>
    </w:p>
    <w:p w14:paraId="23050FD5" w14:textId="77777777" w:rsidR="000E75DE" w:rsidRPr="003C7BF8" w:rsidRDefault="000E75DE" w:rsidP="003A6B89">
      <w:pPr>
        <w:widowControl w:val="0"/>
        <w:autoSpaceDE w:val="0"/>
        <w:autoSpaceDN w:val="0"/>
        <w:adjustRightInd w:val="0"/>
        <w:spacing w:after="240" w:line="360" w:lineRule="auto"/>
        <w:ind w:left="720" w:hanging="720"/>
        <w:rPr>
          <w:rFonts w:ascii="Arial" w:hAnsi="Arial" w:cs="Arial"/>
          <w:sz w:val="22"/>
        </w:rPr>
      </w:pPr>
      <w:proofErr w:type="spellStart"/>
      <w:r w:rsidRPr="003C7BF8">
        <w:rPr>
          <w:rFonts w:ascii="Arial" w:hAnsi="Arial" w:cs="Arial"/>
          <w:sz w:val="22"/>
        </w:rPr>
        <w:t>Vang</w:t>
      </w:r>
      <w:proofErr w:type="spellEnd"/>
      <w:r w:rsidRPr="003C7BF8">
        <w:rPr>
          <w:rFonts w:ascii="Arial" w:hAnsi="Arial" w:cs="Arial"/>
          <w:sz w:val="22"/>
        </w:rPr>
        <w:t xml:space="preserve">, M.L., </w:t>
      </w:r>
      <w:proofErr w:type="spellStart"/>
      <w:r w:rsidRPr="003C7BF8">
        <w:rPr>
          <w:rFonts w:ascii="Arial" w:hAnsi="Arial" w:cs="Arial"/>
          <w:sz w:val="22"/>
        </w:rPr>
        <w:t>Dokkedahl</w:t>
      </w:r>
      <w:proofErr w:type="spellEnd"/>
      <w:r w:rsidRPr="003C7BF8">
        <w:rPr>
          <w:rFonts w:ascii="Arial" w:hAnsi="Arial" w:cs="Arial"/>
          <w:sz w:val="22"/>
        </w:rPr>
        <w:t xml:space="preserve">, S.B., </w:t>
      </w:r>
      <w:proofErr w:type="spellStart"/>
      <w:r w:rsidRPr="003C7BF8">
        <w:rPr>
          <w:rFonts w:ascii="Arial" w:hAnsi="Arial" w:cs="Arial"/>
          <w:sz w:val="22"/>
        </w:rPr>
        <w:t>Løkkegaard</w:t>
      </w:r>
      <w:proofErr w:type="spellEnd"/>
      <w:r w:rsidRPr="003C7BF8">
        <w:rPr>
          <w:rFonts w:ascii="Arial" w:hAnsi="Arial" w:cs="Arial"/>
          <w:sz w:val="22"/>
        </w:rPr>
        <w:t xml:space="preserve">, S.S., </w:t>
      </w:r>
      <w:proofErr w:type="spellStart"/>
      <w:r w:rsidRPr="003C7BF8">
        <w:rPr>
          <w:rFonts w:ascii="Arial" w:hAnsi="Arial" w:cs="Arial"/>
          <w:sz w:val="22"/>
        </w:rPr>
        <w:t>Jakobsen</w:t>
      </w:r>
      <w:proofErr w:type="spellEnd"/>
      <w:r w:rsidRPr="003C7BF8">
        <w:rPr>
          <w:rFonts w:ascii="Arial" w:hAnsi="Arial" w:cs="Arial"/>
          <w:sz w:val="22"/>
        </w:rPr>
        <w:t xml:space="preserve">, A.V., </w:t>
      </w:r>
      <w:proofErr w:type="spellStart"/>
      <w:r w:rsidRPr="003C7BF8">
        <w:rPr>
          <w:rFonts w:ascii="Arial" w:hAnsi="Arial" w:cs="Arial"/>
          <w:sz w:val="22"/>
        </w:rPr>
        <w:t>Møller</w:t>
      </w:r>
      <w:proofErr w:type="spellEnd"/>
      <w:r w:rsidRPr="003C7BF8">
        <w:rPr>
          <w:rFonts w:ascii="Arial" w:hAnsi="Arial" w:cs="Arial"/>
          <w:sz w:val="22"/>
        </w:rPr>
        <w:t xml:space="preserve">, L., </w:t>
      </w:r>
      <w:proofErr w:type="spellStart"/>
      <w:r w:rsidRPr="003C7BF8">
        <w:rPr>
          <w:rFonts w:ascii="Arial" w:hAnsi="Arial" w:cs="Arial"/>
          <w:sz w:val="22"/>
        </w:rPr>
        <w:t>Auning</w:t>
      </w:r>
      <w:proofErr w:type="spellEnd"/>
      <w:r w:rsidRPr="003C7BF8">
        <w:rPr>
          <w:rFonts w:ascii="Arial" w:hAnsi="Arial" w:cs="Arial"/>
          <w:sz w:val="22"/>
        </w:rPr>
        <w:t xml:space="preserve">-Hansen, M.A. and </w:t>
      </w:r>
      <w:proofErr w:type="spellStart"/>
      <w:r w:rsidRPr="003C7BF8">
        <w:rPr>
          <w:rFonts w:ascii="Arial" w:hAnsi="Arial" w:cs="Arial"/>
          <w:sz w:val="22"/>
        </w:rPr>
        <w:t>Elklit</w:t>
      </w:r>
      <w:proofErr w:type="spellEnd"/>
      <w:r w:rsidRPr="003C7BF8">
        <w:rPr>
          <w:rFonts w:ascii="Arial" w:hAnsi="Arial" w:cs="Arial"/>
          <w:sz w:val="22"/>
        </w:rPr>
        <w:t xml:space="preserve">, A. (2021). Validation of ICD-11 PTSD and DSO using the International Trauma Questionnaire in five clinical samples recruited in Denmark. </w:t>
      </w:r>
      <w:r w:rsidRPr="003C7BF8">
        <w:rPr>
          <w:rFonts w:ascii="Arial" w:hAnsi="Arial" w:cs="Arial"/>
          <w:i/>
          <w:iCs/>
          <w:sz w:val="22"/>
        </w:rPr>
        <w:t xml:space="preserve">European Journal of </w:t>
      </w:r>
      <w:proofErr w:type="spellStart"/>
      <w:r w:rsidRPr="003C7BF8">
        <w:rPr>
          <w:rFonts w:ascii="Arial" w:hAnsi="Arial" w:cs="Arial"/>
          <w:i/>
          <w:iCs/>
          <w:sz w:val="22"/>
        </w:rPr>
        <w:t>Psychotraumatology</w:t>
      </w:r>
      <w:proofErr w:type="spellEnd"/>
      <w:r w:rsidRPr="003C7BF8">
        <w:rPr>
          <w:rFonts w:ascii="Arial" w:hAnsi="Arial" w:cs="Arial"/>
          <w:sz w:val="22"/>
        </w:rPr>
        <w:t xml:space="preserve">, 12(1). </w:t>
      </w:r>
      <w:proofErr w:type="spellStart"/>
      <w:r w:rsidRPr="003C7BF8">
        <w:rPr>
          <w:rFonts w:ascii="Arial" w:hAnsi="Arial" w:cs="Arial"/>
          <w:sz w:val="22"/>
        </w:rPr>
        <w:t>doi:</w:t>
      </w:r>
      <w:hyperlink r:id="rId25" w:history="1">
        <w:r w:rsidRPr="003C7BF8">
          <w:rPr>
            <w:rFonts w:ascii="Arial" w:hAnsi="Arial" w:cs="Arial"/>
            <w:sz w:val="22"/>
          </w:rPr>
          <w:t>https</w:t>
        </w:r>
        <w:proofErr w:type="spellEnd"/>
        <w:r w:rsidRPr="003C7BF8">
          <w:rPr>
            <w:rFonts w:ascii="Arial" w:hAnsi="Arial" w:cs="Arial"/>
            <w:sz w:val="22"/>
          </w:rPr>
          <w:t>://doi.org/10.1080/20008198.2021.1894806</w:t>
        </w:r>
      </w:hyperlink>
      <w:r w:rsidRPr="003C7BF8">
        <w:rPr>
          <w:rFonts w:ascii="Arial" w:hAnsi="Arial" w:cs="Arial"/>
          <w:sz w:val="22"/>
        </w:rPr>
        <w:t>.</w:t>
      </w:r>
    </w:p>
    <w:p w14:paraId="143D1CB9" w14:textId="77777777" w:rsidR="000E75DE" w:rsidRPr="003C7BF8" w:rsidRDefault="000E75DE" w:rsidP="003A6B89">
      <w:pPr>
        <w:spacing w:line="360" w:lineRule="auto"/>
        <w:ind w:left="720" w:hanging="720"/>
        <w:rPr>
          <w:rFonts w:ascii="Arial" w:hAnsi="Arial" w:cs="Arial"/>
          <w:sz w:val="22"/>
        </w:rPr>
      </w:pPr>
      <w:r w:rsidRPr="003C7BF8">
        <w:rPr>
          <w:rFonts w:ascii="Arial" w:hAnsi="Arial" w:cs="Arial"/>
          <w:sz w:val="22"/>
        </w:rPr>
        <w:t xml:space="preserve">World Health Organization (2023) </w:t>
      </w:r>
      <w:r w:rsidRPr="003C7BF8">
        <w:rPr>
          <w:rFonts w:ascii="Arial" w:hAnsi="Arial" w:cs="Arial"/>
          <w:i/>
          <w:iCs/>
          <w:sz w:val="22"/>
        </w:rPr>
        <w:t xml:space="preserve">Mental Health Gap Action </w:t>
      </w:r>
      <w:proofErr w:type="spellStart"/>
      <w:r w:rsidRPr="003C7BF8">
        <w:rPr>
          <w:rFonts w:ascii="Arial" w:hAnsi="Arial" w:cs="Arial"/>
          <w:i/>
          <w:iCs/>
          <w:sz w:val="22"/>
        </w:rPr>
        <w:t>Programme</w:t>
      </w:r>
      <w:proofErr w:type="spellEnd"/>
      <w:r w:rsidRPr="003C7BF8">
        <w:rPr>
          <w:rFonts w:ascii="Arial" w:hAnsi="Arial" w:cs="Arial"/>
          <w:i/>
          <w:iCs/>
          <w:sz w:val="22"/>
        </w:rPr>
        <w:t xml:space="preserve"> (</w:t>
      </w:r>
      <w:proofErr w:type="spellStart"/>
      <w:r w:rsidRPr="003C7BF8">
        <w:rPr>
          <w:rFonts w:ascii="Arial" w:hAnsi="Arial" w:cs="Arial"/>
          <w:i/>
          <w:iCs/>
          <w:sz w:val="22"/>
        </w:rPr>
        <w:t>mhGAP</w:t>
      </w:r>
      <w:proofErr w:type="spellEnd"/>
      <w:r w:rsidRPr="003C7BF8">
        <w:rPr>
          <w:rFonts w:ascii="Arial" w:hAnsi="Arial" w:cs="Arial"/>
          <w:i/>
          <w:iCs/>
          <w:sz w:val="22"/>
        </w:rPr>
        <w:t>) Intervention Guide.</w:t>
      </w:r>
      <w:r w:rsidRPr="003C7BF8">
        <w:rPr>
          <w:rFonts w:ascii="Arial" w:hAnsi="Arial" w:cs="Arial"/>
          <w:sz w:val="22"/>
        </w:rPr>
        <w:t xml:space="preserve"> Geneva: WHO.</w:t>
      </w:r>
    </w:p>
    <w:p w14:paraId="64C4A71C" w14:textId="4FACE0A4" w:rsidR="001F7415" w:rsidRPr="000E332B" w:rsidRDefault="000E75DE" w:rsidP="003A6B89">
      <w:pPr>
        <w:widowControl w:val="0"/>
        <w:autoSpaceDE w:val="0"/>
        <w:autoSpaceDN w:val="0"/>
        <w:adjustRightInd w:val="0"/>
        <w:spacing w:after="240" w:line="360" w:lineRule="auto"/>
        <w:ind w:left="720" w:hanging="720"/>
        <w:rPr>
          <w:rFonts w:cs="Times New Roman"/>
        </w:rPr>
      </w:pPr>
      <w:r w:rsidRPr="003C7BF8">
        <w:rPr>
          <w:rFonts w:ascii="Arial" w:hAnsi="Arial" w:cs="Arial"/>
          <w:sz w:val="22"/>
        </w:rPr>
        <w:t xml:space="preserve">Yadav, G. and </w:t>
      </w:r>
      <w:proofErr w:type="spellStart"/>
      <w:r w:rsidRPr="003C7BF8">
        <w:rPr>
          <w:rFonts w:ascii="Arial" w:hAnsi="Arial" w:cs="Arial"/>
          <w:sz w:val="22"/>
        </w:rPr>
        <w:t>Gunturu</w:t>
      </w:r>
      <w:proofErr w:type="spellEnd"/>
      <w:r w:rsidRPr="003C7BF8">
        <w:rPr>
          <w:rFonts w:ascii="Arial" w:hAnsi="Arial" w:cs="Arial"/>
          <w:sz w:val="22"/>
        </w:rPr>
        <w:t xml:space="preserve">, S. (2024). </w:t>
      </w:r>
      <w:r w:rsidRPr="003C7BF8">
        <w:rPr>
          <w:rFonts w:ascii="Arial" w:hAnsi="Arial" w:cs="Arial"/>
          <w:i/>
          <w:iCs/>
          <w:sz w:val="22"/>
        </w:rPr>
        <w:t>Trauma-Informed therapy</w:t>
      </w:r>
      <w:r w:rsidRPr="003C7BF8">
        <w:rPr>
          <w:rFonts w:ascii="Arial" w:hAnsi="Arial" w:cs="Arial"/>
          <w:sz w:val="22"/>
        </w:rPr>
        <w:t xml:space="preserve">. [online] PubMed. Available at: </w:t>
      </w:r>
      <w:hyperlink r:id="rId26" w:history="1">
        <w:r w:rsidRPr="003C7BF8">
          <w:rPr>
            <w:rFonts w:ascii="Arial" w:hAnsi="Arial" w:cs="Arial"/>
            <w:sz w:val="22"/>
          </w:rPr>
          <w:t>https://www.ncbi.nlm.nih.gov/books/NBK604200/</w:t>
        </w:r>
      </w:hyperlink>
      <w:r w:rsidRPr="000E332B">
        <w:rPr>
          <w:rFonts w:cs="Times New Roman"/>
        </w:rPr>
        <w:t xml:space="preserve">.    </w:t>
      </w:r>
    </w:p>
    <w:sectPr w:rsidR="001F7415" w:rsidRPr="000E33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F626A"/>
    <w:multiLevelType w:val="hybridMultilevel"/>
    <w:tmpl w:val="ECC4A762"/>
    <w:lvl w:ilvl="0" w:tplc="FFFFFFFF">
      <w:start w:val="5"/>
      <w:numFmt w:val="decimal"/>
      <w:lvlText w:val="%1"/>
      <w:lvlJc w:val="left"/>
      <w:pPr>
        <w:ind w:left="421" w:hanging="360"/>
      </w:pPr>
      <w:rPr>
        <w:rFonts w:hint="default"/>
      </w:rPr>
    </w:lvl>
    <w:lvl w:ilvl="1" w:tplc="04090019" w:tentative="1">
      <w:start w:val="1"/>
      <w:numFmt w:val="lowerLetter"/>
      <w:lvlText w:val="%2."/>
      <w:lvlJc w:val="left"/>
      <w:pPr>
        <w:ind w:left="1141" w:hanging="360"/>
      </w:pPr>
    </w:lvl>
    <w:lvl w:ilvl="2" w:tplc="0409001B" w:tentative="1">
      <w:start w:val="1"/>
      <w:numFmt w:val="lowerRoman"/>
      <w:lvlText w:val="%3."/>
      <w:lvlJc w:val="right"/>
      <w:pPr>
        <w:ind w:left="1861" w:hanging="180"/>
      </w:pPr>
    </w:lvl>
    <w:lvl w:ilvl="3" w:tplc="0409000F" w:tentative="1">
      <w:start w:val="1"/>
      <w:numFmt w:val="decimal"/>
      <w:lvlText w:val="%4."/>
      <w:lvlJc w:val="left"/>
      <w:pPr>
        <w:ind w:left="2581" w:hanging="360"/>
      </w:pPr>
    </w:lvl>
    <w:lvl w:ilvl="4" w:tplc="04090019" w:tentative="1">
      <w:start w:val="1"/>
      <w:numFmt w:val="lowerLetter"/>
      <w:lvlText w:val="%5."/>
      <w:lvlJc w:val="left"/>
      <w:pPr>
        <w:ind w:left="3301" w:hanging="360"/>
      </w:pPr>
    </w:lvl>
    <w:lvl w:ilvl="5" w:tplc="0409001B" w:tentative="1">
      <w:start w:val="1"/>
      <w:numFmt w:val="lowerRoman"/>
      <w:lvlText w:val="%6."/>
      <w:lvlJc w:val="right"/>
      <w:pPr>
        <w:ind w:left="4021" w:hanging="180"/>
      </w:pPr>
    </w:lvl>
    <w:lvl w:ilvl="6" w:tplc="0409000F" w:tentative="1">
      <w:start w:val="1"/>
      <w:numFmt w:val="decimal"/>
      <w:lvlText w:val="%7."/>
      <w:lvlJc w:val="left"/>
      <w:pPr>
        <w:ind w:left="4741" w:hanging="360"/>
      </w:pPr>
    </w:lvl>
    <w:lvl w:ilvl="7" w:tplc="04090019" w:tentative="1">
      <w:start w:val="1"/>
      <w:numFmt w:val="lowerLetter"/>
      <w:lvlText w:val="%8."/>
      <w:lvlJc w:val="left"/>
      <w:pPr>
        <w:ind w:left="5461" w:hanging="360"/>
      </w:pPr>
    </w:lvl>
    <w:lvl w:ilvl="8" w:tplc="0409001B" w:tentative="1">
      <w:start w:val="1"/>
      <w:numFmt w:val="lowerRoman"/>
      <w:lvlText w:val="%9."/>
      <w:lvlJc w:val="right"/>
      <w:pPr>
        <w:ind w:left="6181" w:hanging="180"/>
      </w:pPr>
    </w:lvl>
  </w:abstractNum>
  <w:abstractNum w:abstractNumId="1" w15:restartNumberingAfterBreak="0">
    <w:nsid w:val="148D26F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6BA0A75"/>
    <w:multiLevelType w:val="hybridMultilevel"/>
    <w:tmpl w:val="C97AC1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424F30"/>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728" w:hanging="360"/>
      </w:pPr>
      <w:rPr>
        <w:rFonts w:hint="default"/>
      </w:rPr>
    </w:lvl>
    <w:lvl w:ilvl="2">
      <w:start w:val="1"/>
      <w:numFmt w:val="decimal"/>
      <w:lvlText w:val="%1.%2.%3"/>
      <w:lvlJc w:val="left"/>
      <w:pPr>
        <w:ind w:left="1456" w:hanging="720"/>
      </w:pPr>
      <w:rPr>
        <w:rFonts w:hint="default"/>
      </w:rPr>
    </w:lvl>
    <w:lvl w:ilvl="3">
      <w:start w:val="1"/>
      <w:numFmt w:val="decimal"/>
      <w:lvlText w:val="%1.%2.%3.%4"/>
      <w:lvlJc w:val="left"/>
      <w:pPr>
        <w:ind w:left="1824" w:hanging="720"/>
      </w:pPr>
      <w:rPr>
        <w:rFonts w:hint="default"/>
      </w:rPr>
    </w:lvl>
    <w:lvl w:ilvl="4">
      <w:start w:val="1"/>
      <w:numFmt w:val="decimal"/>
      <w:lvlText w:val="%1.%2.%3.%4.%5"/>
      <w:lvlJc w:val="left"/>
      <w:pPr>
        <w:ind w:left="2552" w:hanging="1080"/>
      </w:pPr>
      <w:rPr>
        <w:rFonts w:hint="default"/>
      </w:rPr>
    </w:lvl>
    <w:lvl w:ilvl="5">
      <w:start w:val="1"/>
      <w:numFmt w:val="decimal"/>
      <w:lvlText w:val="%1.%2.%3.%4.%5.%6"/>
      <w:lvlJc w:val="left"/>
      <w:pPr>
        <w:ind w:left="2920" w:hanging="1080"/>
      </w:pPr>
      <w:rPr>
        <w:rFonts w:hint="default"/>
      </w:rPr>
    </w:lvl>
    <w:lvl w:ilvl="6">
      <w:start w:val="1"/>
      <w:numFmt w:val="decimal"/>
      <w:lvlText w:val="%1.%2.%3.%4.%5.%6.%7"/>
      <w:lvlJc w:val="left"/>
      <w:pPr>
        <w:ind w:left="3648" w:hanging="1440"/>
      </w:pPr>
      <w:rPr>
        <w:rFonts w:hint="default"/>
      </w:rPr>
    </w:lvl>
    <w:lvl w:ilvl="7">
      <w:start w:val="1"/>
      <w:numFmt w:val="decimal"/>
      <w:lvlText w:val="%1.%2.%3.%4.%5.%6.%7.%8"/>
      <w:lvlJc w:val="left"/>
      <w:pPr>
        <w:ind w:left="4016" w:hanging="1440"/>
      </w:pPr>
      <w:rPr>
        <w:rFonts w:hint="default"/>
      </w:rPr>
    </w:lvl>
    <w:lvl w:ilvl="8">
      <w:start w:val="1"/>
      <w:numFmt w:val="decimal"/>
      <w:lvlText w:val="%1.%2.%3.%4.%5.%6.%7.%8.%9"/>
      <w:lvlJc w:val="left"/>
      <w:pPr>
        <w:ind w:left="4744" w:hanging="1800"/>
      </w:pPr>
      <w:rPr>
        <w:rFonts w:hint="default"/>
      </w:rPr>
    </w:lvl>
  </w:abstractNum>
  <w:abstractNum w:abstractNumId="4" w15:restartNumberingAfterBreak="0">
    <w:nsid w:val="1C4F4107"/>
    <w:multiLevelType w:val="hybridMultilevel"/>
    <w:tmpl w:val="DF126F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4E7C8E"/>
    <w:multiLevelType w:val="multilevel"/>
    <w:tmpl w:val="5720D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0A089B"/>
    <w:multiLevelType w:val="multilevel"/>
    <w:tmpl w:val="A9468066"/>
    <w:lvl w:ilvl="0">
      <w:start w:val="1"/>
      <w:numFmt w:val="decimal"/>
      <w:lvlText w:val="%1."/>
      <w:lvlJc w:val="left"/>
      <w:pPr>
        <w:ind w:left="720" w:hanging="360"/>
      </w:pPr>
      <w:rPr>
        <w:rFonts w:hint="default"/>
      </w:rPr>
    </w:lvl>
    <w:lvl w:ilvl="1">
      <w:start w:val="1"/>
      <w:numFmt w:val="decimal"/>
      <w:isLgl/>
      <w:lvlText w:val="%1.%2"/>
      <w:lvlJc w:val="left"/>
      <w:pPr>
        <w:ind w:left="1082" w:hanging="36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2CD76388"/>
    <w:multiLevelType w:val="multilevel"/>
    <w:tmpl w:val="2818716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33C2FC6"/>
    <w:multiLevelType w:val="multilevel"/>
    <w:tmpl w:val="0DCE17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EB09B8"/>
    <w:multiLevelType w:val="multilevel"/>
    <w:tmpl w:val="F6584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4D2FA0"/>
    <w:multiLevelType w:val="multilevel"/>
    <w:tmpl w:val="AF026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E60086"/>
    <w:multiLevelType w:val="multilevel"/>
    <w:tmpl w:val="A1444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BA23BD"/>
    <w:multiLevelType w:val="multilevel"/>
    <w:tmpl w:val="72B88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6B0E0E"/>
    <w:multiLevelType w:val="multilevel"/>
    <w:tmpl w:val="AAFAA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3A7EBA"/>
    <w:multiLevelType w:val="multilevel"/>
    <w:tmpl w:val="1116F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1261DE"/>
    <w:multiLevelType w:val="multilevel"/>
    <w:tmpl w:val="AEFA1E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5C125FDA"/>
    <w:multiLevelType w:val="hybridMultilevel"/>
    <w:tmpl w:val="6E589340"/>
    <w:lvl w:ilvl="0" w:tplc="FFFFFFFF">
      <w:start w:val="1"/>
      <w:numFmt w:val="decimal"/>
      <w:lvlText w:val="%1"/>
      <w:lvlJc w:val="left"/>
      <w:pPr>
        <w:ind w:left="421" w:hanging="360"/>
      </w:pPr>
      <w:rPr>
        <w:rFonts w:hint="default"/>
      </w:rPr>
    </w:lvl>
    <w:lvl w:ilvl="1" w:tplc="04090019" w:tentative="1">
      <w:start w:val="1"/>
      <w:numFmt w:val="lowerLetter"/>
      <w:lvlText w:val="%2."/>
      <w:lvlJc w:val="left"/>
      <w:pPr>
        <w:ind w:left="1141" w:hanging="360"/>
      </w:pPr>
    </w:lvl>
    <w:lvl w:ilvl="2" w:tplc="0409001B" w:tentative="1">
      <w:start w:val="1"/>
      <w:numFmt w:val="lowerRoman"/>
      <w:lvlText w:val="%3."/>
      <w:lvlJc w:val="right"/>
      <w:pPr>
        <w:ind w:left="1861" w:hanging="180"/>
      </w:pPr>
    </w:lvl>
    <w:lvl w:ilvl="3" w:tplc="0409000F" w:tentative="1">
      <w:start w:val="1"/>
      <w:numFmt w:val="decimal"/>
      <w:lvlText w:val="%4."/>
      <w:lvlJc w:val="left"/>
      <w:pPr>
        <w:ind w:left="2581" w:hanging="360"/>
      </w:pPr>
    </w:lvl>
    <w:lvl w:ilvl="4" w:tplc="04090019" w:tentative="1">
      <w:start w:val="1"/>
      <w:numFmt w:val="lowerLetter"/>
      <w:lvlText w:val="%5."/>
      <w:lvlJc w:val="left"/>
      <w:pPr>
        <w:ind w:left="3301" w:hanging="360"/>
      </w:pPr>
    </w:lvl>
    <w:lvl w:ilvl="5" w:tplc="0409001B" w:tentative="1">
      <w:start w:val="1"/>
      <w:numFmt w:val="lowerRoman"/>
      <w:lvlText w:val="%6."/>
      <w:lvlJc w:val="right"/>
      <w:pPr>
        <w:ind w:left="4021" w:hanging="180"/>
      </w:pPr>
    </w:lvl>
    <w:lvl w:ilvl="6" w:tplc="0409000F" w:tentative="1">
      <w:start w:val="1"/>
      <w:numFmt w:val="decimal"/>
      <w:lvlText w:val="%7."/>
      <w:lvlJc w:val="left"/>
      <w:pPr>
        <w:ind w:left="4741" w:hanging="360"/>
      </w:pPr>
    </w:lvl>
    <w:lvl w:ilvl="7" w:tplc="04090019" w:tentative="1">
      <w:start w:val="1"/>
      <w:numFmt w:val="lowerLetter"/>
      <w:lvlText w:val="%8."/>
      <w:lvlJc w:val="left"/>
      <w:pPr>
        <w:ind w:left="5461" w:hanging="360"/>
      </w:pPr>
    </w:lvl>
    <w:lvl w:ilvl="8" w:tplc="0409001B" w:tentative="1">
      <w:start w:val="1"/>
      <w:numFmt w:val="lowerRoman"/>
      <w:lvlText w:val="%9."/>
      <w:lvlJc w:val="right"/>
      <w:pPr>
        <w:ind w:left="6181" w:hanging="180"/>
      </w:pPr>
    </w:lvl>
  </w:abstractNum>
  <w:abstractNum w:abstractNumId="17" w15:restartNumberingAfterBreak="0">
    <w:nsid w:val="5EAF25AA"/>
    <w:multiLevelType w:val="hybridMultilevel"/>
    <w:tmpl w:val="49303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0E57681"/>
    <w:multiLevelType w:val="multilevel"/>
    <w:tmpl w:val="17CC5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74428E"/>
    <w:multiLevelType w:val="multilevel"/>
    <w:tmpl w:val="742E85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78BD3084"/>
    <w:multiLevelType w:val="multilevel"/>
    <w:tmpl w:val="2818716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79B034CE"/>
    <w:multiLevelType w:val="multilevel"/>
    <w:tmpl w:val="04962D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A94656"/>
    <w:multiLevelType w:val="multilevel"/>
    <w:tmpl w:val="36E2E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3090877">
    <w:abstractNumId w:val="19"/>
  </w:num>
  <w:num w:numId="2" w16cid:durableId="798256390">
    <w:abstractNumId w:val="19"/>
  </w:num>
  <w:num w:numId="3" w16cid:durableId="735519379">
    <w:abstractNumId w:val="15"/>
  </w:num>
  <w:num w:numId="4" w16cid:durableId="1305309923">
    <w:abstractNumId w:val="15"/>
  </w:num>
  <w:num w:numId="5" w16cid:durableId="93481525">
    <w:abstractNumId w:val="11"/>
  </w:num>
  <w:num w:numId="6" w16cid:durableId="1374186094">
    <w:abstractNumId w:val="21"/>
  </w:num>
  <w:num w:numId="7" w16cid:durableId="1408308014">
    <w:abstractNumId w:val="8"/>
  </w:num>
  <w:num w:numId="8" w16cid:durableId="1668828632">
    <w:abstractNumId w:val="12"/>
  </w:num>
  <w:num w:numId="9" w16cid:durableId="1342858731">
    <w:abstractNumId w:val="9"/>
  </w:num>
  <w:num w:numId="10" w16cid:durableId="2019888594">
    <w:abstractNumId w:val="18"/>
  </w:num>
  <w:num w:numId="11" w16cid:durableId="1470511317">
    <w:abstractNumId w:val="5"/>
  </w:num>
  <w:num w:numId="12" w16cid:durableId="1243181741">
    <w:abstractNumId w:val="10"/>
  </w:num>
  <w:num w:numId="13" w16cid:durableId="1971742009">
    <w:abstractNumId w:val="13"/>
  </w:num>
  <w:num w:numId="14" w16cid:durableId="1524709381">
    <w:abstractNumId w:val="22"/>
  </w:num>
  <w:num w:numId="15" w16cid:durableId="1129396145">
    <w:abstractNumId w:val="14"/>
  </w:num>
  <w:num w:numId="16" w16cid:durableId="1942377968">
    <w:abstractNumId w:val="4"/>
  </w:num>
  <w:num w:numId="17" w16cid:durableId="1336498186">
    <w:abstractNumId w:val="1"/>
  </w:num>
  <w:num w:numId="18" w16cid:durableId="749540432">
    <w:abstractNumId w:val="20"/>
  </w:num>
  <w:num w:numId="19" w16cid:durableId="928124817">
    <w:abstractNumId w:val="7"/>
  </w:num>
  <w:num w:numId="20" w16cid:durableId="360667741">
    <w:abstractNumId w:val="17"/>
  </w:num>
  <w:num w:numId="21" w16cid:durableId="2041318542">
    <w:abstractNumId w:val="2"/>
  </w:num>
  <w:num w:numId="22" w16cid:durableId="1163736174">
    <w:abstractNumId w:val="6"/>
  </w:num>
  <w:num w:numId="23" w16cid:durableId="1056930606">
    <w:abstractNumId w:val="0"/>
  </w:num>
  <w:num w:numId="24" w16cid:durableId="188883023">
    <w:abstractNumId w:val="16"/>
  </w:num>
  <w:num w:numId="25" w16cid:durableId="5147352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18B"/>
    <w:rsid w:val="00000AF4"/>
    <w:rsid w:val="0000495B"/>
    <w:rsid w:val="000201C0"/>
    <w:rsid w:val="000331DC"/>
    <w:rsid w:val="000420FF"/>
    <w:rsid w:val="000473AB"/>
    <w:rsid w:val="00060D25"/>
    <w:rsid w:val="00062C4D"/>
    <w:rsid w:val="00090D17"/>
    <w:rsid w:val="000A065B"/>
    <w:rsid w:val="000B1F77"/>
    <w:rsid w:val="000E332B"/>
    <w:rsid w:val="000E75DE"/>
    <w:rsid w:val="00120196"/>
    <w:rsid w:val="001202AA"/>
    <w:rsid w:val="00137301"/>
    <w:rsid w:val="00173EDF"/>
    <w:rsid w:val="00183D20"/>
    <w:rsid w:val="001914C8"/>
    <w:rsid w:val="00194EF6"/>
    <w:rsid w:val="001B718B"/>
    <w:rsid w:val="001B7D1E"/>
    <w:rsid w:val="001C438C"/>
    <w:rsid w:val="001D2D7F"/>
    <w:rsid w:val="001F5EB9"/>
    <w:rsid w:val="001F68D4"/>
    <w:rsid w:val="001F7415"/>
    <w:rsid w:val="00233B3E"/>
    <w:rsid w:val="00251DF4"/>
    <w:rsid w:val="00273EBC"/>
    <w:rsid w:val="0029088E"/>
    <w:rsid w:val="00294C9A"/>
    <w:rsid w:val="002951CB"/>
    <w:rsid w:val="002B12C3"/>
    <w:rsid w:val="002B5DF3"/>
    <w:rsid w:val="002E220C"/>
    <w:rsid w:val="003008B0"/>
    <w:rsid w:val="00304748"/>
    <w:rsid w:val="00305286"/>
    <w:rsid w:val="003104CF"/>
    <w:rsid w:val="00333B70"/>
    <w:rsid w:val="00373F8D"/>
    <w:rsid w:val="00385264"/>
    <w:rsid w:val="003A5C57"/>
    <w:rsid w:val="003A6B89"/>
    <w:rsid w:val="003C7BF8"/>
    <w:rsid w:val="003F5792"/>
    <w:rsid w:val="00404CCB"/>
    <w:rsid w:val="0041719D"/>
    <w:rsid w:val="00443D4E"/>
    <w:rsid w:val="00447226"/>
    <w:rsid w:val="0044725B"/>
    <w:rsid w:val="00450076"/>
    <w:rsid w:val="00455704"/>
    <w:rsid w:val="00460C18"/>
    <w:rsid w:val="004748B5"/>
    <w:rsid w:val="004E2324"/>
    <w:rsid w:val="004E6E70"/>
    <w:rsid w:val="004F0ACE"/>
    <w:rsid w:val="005034DB"/>
    <w:rsid w:val="00506A1A"/>
    <w:rsid w:val="0052325A"/>
    <w:rsid w:val="005311E3"/>
    <w:rsid w:val="00554FB8"/>
    <w:rsid w:val="00560713"/>
    <w:rsid w:val="00572AD6"/>
    <w:rsid w:val="00576427"/>
    <w:rsid w:val="005D1D09"/>
    <w:rsid w:val="005D42B0"/>
    <w:rsid w:val="005F2BCB"/>
    <w:rsid w:val="005F343E"/>
    <w:rsid w:val="00612B2A"/>
    <w:rsid w:val="006131C3"/>
    <w:rsid w:val="006614C6"/>
    <w:rsid w:val="0068681C"/>
    <w:rsid w:val="0069517E"/>
    <w:rsid w:val="006C1C13"/>
    <w:rsid w:val="006D6DB3"/>
    <w:rsid w:val="00705892"/>
    <w:rsid w:val="00711CC8"/>
    <w:rsid w:val="00714E88"/>
    <w:rsid w:val="00723ADE"/>
    <w:rsid w:val="0072607C"/>
    <w:rsid w:val="007409D8"/>
    <w:rsid w:val="00745730"/>
    <w:rsid w:val="007539C4"/>
    <w:rsid w:val="00760A0F"/>
    <w:rsid w:val="007650D8"/>
    <w:rsid w:val="007A2C2E"/>
    <w:rsid w:val="007B35D6"/>
    <w:rsid w:val="007D7927"/>
    <w:rsid w:val="007E1CCD"/>
    <w:rsid w:val="008013AD"/>
    <w:rsid w:val="00823600"/>
    <w:rsid w:val="00833570"/>
    <w:rsid w:val="0086096A"/>
    <w:rsid w:val="00873E6C"/>
    <w:rsid w:val="00894B38"/>
    <w:rsid w:val="008C001B"/>
    <w:rsid w:val="008F1891"/>
    <w:rsid w:val="008F6FC0"/>
    <w:rsid w:val="009042E1"/>
    <w:rsid w:val="00916D98"/>
    <w:rsid w:val="00922494"/>
    <w:rsid w:val="00924373"/>
    <w:rsid w:val="009306E1"/>
    <w:rsid w:val="00933534"/>
    <w:rsid w:val="00971CE2"/>
    <w:rsid w:val="0099676F"/>
    <w:rsid w:val="009B160C"/>
    <w:rsid w:val="00A73389"/>
    <w:rsid w:val="00A7511B"/>
    <w:rsid w:val="00AA50B0"/>
    <w:rsid w:val="00AC2EB2"/>
    <w:rsid w:val="00AD5903"/>
    <w:rsid w:val="00AE1679"/>
    <w:rsid w:val="00AF10B8"/>
    <w:rsid w:val="00AF331B"/>
    <w:rsid w:val="00AF367B"/>
    <w:rsid w:val="00B122E1"/>
    <w:rsid w:val="00B16AF4"/>
    <w:rsid w:val="00B361BA"/>
    <w:rsid w:val="00BA1D69"/>
    <w:rsid w:val="00BA576F"/>
    <w:rsid w:val="00C000EC"/>
    <w:rsid w:val="00C10320"/>
    <w:rsid w:val="00C1745B"/>
    <w:rsid w:val="00C4325B"/>
    <w:rsid w:val="00C46735"/>
    <w:rsid w:val="00C73B28"/>
    <w:rsid w:val="00C83A1B"/>
    <w:rsid w:val="00C91A72"/>
    <w:rsid w:val="00CB7642"/>
    <w:rsid w:val="00CE2689"/>
    <w:rsid w:val="00CE3E17"/>
    <w:rsid w:val="00D079BF"/>
    <w:rsid w:val="00D13908"/>
    <w:rsid w:val="00D17348"/>
    <w:rsid w:val="00D3063E"/>
    <w:rsid w:val="00D44114"/>
    <w:rsid w:val="00D64A40"/>
    <w:rsid w:val="00D6570B"/>
    <w:rsid w:val="00D7092A"/>
    <w:rsid w:val="00D70EFB"/>
    <w:rsid w:val="00D77229"/>
    <w:rsid w:val="00D9570C"/>
    <w:rsid w:val="00DA1AC9"/>
    <w:rsid w:val="00DD31BF"/>
    <w:rsid w:val="00DD743C"/>
    <w:rsid w:val="00E21982"/>
    <w:rsid w:val="00E22A89"/>
    <w:rsid w:val="00E564FE"/>
    <w:rsid w:val="00E6037D"/>
    <w:rsid w:val="00E94A77"/>
    <w:rsid w:val="00E95005"/>
    <w:rsid w:val="00E96EF0"/>
    <w:rsid w:val="00E97F83"/>
    <w:rsid w:val="00EB1D5C"/>
    <w:rsid w:val="00EB7811"/>
    <w:rsid w:val="00ED0BF9"/>
    <w:rsid w:val="00ED0C33"/>
    <w:rsid w:val="00F330C7"/>
    <w:rsid w:val="00F47A81"/>
    <w:rsid w:val="00F67605"/>
    <w:rsid w:val="00F801B9"/>
    <w:rsid w:val="00FB62F5"/>
    <w:rsid w:val="00FE75D0"/>
    <w:rsid w:val="00FF1E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36D1A"/>
  <w15:chartTrackingRefBased/>
  <w15:docId w15:val="{042F3272-AE0C-4672-8DC3-08E9F7A3D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730"/>
    <w:rPr>
      <w:rFonts w:ascii="Times New Roman" w:hAnsi="Times New Roman"/>
      <w:sz w:val="24"/>
    </w:rPr>
  </w:style>
  <w:style w:type="paragraph" w:styleId="Heading1">
    <w:name w:val="heading 1"/>
    <w:basedOn w:val="Normal"/>
    <w:next w:val="Normal"/>
    <w:link w:val="Heading1Char"/>
    <w:autoRedefine/>
    <w:uiPriority w:val="9"/>
    <w:qFormat/>
    <w:rsid w:val="008C001B"/>
    <w:pPr>
      <w:keepNext/>
      <w:keepLines/>
      <w:numPr>
        <w:numId w:val="17"/>
      </w:numPr>
      <w:spacing w:before="480" w:after="240" w:line="276"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4748B5"/>
    <w:pPr>
      <w:keepNext/>
      <w:keepLines/>
      <w:numPr>
        <w:ilvl w:val="1"/>
        <w:numId w:val="17"/>
      </w:numPr>
      <w:spacing w:before="320" w:after="120" w:line="276" w:lineRule="auto"/>
      <w:outlineLvl w:val="1"/>
    </w:pPr>
    <w:rPr>
      <w:rFonts w:eastAsiaTheme="majorEastAsia" w:cs="Arial"/>
      <w:b/>
      <w:bCs/>
      <w:i/>
      <w:szCs w:val="26"/>
    </w:rPr>
  </w:style>
  <w:style w:type="paragraph" w:styleId="Heading3">
    <w:name w:val="heading 3"/>
    <w:basedOn w:val="Normal"/>
    <w:next w:val="Normal"/>
    <w:link w:val="Heading3Char"/>
    <w:autoRedefine/>
    <w:uiPriority w:val="9"/>
    <w:unhideWhenUsed/>
    <w:qFormat/>
    <w:rsid w:val="007B35D6"/>
    <w:pPr>
      <w:keepNext/>
      <w:keepLines/>
      <w:numPr>
        <w:ilvl w:val="2"/>
        <w:numId w:val="17"/>
      </w:numPr>
      <w:spacing w:before="160" w:after="120" w:line="360" w:lineRule="auto"/>
      <w:jc w:val="both"/>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1B718B"/>
    <w:pPr>
      <w:keepNext/>
      <w:keepLines/>
      <w:numPr>
        <w:ilvl w:val="3"/>
        <w:numId w:val="1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718B"/>
    <w:pPr>
      <w:keepNext/>
      <w:keepLines/>
      <w:numPr>
        <w:ilvl w:val="4"/>
        <w:numId w:val="17"/>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718B"/>
    <w:pPr>
      <w:keepNext/>
      <w:keepLines/>
      <w:numPr>
        <w:ilvl w:val="5"/>
        <w:numId w:val="1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18B"/>
    <w:pPr>
      <w:keepNext/>
      <w:keepLines/>
      <w:numPr>
        <w:ilvl w:val="6"/>
        <w:numId w:val="1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18B"/>
    <w:pPr>
      <w:keepNext/>
      <w:keepLines/>
      <w:numPr>
        <w:ilvl w:val="7"/>
        <w:numId w:val="1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18B"/>
    <w:pPr>
      <w:keepNext/>
      <w:keepLines/>
      <w:numPr>
        <w:ilvl w:val="8"/>
        <w:numId w:val="1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48B5"/>
    <w:rPr>
      <w:rFonts w:ascii="Times New Roman" w:eastAsiaTheme="majorEastAsia" w:hAnsi="Times New Roman" w:cs="Arial"/>
      <w:b/>
      <w:bCs/>
      <w:i/>
      <w:sz w:val="24"/>
      <w:szCs w:val="26"/>
    </w:rPr>
  </w:style>
  <w:style w:type="character" w:customStyle="1" w:styleId="Heading3Char">
    <w:name w:val="Heading 3 Char"/>
    <w:basedOn w:val="DefaultParagraphFont"/>
    <w:link w:val="Heading3"/>
    <w:uiPriority w:val="9"/>
    <w:rsid w:val="007B35D6"/>
    <w:rPr>
      <w:rFonts w:ascii="Times New Roman" w:eastAsiaTheme="majorEastAsia" w:hAnsi="Times New Roman" w:cstheme="majorBidi"/>
      <w:i/>
      <w:sz w:val="24"/>
      <w:szCs w:val="24"/>
    </w:rPr>
  </w:style>
  <w:style w:type="character" w:customStyle="1" w:styleId="Heading1Char">
    <w:name w:val="Heading 1 Char"/>
    <w:basedOn w:val="DefaultParagraphFont"/>
    <w:link w:val="Heading1"/>
    <w:uiPriority w:val="9"/>
    <w:rsid w:val="008C001B"/>
    <w:rPr>
      <w:rFonts w:ascii="Times New Roman" w:eastAsiaTheme="majorEastAsia" w:hAnsi="Times New Roman" w:cs="Times New Roman"/>
      <w:b/>
      <w:bCs/>
      <w:sz w:val="24"/>
      <w:szCs w:val="24"/>
    </w:rPr>
  </w:style>
  <w:style w:type="character" w:customStyle="1" w:styleId="Heading4Char">
    <w:name w:val="Heading 4 Char"/>
    <w:basedOn w:val="DefaultParagraphFont"/>
    <w:link w:val="Heading4"/>
    <w:uiPriority w:val="9"/>
    <w:semiHidden/>
    <w:rsid w:val="001B7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7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7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18B"/>
    <w:rPr>
      <w:rFonts w:eastAsiaTheme="majorEastAsia" w:cstheme="majorBidi"/>
      <w:color w:val="272727" w:themeColor="text1" w:themeTint="D8"/>
    </w:rPr>
  </w:style>
  <w:style w:type="paragraph" w:styleId="Title">
    <w:name w:val="Title"/>
    <w:basedOn w:val="Normal"/>
    <w:next w:val="Normal"/>
    <w:link w:val="TitleChar"/>
    <w:uiPriority w:val="10"/>
    <w:qFormat/>
    <w:rsid w:val="001B7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18B"/>
    <w:pPr>
      <w:spacing w:before="160"/>
      <w:jc w:val="center"/>
    </w:pPr>
    <w:rPr>
      <w:i/>
      <w:iCs/>
      <w:color w:val="404040" w:themeColor="text1" w:themeTint="BF"/>
    </w:rPr>
  </w:style>
  <w:style w:type="character" w:customStyle="1" w:styleId="QuoteChar">
    <w:name w:val="Quote Char"/>
    <w:basedOn w:val="DefaultParagraphFont"/>
    <w:link w:val="Quote"/>
    <w:uiPriority w:val="29"/>
    <w:rsid w:val="001B718B"/>
    <w:rPr>
      <w:i/>
      <w:iCs/>
      <w:color w:val="404040" w:themeColor="text1" w:themeTint="BF"/>
    </w:rPr>
  </w:style>
  <w:style w:type="paragraph" w:styleId="ListParagraph">
    <w:name w:val="List Paragraph"/>
    <w:basedOn w:val="Normal"/>
    <w:uiPriority w:val="34"/>
    <w:qFormat/>
    <w:rsid w:val="001B718B"/>
    <w:pPr>
      <w:ind w:left="720"/>
      <w:contextualSpacing/>
    </w:pPr>
  </w:style>
  <w:style w:type="character" w:styleId="IntenseEmphasis">
    <w:name w:val="Intense Emphasis"/>
    <w:basedOn w:val="DefaultParagraphFont"/>
    <w:uiPriority w:val="21"/>
    <w:qFormat/>
    <w:rsid w:val="001B718B"/>
    <w:rPr>
      <w:i/>
      <w:iCs/>
      <w:color w:val="0F4761" w:themeColor="accent1" w:themeShade="BF"/>
    </w:rPr>
  </w:style>
  <w:style w:type="paragraph" w:styleId="IntenseQuote">
    <w:name w:val="Intense Quote"/>
    <w:basedOn w:val="Normal"/>
    <w:next w:val="Normal"/>
    <w:link w:val="IntenseQuoteChar"/>
    <w:uiPriority w:val="30"/>
    <w:qFormat/>
    <w:rsid w:val="001B7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718B"/>
    <w:rPr>
      <w:i/>
      <w:iCs/>
      <w:color w:val="0F4761" w:themeColor="accent1" w:themeShade="BF"/>
    </w:rPr>
  </w:style>
  <w:style w:type="character" w:styleId="IntenseReference">
    <w:name w:val="Intense Reference"/>
    <w:basedOn w:val="DefaultParagraphFont"/>
    <w:uiPriority w:val="32"/>
    <w:qFormat/>
    <w:rsid w:val="001B718B"/>
    <w:rPr>
      <w:b/>
      <w:bCs/>
      <w:smallCaps/>
      <w:color w:val="0F4761" w:themeColor="accent1" w:themeShade="BF"/>
      <w:spacing w:val="5"/>
    </w:rPr>
  </w:style>
  <w:style w:type="paragraph" w:styleId="TOCHeading">
    <w:name w:val="TOC Heading"/>
    <w:basedOn w:val="Heading1"/>
    <w:next w:val="Normal"/>
    <w:uiPriority w:val="39"/>
    <w:unhideWhenUsed/>
    <w:qFormat/>
    <w:rsid w:val="00C10320"/>
    <w:pPr>
      <w:spacing w:before="240" w:after="0" w:line="259" w:lineRule="auto"/>
      <w:ind w:left="0" w:firstLine="0"/>
      <w:outlineLvl w:val="9"/>
    </w:pPr>
    <w:rPr>
      <w:rFonts w:asciiTheme="majorHAnsi"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10320"/>
    <w:pPr>
      <w:spacing w:after="100"/>
    </w:pPr>
  </w:style>
  <w:style w:type="paragraph" w:styleId="TOC2">
    <w:name w:val="toc 2"/>
    <w:basedOn w:val="Normal"/>
    <w:next w:val="Normal"/>
    <w:autoRedefine/>
    <w:uiPriority w:val="39"/>
    <w:unhideWhenUsed/>
    <w:rsid w:val="00C10320"/>
    <w:pPr>
      <w:spacing w:after="100"/>
      <w:ind w:left="220"/>
    </w:pPr>
  </w:style>
  <w:style w:type="paragraph" w:styleId="TOC3">
    <w:name w:val="toc 3"/>
    <w:basedOn w:val="Normal"/>
    <w:next w:val="Normal"/>
    <w:autoRedefine/>
    <w:uiPriority w:val="39"/>
    <w:unhideWhenUsed/>
    <w:rsid w:val="00C10320"/>
    <w:pPr>
      <w:spacing w:after="100"/>
      <w:ind w:left="440"/>
    </w:pPr>
  </w:style>
  <w:style w:type="character" w:styleId="Hyperlink">
    <w:name w:val="Hyperlink"/>
    <w:basedOn w:val="DefaultParagraphFont"/>
    <w:uiPriority w:val="99"/>
    <w:unhideWhenUsed/>
    <w:rsid w:val="00C1032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334/ijic.6004" TargetMode="External"/><Relationship Id="rId13" Type="http://schemas.openxmlformats.org/officeDocument/2006/relationships/hyperlink" Target="https://doi.org/10.1016/j.psychres.2021.114085" TargetMode="External"/><Relationship Id="rId18" Type="http://schemas.openxmlformats.org/officeDocument/2006/relationships/hyperlink" Target="https://doi.org/10.1016/j.neubiorev.2018.10.009" TargetMode="External"/><Relationship Id="rId26" Type="http://schemas.openxmlformats.org/officeDocument/2006/relationships/hyperlink" Target="https://www.ncbi.nlm.nih.gov/books/NBK604200/" TargetMode="External"/><Relationship Id="rId3" Type="http://schemas.openxmlformats.org/officeDocument/2006/relationships/styles" Target="styles.xml"/><Relationship Id="rId21" Type="http://schemas.openxmlformats.org/officeDocument/2006/relationships/hyperlink" Target="https://doi.org/10.3390/children12060674" TargetMode="External"/><Relationship Id="rId7" Type="http://schemas.openxmlformats.org/officeDocument/2006/relationships/hyperlink" Target="https://doi.org/10.1016/j.jad.2021.04.075" TargetMode="External"/><Relationship Id="rId12" Type="http://schemas.openxmlformats.org/officeDocument/2006/relationships/hyperlink" Target="https://doi.org/10.3390/medicina60030408" TargetMode="External"/><Relationship Id="rId17" Type="http://schemas.openxmlformats.org/officeDocument/2006/relationships/hyperlink" Target="https://doi.org/10.1177/10731911251340837" TargetMode="External"/><Relationship Id="rId25" Type="http://schemas.openxmlformats.org/officeDocument/2006/relationships/hyperlink" Target="https://doi.org/10.1080/20008198.2021.1894806" TargetMode="External"/><Relationship Id="rId2" Type="http://schemas.openxmlformats.org/officeDocument/2006/relationships/numbering" Target="numbering.xml"/><Relationship Id="rId16" Type="http://schemas.openxmlformats.org/officeDocument/2006/relationships/hyperlink" Target="https://doi.org/10.1080/20008198.2017.1418103" TargetMode="External"/><Relationship Id="rId20" Type="http://schemas.openxmlformats.org/officeDocument/2006/relationships/hyperlink" Target="https://www.nice.org.uk/guidance/ng116"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2/jts.22454" TargetMode="External"/><Relationship Id="rId24" Type="http://schemas.openxmlformats.org/officeDocument/2006/relationships/hyperlink" Target="https://pmc.ncbi.nlm.nih.gov/articles/PMC9453916/" TargetMode="External"/><Relationship Id="rId5" Type="http://schemas.openxmlformats.org/officeDocument/2006/relationships/webSettings" Target="webSettings.xml"/><Relationship Id="rId15" Type="http://schemas.openxmlformats.org/officeDocument/2006/relationships/hyperlink" Target="https://doi.org/10.1037/tra0001957" TargetMode="External"/><Relationship Id="rId23" Type="http://schemas.openxmlformats.org/officeDocument/2006/relationships/hyperlink" Target="https://doi.org/10.1080/20008198.2017.1419749" TargetMode="External"/><Relationship Id="rId28" Type="http://schemas.openxmlformats.org/officeDocument/2006/relationships/theme" Target="theme/theme1.xml"/><Relationship Id="rId10" Type="http://schemas.openxmlformats.org/officeDocument/2006/relationships/hyperlink" Target="https://www.ncbi.nlm.nih.gov/books/NBK207191/box/part1_ch3.box16/" TargetMode="External"/><Relationship Id="rId19" Type="http://schemas.openxmlformats.org/officeDocument/2006/relationships/hyperlink" Target="https://doi.org/10.1111/acps.13161" TargetMode="External"/><Relationship Id="rId4" Type="http://schemas.openxmlformats.org/officeDocument/2006/relationships/settings" Target="settings.xml"/><Relationship Id="rId9" Type="http://schemas.openxmlformats.org/officeDocument/2006/relationships/hyperlink" Target="https://doi.org/10.2174/1570159x21666230428091433" TargetMode="External"/><Relationship Id="rId14" Type="http://schemas.openxmlformats.org/officeDocument/2006/relationships/hyperlink" Target="https://doi.org/10.1186/s40359-024-01588-x" TargetMode="External"/><Relationship Id="rId22" Type="http://schemas.openxmlformats.org/officeDocument/2006/relationships/hyperlink" Target="https://onlinelibrary.wiley.com/doi/full/10.1002/wps.2061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0FBE2-F4FC-40E9-9271-D179E96A0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3461</Words>
  <Characters>19730</Characters>
  <Application>Microsoft Office Word</Application>
  <DocSecurity>4</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kiran naaz</cp:lastModifiedBy>
  <cp:revision>107</cp:revision>
  <dcterms:created xsi:type="dcterms:W3CDTF">2025-11-14T09:31:00Z</dcterms:created>
  <dcterms:modified xsi:type="dcterms:W3CDTF">2025-11-14T02:05:00Z</dcterms:modified>
</cp:coreProperties>
</file>