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pPr>
      <w:r w:rsidDel="00000000" w:rsidR="00000000" w:rsidRPr="00000000">
        <w:rPr>
          <w:rtl w:val="0"/>
        </w:rPr>
      </w:r>
    </w:p>
    <w:p w:rsidR="00000000" w:rsidDel="00000000" w:rsidP="00000000" w:rsidRDefault="00000000" w:rsidRPr="00000000" w14:paraId="00000002">
      <w:pPr>
        <w:spacing w:line="360" w:lineRule="auto"/>
        <w:jc w:val="center"/>
        <w:rPr/>
      </w:pPr>
      <w:r w:rsidDel="00000000" w:rsidR="00000000" w:rsidRPr="00000000">
        <w:rPr/>
        <w:drawing>
          <wp:inline distB="0" distT="0" distL="0" distR="0">
            <wp:extent cx="4368800" cy="1714500"/>
            <wp:effectExtent b="0" l="0" r="0" t="0"/>
            <wp:docPr id="107551354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368800"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360" w:lineRule="auto"/>
        <w:jc w:val="center"/>
        <w:rPr>
          <w:b w:val="1"/>
          <w:bCs w:val="1"/>
          <w:sz w:val="32"/>
          <w:szCs w:val="32"/>
        </w:rPr>
      </w:pPr>
      <w:r w:rsidDel="00000000" w:rsidR="00000000" w:rsidRPr="00000000">
        <w:rPr>
          <w:b w:val="1"/>
          <w:bCs w:val="1"/>
          <w:sz w:val="32"/>
          <w:szCs w:val="32"/>
          <w:rtl w:val="0"/>
        </w:rPr>
        <w:t xml:space="preserve">Name: Ayesha Bano</w:t>
      </w:r>
    </w:p>
    <w:p w:rsidR="00000000" w:rsidDel="00000000" w:rsidP="00000000" w:rsidRDefault="00000000" w:rsidRPr="00000000" w14:paraId="00000004">
      <w:pPr>
        <w:spacing w:line="360" w:lineRule="auto"/>
        <w:jc w:val="center"/>
        <w:rPr>
          <w:b w:val="1"/>
          <w:bCs w:val="1"/>
          <w:sz w:val="32"/>
          <w:szCs w:val="32"/>
        </w:rPr>
      </w:pPr>
      <w:r w:rsidDel="00000000" w:rsidR="00000000" w:rsidRPr="00000000">
        <w:rPr>
          <w:b w:val="1"/>
          <w:bCs w:val="1"/>
          <w:sz w:val="32"/>
          <w:szCs w:val="32"/>
          <w:rtl w:val="0"/>
        </w:rPr>
        <w:t xml:space="preserve">Student ID: 2522838</w:t>
      </w:r>
    </w:p>
    <w:p w:rsidR="00000000" w:rsidDel="00000000" w:rsidP="00000000" w:rsidRDefault="00000000" w:rsidRPr="00000000" w14:paraId="00000005">
      <w:pPr>
        <w:spacing w:line="360" w:lineRule="auto"/>
        <w:jc w:val="center"/>
        <w:rPr>
          <w:b w:val="1"/>
          <w:bCs w:val="1"/>
          <w:sz w:val="32"/>
          <w:szCs w:val="32"/>
        </w:rPr>
      </w:pPr>
      <w:r w:rsidDel="00000000" w:rsidR="00000000" w:rsidRPr="00000000">
        <w:rPr>
          <w:b w:val="1"/>
          <w:bCs w:val="1"/>
          <w:sz w:val="32"/>
          <w:szCs w:val="32"/>
          <w:rtl w:val="0"/>
        </w:rPr>
        <w:t xml:space="preserve">Module Code: LCHS4001</w:t>
      </w:r>
    </w:p>
    <w:p w:rsidR="00000000" w:rsidDel="00000000" w:rsidP="00000000" w:rsidRDefault="00000000" w:rsidRPr="00000000" w14:paraId="00000006">
      <w:pPr>
        <w:spacing w:line="360" w:lineRule="auto"/>
        <w:jc w:val="center"/>
        <w:rPr>
          <w:b w:val="1"/>
          <w:bCs w:val="1"/>
          <w:sz w:val="32"/>
          <w:szCs w:val="32"/>
        </w:rPr>
      </w:pPr>
      <w:r w:rsidDel="00000000" w:rsidR="00000000" w:rsidRPr="00000000">
        <w:rPr>
          <w:b w:val="1"/>
          <w:bCs w:val="1"/>
          <w:sz w:val="32"/>
          <w:szCs w:val="32"/>
          <w:rtl w:val="0"/>
        </w:rPr>
        <w:t xml:space="preserve">Module: Academic and Employability Skills</w:t>
      </w:r>
    </w:p>
    <w:p w:rsidR="00000000" w:rsidDel="00000000" w:rsidP="00000000" w:rsidRDefault="00000000" w:rsidRPr="00000000" w14:paraId="00000007">
      <w:pPr>
        <w:spacing w:line="360" w:lineRule="auto"/>
        <w:jc w:val="center"/>
        <w:rPr>
          <w:b w:val="1"/>
          <w:bCs w:val="1"/>
          <w:sz w:val="32"/>
          <w:szCs w:val="32"/>
        </w:rPr>
      </w:pPr>
      <w:r w:rsidDel="00000000" w:rsidR="00000000" w:rsidRPr="00000000">
        <w:rPr>
          <w:b w:val="1"/>
          <w:bCs w:val="1"/>
          <w:sz w:val="32"/>
          <w:szCs w:val="32"/>
          <w:rtl w:val="0"/>
        </w:rPr>
        <w:t xml:space="preserve">Lecturer: Charrisa Brain</w:t>
      </w:r>
    </w:p>
    <w:p w:rsidR="00000000" w:rsidDel="00000000" w:rsidP="00000000" w:rsidRDefault="00000000" w:rsidRPr="00000000" w14:paraId="00000008">
      <w:pPr>
        <w:spacing w:line="360" w:lineRule="auto"/>
        <w:jc w:val="both"/>
        <w:rPr/>
      </w:pPr>
      <w:r w:rsidDel="00000000" w:rsidR="00000000" w:rsidRPr="00000000">
        <w:rPr>
          <w:rtl w:val="0"/>
        </w:rPr>
      </w:r>
    </w:p>
    <w:p w:rsidR="00000000" w:rsidDel="00000000" w:rsidP="00000000" w:rsidRDefault="00000000" w:rsidRPr="00000000" w14:paraId="00000009">
      <w:pPr>
        <w:spacing w:line="360" w:lineRule="auto"/>
        <w:jc w:val="both"/>
        <w:rPr/>
      </w:pPr>
      <w:r w:rsidDel="00000000" w:rsidR="00000000" w:rsidRPr="00000000">
        <w:rPr>
          <w:rtl w:val="0"/>
        </w:rPr>
      </w:r>
    </w:p>
    <w:p w:rsidR="00000000" w:rsidDel="00000000" w:rsidP="00000000" w:rsidRDefault="00000000" w:rsidRPr="00000000" w14:paraId="0000000A">
      <w:pPr>
        <w:spacing w:line="360" w:lineRule="auto"/>
        <w:jc w:val="both"/>
        <w:rPr/>
      </w:pPr>
      <w:r w:rsidDel="00000000" w:rsidR="00000000" w:rsidRPr="00000000">
        <w:rPr>
          <w:rtl w:val="0"/>
        </w:rPr>
      </w:r>
    </w:p>
    <w:p w:rsidR="00000000" w:rsidDel="00000000" w:rsidP="00000000" w:rsidRDefault="00000000" w:rsidRPr="00000000" w14:paraId="0000000B">
      <w:pPr>
        <w:spacing w:line="360" w:lineRule="auto"/>
        <w:jc w:val="both"/>
        <w:rPr/>
      </w:pPr>
      <w:r w:rsidDel="00000000" w:rsidR="00000000" w:rsidRPr="00000000">
        <w:rPr>
          <w:rtl w:val="0"/>
        </w:rPr>
      </w:r>
    </w:p>
    <w:p w:rsidR="00000000" w:rsidDel="00000000" w:rsidP="00000000" w:rsidRDefault="00000000" w:rsidRPr="00000000" w14:paraId="0000000C">
      <w:pPr>
        <w:spacing w:line="360" w:lineRule="auto"/>
        <w:jc w:val="both"/>
        <w:rPr/>
      </w:pPr>
      <w:r w:rsidDel="00000000" w:rsidR="00000000" w:rsidRPr="00000000">
        <w:rPr>
          <w:rtl w:val="0"/>
        </w:rPr>
      </w:r>
    </w:p>
    <w:p w:rsidR="00000000" w:rsidDel="00000000" w:rsidP="00000000" w:rsidRDefault="00000000" w:rsidRPr="00000000" w14:paraId="0000000D">
      <w:pPr>
        <w:spacing w:line="360" w:lineRule="auto"/>
        <w:jc w:val="both"/>
        <w:rPr/>
      </w:pPr>
      <w:r w:rsidDel="00000000" w:rsidR="00000000" w:rsidRPr="00000000">
        <w:rPr>
          <w:rtl w:val="0"/>
        </w:rPr>
      </w:r>
    </w:p>
    <w:p w:rsidR="00000000" w:rsidDel="00000000" w:rsidP="00000000" w:rsidRDefault="00000000" w:rsidRPr="00000000" w14:paraId="0000000E">
      <w:pPr>
        <w:spacing w:line="360" w:lineRule="auto"/>
        <w:jc w:val="both"/>
        <w:rPr/>
      </w:pPr>
      <w:r w:rsidDel="00000000" w:rsidR="00000000" w:rsidRPr="00000000">
        <w:rPr>
          <w:rtl w:val="0"/>
        </w:rPr>
      </w:r>
    </w:p>
    <w:p w:rsidR="00000000" w:rsidDel="00000000" w:rsidP="00000000" w:rsidRDefault="00000000" w:rsidRPr="00000000" w14:paraId="0000000F">
      <w:pPr>
        <w:spacing w:line="360" w:lineRule="auto"/>
        <w:jc w:val="both"/>
        <w:rPr/>
      </w:pPr>
      <w:r w:rsidDel="00000000" w:rsidR="00000000" w:rsidRPr="00000000">
        <w:rPr>
          <w:rtl w:val="0"/>
        </w:rPr>
      </w:r>
    </w:p>
    <w:p w:rsidR="00000000" w:rsidDel="00000000" w:rsidP="00000000" w:rsidRDefault="00000000" w:rsidRPr="00000000" w14:paraId="00000010">
      <w:pPr>
        <w:spacing w:line="360" w:lineRule="auto"/>
        <w:jc w:val="both"/>
        <w:rPr/>
      </w:pP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tl w:val="0"/>
        </w:rPr>
      </w:r>
    </w:p>
    <w:p w:rsidR="00000000" w:rsidDel="00000000" w:rsidP="00000000" w:rsidRDefault="00000000" w:rsidRPr="00000000" w14:paraId="00000012">
      <w:pPr>
        <w:spacing w:line="360" w:lineRule="auto"/>
        <w:jc w:val="both"/>
        <w:rPr/>
      </w:pPr>
      <w:r w:rsidDel="00000000" w:rsidR="00000000" w:rsidRPr="00000000">
        <w:rPr>
          <w:rtl w:val="0"/>
        </w:rPr>
      </w:r>
    </w:p>
    <w:p w:rsidR="00000000" w:rsidDel="00000000" w:rsidP="00000000" w:rsidRDefault="00000000" w:rsidRPr="00000000" w14:paraId="00000013">
      <w:pPr>
        <w:spacing w:line="360" w:lineRule="auto"/>
        <w:jc w:val="both"/>
        <w:rPr/>
      </w:pPr>
      <w:r w:rsidDel="00000000" w:rsidR="00000000" w:rsidRPr="00000000">
        <w:rPr>
          <w:rtl w:val="0"/>
        </w:rPr>
      </w:r>
    </w:p>
    <w:p w:rsidR="00000000" w:rsidDel="00000000" w:rsidP="00000000" w:rsidRDefault="00000000" w:rsidRPr="00000000" w14:paraId="0000001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Play" w:cs="Play" w:eastAsia="Play" w:hAnsi="Play"/>
          <w:b w:val="1"/>
          <w:bCs w:val="1"/>
          <w:i w:val="0"/>
          <w:iCs w:val="0"/>
          <w:smallCaps w:val="0"/>
          <w:strike w:val="0"/>
          <w:color w:val="0f4761"/>
          <w:sz w:val="32"/>
          <w:szCs w:val="32"/>
          <w:u w:val="none"/>
          <w:shd w:fill="auto" w:val="clear"/>
          <w:vertAlign w:val="baseline"/>
        </w:rPr>
      </w:pPr>
      <w:r w:rsidDel="00000000" w:rsidR="00000000" w:rsidRPr="00000000">
        <w:rPr>
          <w:rFonts w:ascii="Play" w:cs="Play" w:eastAsia="Play" w:hAnsi="Play"/>
          <w:b w:val="1"/>
          <w:bCs w:val="1"/>
          <w:i w:val="0"/>
          <w:iCs w:val="0"/>
          <w:smallCaps w:val="0"/>
          <w:strike w:val="0"/>
          <w:color w:val="0f4761"/>
          <w:sz w:val="32"/>
          <w:szCs w:val="32"/>
          <w:u w:val="none"/>
          <w:shd w:fill="auto" w:val="clear"/>
          <w:vertAlign w:val="baseline"/>
          <w:rtl w:val="0"/>
        </w:rPr>
        <w:t xml:space="preserve">Table of Contents</w:t>
      </w:r>
    </w:p>
    <w:sdt>
      <w:sdtPr>
        <w:id w:val="59945889"/>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016"/>
            </w:tabs>
            <w:spacing w:after="120" w:before="24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n1vsbcu5v4kv">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1.</w:t>
              <w:tab/>
              <w:t xml:space="preserve">Introduction</w:t>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016"/>
            </w:tabs>
            <w:spacing w:after="120" w:before="24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m6w09ch3vuup">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2.</w:t>
              <w:tab/>
              <w:t xml:space="preserve">Description of, and background to, Nursing in Healthcare</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016"/>
            </w:tabs>
            <w:spacing w:after="120" w:before="24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m8m41wfydit">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3.</w:t>
              <w:tab/>
              <w:t xml:space="preserve">Evaluation of the skills needed for Nursing in Healthcare</w:t>
              <w:tab/>
              <w:t xml:space="preserve">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016"/>
            </w:tabs>
            <w:spacing w:after="120" w:before="24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piyiqec5afc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4.</w:t>
              <w:tab/>
              <w:t xml:space="preserve">Strategies to improve the skills for Nursing</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016"/>
            </w:tabs>
            <w:spacing w:after="120" w:before="24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1fr8233jy1t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5.</w:t>
              <w:tab/>
              <w:t xml:space="preserve">Conclusion</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016"/>
            </w:tabs>
            <w:spacing w:after="120" w:before="24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c00d2ool7xd7">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6.</w:t>
              <w:tab/>
              <w:t xml:space="preserve">References</w:t>
              <w:tab/>
              <w:t xml:space="preserve">7</w:t>
            </w:r>
          </w:hyperlink>
          <w:r w:rsidDel="00000000" w:rsidR="00000000" w:rsidRPr="00000000">
            <w:rPr>
              <w:rtl w:val="0"/>
            </w:rPr>
          </w:r>
        </w:p>
        <w:p w:rsidR="00000000" w:rsidDel="00000000" w:rsidP="00000000" w:rsidRDefault="00000000" w:rsidRPr="00000000" w14:paraId="0000001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line="360" w:lineRule="auto"/>
        <w:jc w:val="both"/>
        <w:rPr/>
      </w:pPr>
      <w:r w:rsidDel="00000000" w:rsidR="00000000" w:rsidRPr="00000000">
        <w:rPr>
          <w:rtl w:val="0"/>
        </w:rPr>
      </w:r>
    </w:p>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spacing w:line="360" w:lineRule="auto"/>
        <w:jc w:val="both"/>
        <w:rPr/>
      </w:pPr>
      <w:r w:rsidDel="00000000" w:rsidR="00000000" w:rsidRPr="00000000">
        <w:rPr>
          <w:rtl w:val="0"/>
        </w:rPr>
      </w:r>
    </w:p>
    <w:p w:rsidR="00000000" w:rsidDel="00000000" w:rsidP="00000000" w:rsidRDefault="00000000" w:rsidRPr="00000000" w14:paraId="0000001F">
      <w:pPr>
        <w:spacing w:line="360" w:lineRule="auto"/>
        <w:jc w:val="both"/>
        <w:rPr/>
      </w:pPr>
      <w:r w:rsidDel="00000000" w:rsidR="00000000" w:rsidRPr="00000000">
        <w:rPr>
          <w:rtl w:val="0"/>
        </w:rPr>
      </w:r>
    </w:p>
    <w:p w:rsidR="00000000" w:rsidDel="00000000" w:rsidP="00000000" w:rsidRDefault="00000000" w:rsidRPr="00000000" w14:paraId="00000020">
      <w:pPr>
        <w:spacing w:line="360" w:lineRule="auto"/>
        <w:jc w:val="both"/>
        <w:rPr/>
      </w:pPr>
      <w:r w:rsidDel="00000000" w:rsidR="00000000" w:rsidRPr="00000000">
        <w:rPr>
          <w:rtl w:val="0"/>
        </w:rPr>
      </w:r>
    </w:p>
    <w:p w:rsidR="00000000" w:rsidDel="00000000" w:rsidP="00000000" w:rsidRDefault="00000000" w:rsidRPr="00000000" w14:paraId="00000021">
      <w:pPr>
        <w:spacing w:line="360" w:lineRule="auto"/>
        <w:jc w:val="both"/>
        <w:rPr/>
      </w:pPr>
      <w:r w:rsidDel="00000000" w:rsidR="00000000" w:rsidRPr="00000000">
        <w:rPr>
          <w:rtl w:val="0"/>
        </w:rPr>
      </w:r>
    </w:p>
    <w:p w:rsidR="00000000" w:rsidDel="00000000" w:rsidP="00000000" w:rsidRDefault="00000000" w:rsidRPr="00000000" w14:paraId="00000022">
      <w:pPr>
        <w:spacing w:line="360" w:lineRule="auto"/>
        <w:jc w:val="both"/>
        <w:rPr/>
      </w:pPr>
      <w:r w:rsidDel="00000000" w:rsidR="00000000" w:rsidRPr="00000000">
        <w:rPr>
          <w:rtl w:val="0"/>
        </w:rPr>
      </w:r>
    </w:p>
    <w:p w:rsidR="00000000" w:rsidDel="00000000" w:rsidP="00000000" w:rsidRDefault="00000000" w:rsidRPr="00000000" w14:paraId="00000023">
      <w:pPr>
        <w:spacing w:line="360" w:lineRule="auto"/>
        <w:jc w:val="both"/>
        <w:rPr/>
      </w:pPr>
      <w:r w:rsidDel="00000000" w:rsidR="00000000" w:rsidRPr="00000000">
        <w:rPr>
          <w:rtl w:val="0"/>
        </w:rPr>
      </w:r>
    </w:p>
    <w:p w:rsidR="00000000" w:rsidDel="00000000" w:rsidP="00000000" w:rsidRDefault="00000000" w:rsidRPr="00000000" w14:paraId="00000024">
      <w:pPr>
        <w:spacing w:line="360" w:lineRule="auto"/>
        <w:jc w:val="both"/>
        <w:rPr/>
      </w:pPr>
      <w:r w:rsidDel="00000000" w:rsidR="00000000" w:rsidRPr="00000000">
        <w:rPr>
          <w:rtl w:val="0"/>
        </w:rPr>
      </w:r>
    </w:p>
    <w:p w:rsidR="00000000" w:rsidDel="00000000" w:rsidP="00000000" w:rsidRDefault="00000000" w:rsidRPr="00000000" w14:paraId="00000025">
      <w:pPr>
        <w:spacing w:line="360" w:lineRule="auto"/>
        <w:jc w:val="both"/>
        <w:rPr/>
      </w:pPr>
      <w:r w:rsidDel="00000000" w:rsidR="00000000" w:rsidRPr="00000000">
        <w:rPr>
          <w:rtl w:val="0"/>
        </w:rPr>
      </w:r>
    </w:p>
    <w:p w:rsidR="00000000" w:rsidDel="00000000" w:rsidP="00000000" w:rsidRDefault="00000000" w:rsidRPr="00000000" w14:paraId="00000026">
      <w:pPr>
        <w:spacing w:line="360" w:lineRule="auto"/>
        <w:jc w:val="both"/>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tl w:val="0"/>
        </w:rPr>
      </w:r>
    </w:p>
    <w:p w:rsidR="00000000" w:rsidDel="00000000" w:rsidP="00000000" w:rsidRDefault="00000000" w:rsidRPr="00000000" w14:paraId="0000002A">
      <w:pPr>
        <w:spacing w:line="360" w:lineRule="auto"/>
        <w:jc w:val="both"/>
        <w:rPr/>
      </w:pPr>
      <w:r w:rsidDel="00000000" w:rsidR="00000000" w:rsidRPr="00000000">
        <w:rPr>
          <w:rtl w:val="0"/>
        </w:rPr>
      </w:r>
    </w:p>
    <w:p w:rsidR="00000000" w:rsidDel="00000000" w:rsidP="00000000" w:rsidRDefault="00000000" w:rsidRPr="00000000" w14:paraId="0000002B">
      <w:pPr>
        <w:pStyle w:val="Heading1"/>
        <w:numPr>
          <w:ilvl w:val="0"/>
          <w:numId w:val="1"/>
        </w:numPr>
        <w:ind w:left="720" w:hanging="360"/>
        <w:rPr/>
      </w:pPr>
      <w:bookmarkStart w:colFirst="0" w:colLast="0" w:name="_heading=h.n1vsbcu5v4kv" w:id="0"/>
      <w:bookmarkEnd w:id="0"/>
      <w:r w:rsidDel="00000000" w:rsidR="00000000" w:rsidRPr="00000000">
        <w:rPr>
          <w:rtl w:val="0"/>
        </w:rPr>
        <w:t xml:space="preserve">Introduction</w:t>
      </w:r>
    </w:p>
    <w:p w:rsidR="00000000" w:rsidDel="00000000" w:rsidP="00000000" w:rsidRDefault="00000000" w:rsidRPr="00000000" w14:paraId="0000002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profession of nursing is at the heart of health and social care as it involves a combination of clinical expertise, empathetic nursing, and unrelenting patient advocacy. The role was chosen, as nurses do their work in fields of prevention, treatment, rehabilitation, and end-of-life care, and their input is evident in nearly all healthcare environments. Nursing has significance because it directly affects safety, recovery, dignity, and quality of life (Varghese and Khakha, 2025). According to the Nursing and Midwifery Council, effective nursing practice should focus on people and be practicable, safe, and professional and trustful (NMC, 2018). </w:t>
      </w:r>
    </w:p>
    <w:p w:rsidR="00000000" w:rsidDel="00000000" w:rsidP="00000000" w:rsidRDefault="00000000" w:rsidRPr="00000000" w14:paraId="0000002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report will outline the role and background of nursing, evaluate three key skills required for effective practice, and discuss practical strategies for improving those skills in professional settings.</w:t>
      </w:r>
    </w:p>
    <w:p w:rsidR="00000000" w:rsidDel="00000000" w:rsidP="00000000" w:rsidRDefault="00000000" w:rsidRPr="00000000" w14:paraId="0000002E">
      <w:pPr>
        <w:pStyle w:val="Heading1"/>
        <w:numPr>
          <w:ilvl w:val="0"/>
          <w:numId w:val="1"/>
        </w:numPr>
        <w:ind w:left="720" w:hanging="360"/>
        <w:rPr/>
      </w:pPr>
      <w:bookmarkStart w:colFirst="0" w:colLast="0" w:name="_heading=h.m6w09ch3vuup" w:id="1"/>
      <w:bookmarkEnd w:id="1"/>
      <w:r w:rsidDel="00000000" w:rsidR="00000000" w:rsidRPr="00000000">
        <w:rPr>
          <w:rtl w:val="0"/>
        </w:rPr>
        <w:t xml:space="preserve">Description of, and background to, Nursing in Healthcare</w:t>
      </w:r>
    </w:p>
    <w:p w:rsidR="00000000" w:rsidDel="00000000" w:rsidP="00000000" w:rsidRDefault="00000000" w:rsidRPr="00000000" w14:paraId="0000002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Nursing is a profession that is regulated and is regarded with the issue of determining the needs, scheduling the care, providing the intervention, observing the health, and assisting individuals throughout the lifespan. The nurses are employed in hospitals, community services, care homes, mental health organizations, schools and in the public health services (Varghese and Khakha, 2025). Kang et al. (2024) argue that nurses are essential in enhancing health, making health systems resilient, as well as primary health care. In contemporary healthcare, nurses can be considered as the most interacting professionals with patients and families, a factor that makes their contribution critical to continuity of care.</w:t>
      </w:r>
    </w:p>
    <w:p w:rsidR="00000000" w:rsidDel="00000000" w:rsidP="00000000" w:rsidRDefault="00000000" w:rsidRPr="00000000" w14:paraId="0000003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Nurses have responsibilities of monitoring patients, prescribing medication, symptom management, care documentation, patient education, multidisciplinary coordination, and emergencies. Patient safety is one of the duties that should be given particular attention. Nurses should maintain safety and provide effective and evidence-based care. This responsibility is essential as mistakes in patients care, such as observation, communication, or judgment may easily endanger patients (Kang et al., 2024; McNeill et al., 2020).</w:t>
      </w:r>
    </w:p>
    <w:p w:rsidR="00000000" w:rsidDel="00000000" w:rsidP="00000000" w:rsidRDefault="00000000" w:rsidRPr="00000000" w14:paraId="0000003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order to play this role, nurses need both technical and social expertise. These are: communication, clinical decision making, teamwork, empathy, organisation and accountability. According to NMC proficiency standards, communication, relationship management, nursing practice, decision-making, and leadership are the main competency areas of registered nurses. Hence, nursing is extremely competent and extremely accountable and demands that practitioners strike a balance between compassion and clinical accuracy (Kang et al., 2024; McNeill et al., 2020; NMC, 2018).</w:t>
      </w:r>
    </w:p>
    <w:p w:rsidR="00000000" w:rsidDel="00000000" w:rsidP="00000000" w:rsidRDefault="00000000" w:rsidRPr="00000000" w14:paraId="00000032">
      <w:pPr>
        <w:pStyle w:val="Heading1"/>
        <w:numPr>
          <w:ilvl w:val="0"/>
          <w:numId w:val="1"/>
        </w:numPr>
        <w:ind w:left="720" w:hanging="360"/>
        <w:rPr/>
      </w:pPr>
      <w:bookmarkStart w:colFirst="0" w:colLast="0" w:name="_heading=h.m8m41wfydit" w:id="2"/>
      <w:bookmarkEnd w:id="2"/>
      <w:r w:rsidDel="00000000" w:rsidR="00000000" w:rsidRPr="00000000">
        <w:rPr>
          <w:rtl w:val="0"/>
        </w:rPr>
        <w:t xml:space="preserve">Evaluation of the skills needed for Nursing in Healthcare</w:t>
      </w:r>
    </w:p>
    <w:p w:rsidR="00000000" w:rsidDel="00000000" w:rsidP="00000000" w:rsidRDefault="00000000" w:rsidRPr="00000000" w14:paraId="00000033">
      <w:pPr>
        <w:spacing w:line="360" w:lineRule="auto"/>
        <w:jc w:val="both"/>
        <w:rPr/>
      </w:pPr>
      <w:r w:rsidDel="00000000" w:rsidR="00000000" w:rsidRPr="00000000">
        <w:rPr>
          <w:rtl w:val="0"/>
        </w:rPr>
        <w:t xml:space="preserve">Communication, clinical decision-making, and teamwork are three most valued skills in nursing. They were chosen due to their foundations on safe care, trust of patients, and effective service provision.</w:t>
      </w:r>
    </w:p>
    <w:p w:rsidR="00000000" w:rsidDel="00000000" w:rsidP="00000000" w:rsidRDefault="00000000" w:rsidRPr="00000000" w14:paraId="00000034">
      <w:pPr>
        <w:spacing w:line="360" w:lineRule="auto"/>
        <w:jc w:val="both"/>
        <w:rPr/>
      </w:pPr>
      <w:r w:rsidDel="00000000" w:rsidR="00000000" w:rsidRPr="00000000">
        <w:rPr>
          <w:rtl w:val="0"/>
        </w:rPr>
        <w:t xml:space="preserve">First, communication is paramount because nurses should exchange the right information with patients, families, and colleagues. NMC (2025) states that effective communication is the key to safe and compassionate person-centred care. In practice, the competence helps nurses to articulate treatments, seek informed consent, recognize patient concerns, and deliver coherent handovers. To illustrate this, when a nurse finds out that a patient has lost his/her senses and is not able to breathe properly, effective communication with the doctor and the next shift will increase the response rate and prevent worsening. Howick et al. (2024) also add that communication failures are a common feature of patient safety incidents. Lack of effective communication may lead to medication errors, delayed medical care, anxiety or mistrust.</w:t>
      </w:r>
    </w:p>
    <w:p w:rsidR="00000000" w:rsidDel="00000000" w:rsidP="00000000" w:rsidRDefault="00000000" w:rsidRPr="00000000" w14:paraId="00000035">
      <w:pPr>
        <w:spacing w:line="360" w:lineRule="auto"/>
        <w:jc w:val="both"/>
        <w:rPr/>
      </w:pPr>
      <w:r w:rsidDel="00000000" w:rsidR="00000000" w:rsidRPr="00000000">
        <w:rPr>
          <w:rtl w:val="0"/>
        </w:rPr>
        <w:t xml:space="preserve">Second, clinical decision-making is an essential nursing competence since nurses constantly evaluate evolving circumstances and make decisions based on evidence. This involves identification of deterioration, prioritisation of care, and decision-making when issues escalate (Hidayah et al., 2025). NMC standards define nursing practice and decision-making as a fundamental professional area. A nurse attending to a post-operative patient in a real-life nursing situation would observe a reduction in the amount of urine, falling blood pressure, and pains as a symptom of deterioration. Sound judgement will help the nurse to escalate sooner rather than later as opposed to escalating at the next routine check. When such a skill is limited, severe symptoms can go unnoticed, resulting in injury and undermining professional responsibility (Kang et al., 2024; NMC, 2018).</w:t>
      </w:r>
    </w:p>
    <w:p w:rsidR="00000000" w:rsidDel="00000000" w:rsidP="00000000" w:rsidRDefault="00000000" w:rsidRPr="00000000" w14:paraId="0000003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Third, collaboration exists because nursing practice is not in isolation. Nurses communicate with physicians, physiotherapists, social workers, support workers, pharmacists, and families. NHS states that collaboration and communication are essential in delivering quality and safe care because the professionals will be able to disseminate accurate information, plan their decision-making, and be responsive to patients needs, reducing errors and improving outcomes. Patient-centred care and outcomes are also linked with effective nursing teamwork (Kang et al., 2024; NMC, 2018). Ideally, frail patient discharge planning relates to the nurse giving information to social care workers, directing community support, and simplifying medicines. Absence of teamwork may cause sudden care, unsafe discharge, and poor patient outcomes (Gane et al., 2022).</w:t>
      </w:r>
    </w:p>
    <w:p w:rsidR="00000000" w:rsidDel="00000000" w:rsidP="00000000" w:rsidRDefault="00000000" w:rsidRPr="00000000" w14:paraId="00000037">
      <w:pPr>
        <w:pStyle w:val="Heading1"/>
        <w:numPr>
          <w:ilvl w:val="0"/>
          <w:numId w:val="1"/>
        </w:numPr>
        <w:ind w:left="720" w:hanging="360"/>
        <w:rPr/>
      </w:pPr>
      <w:bookmarkStart w:colFirst="0" w:colLast="0" w:name="_heading=h.piyiqec5afc7" w:id="3"/>
      <w:bookmarkEnd w:id="3"/>
      <w:r w:rsidDel="00000000" w:rsidR="00000000" w:rsidRPr="00000000">
        <w:rPr>
          <w:rtl w:val="0"/>
        </w:rPr>
        <w:t xml:space="preserve">Strategies to improve the skills for Nursing</w:t>
      </w:r>
    </w:p>
    <w:p w:rsidR="00000000" w:rsidDel="00000000" w:rsidP="00000000" w:rsidRDefault="00000000" w:rsidRPr="00000000" w14:paraId="0000003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Simulation-based training is one of the effective strategies. Simulation enables nurses to train communication, decision-making and collaboration under real but controlled conditions. As an example, a simulated emergency situation with sepsis can assist the staff in practicing patient assessment, escalation, and multidisciplinary communication. This approach is worthwhile since errors can be talked over and the practice can be repeated until competence is enhanced. It was chosen due to the high-pressure scenarios in nursing that practice and reflection enhance accuracy and confidence (Elendu et al., 2024).</w:t>
      </w:r>
    </w:p>
    <w:p w:rsidR="00000000" w:rsidDel="00000000" w:rsidP="00000000" w:rsidRDefault="00000000" w:rsidRPr="00000000" w14:paraId="0000003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approach is reflective practice and peer and supervisor feedback. The NMC Code advocates continuing reflection as a component of safe and effective practice. Reflection enables nurses to dwell on what worked out, what fell short, and how communication or judgement may be enhanced. As an illustration, a nurse might consider tone of voice, listening ability, and the clarity with which information was explained after a challenging experience with a patient. Practical improvements can then be identified through feedback of a mentor. The strategy was selected as skills like empathy, communication, and teamwork are not taught but acquired through constant self-awareness (Patel and Metersky, 2021).</w:t>
      </w:r>
    </w:p>
    <w:p w:rsidR="00000000" w:rsidDel="00000000" w:rsidP="00000000" w:rsidRDefault="00000000" w:rsidRPr="00000000" w14:paraId="0000003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third solution is to maintain professional growth by workshops, clinical updates and interprofessional learning. Zanani et al. (2023) also highlights the necessity to invest in nursing education, leadership, and service delivery because ongoing learning updates enhance clinical knowledge and improve the process of making better decisions. The interprofessional sessions are especially helpful with respect to better knowledge of other positions and encouragement of teamwork. Using the example of pharmacists and doctors, they can train together to improve the handovers and reduce the number of mistakes during prescribing or administrating medications. The approach has been selected because the field of healthcare is changing rapidly and nurses must update their knowledge base and practice competencies in order to be effective.</w:t>
      </w:r>
    </w:p>
    <w:p w:rsidR="00000000" w:rsidDel="00000000" w:rsidP="00000000" w:rsidRDefault="00000000" w:rsidRPr="00000000" w14:paraId="0000003B">
      <w:pPr>
        <w:pStyle w:val="Heading1"/>
        <w:numPr>
          <w:ilvl w:val="0"/>
          <w:numId w:val="1"/>
        </w:numPr>
        <w:ind w:left="720" w:hanging="360"/>
        <w:rPr/>
      </w:pPr>
      <w:bookmarkStart w:colFirst="0" w:colLast="0" w:name="_heading=h.1fr8233jy1t7" w:id="4"/>
      <w:bookmarkEnd w:id="4"/>
      <w:r w:rsidDel="00000000" w:rsidR="00000000" w:rsidRPr="00000000">
        <w:rPr>
          <w:rtl w:val="0"/>
        </w:rPr>
        <w:t xml:space="preserve">Conclusion</w:t>
      </w:r>
    </w:p>
    <w:p w:rsidR="00000000" w:rsidDel="00000000" w:rsidP="00000000" w:rsidRDefault="00000000" w:rsidRPr="00000000" w14:paraId="0000003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Nursing remains crucial in the provision of safe, effective and caring healthcare. The work is noteworthy because nurses find needs, offer care, secure and structure help in diverse settings. Communication, clinical decision-making, and teamwork are of specific interest as they define patient experience and outcome. The safety, continuity and quality of care is not safe in the scenario of underdeveloped skills. Simulation, therefore, reflective practice and continuing professional development are all useful in improving nursing practice.</w:t>
      </w:r>
    </w:p>
    <w:p w:rsidR="00000000" w:rsidDel="00000000" w:rsidP="00000000" w:rsidRDefault="00000000" w:rsidRPr="00000000" w14:paraId="0000003D">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line="360" w:lineRule="auto"/>
        <w:jc w:val="both"/>
        <w:rPr/>
      </w:pPr>
      <w:r w:rsidDel="00000000" w:rsidR="00000000" w:rsidRPr="00000000">
        <w:rPr>
          <w:rtl w:val="0"/>
        </w:rPr>
      </w:r>
    </w:p>
    <w:p w:rsidR="00000000" w:rsidDel="00000000" w:rsidP="00000000" w:rsidRDefault="00000000" w:rsidRPr="00000000" w14:paraId="0000004D">
      <w:pPr>
        <w:pStyle w:val="Heading1"/>
        <w:numPr>
          <w:ilvl w:val="0"/>
          <w:numId w:val="1"/>
        </w:numPr>
        <w:ind w:left="720" w:hanging="360"/>
        <w:rPr/>
      </w:pPr>
      <w:bookmarkStart w:colFirst="0" w:colLast="0" w:name="_heading=h.c00d2ool7xd7" w:id="5"/>
      <w:bookmarkEnd w:id="5"/>
      <w:r w:rsidDel="00000000" w:rsidR="00000000" w:rsidRPr="00000000">
        <w:rPr>
          <w:rtl w:val="0"/>
        </w:rPr>
        <w:t xml:space="preserve">References</w:t>
      </w:r>
    </w:p>
    <w:p w:rsidR="00000000" w:rsidDel="00000000" w:rsidP="00000000" w:rsidRDefault="00000000" w:rsidRPr="00000000" w14:paraId="0000004E">
      <w:pPr>
        <w:spacing w:line="360" w:lineRule="auto"/>
        <w:jc w:val="both"/>
        <w:rPr>
          <w:rFonts w:ascii="Times New Roman" w:cs="Times New Roman" w:eastAsia="Times New Roman" w:hAnsi="Times New Roman"/>
        </w:rPr>
      </w:pPr>
      <w:r w:rsidDel="00000000" w:rsidR="00000000" w:rsidRPr="00000000">
        <w:rPr>
          <w:rtl w:val="0"/>
        </w:rPr>
        <w:t xml:space="preserve">Elendu, C. </w:t>
      </w:r>
      <w:r w:rsidDel="00000000" w:rsidR="00000000" w:rsidRPr="00000000">
        <w:rPr>
          <w:i w:val="1"/>
          <w:iCs w:val="1"/>
          <w:rtl w:val="0"/>
        </w:rPr>
        <w:t xml:space="preserve">et al.</w:t>
      </w:r>
      <w:r w:rsidDel="00000000" w:rsidR="00000000" w:rsidRPr="00000000">
        <w:rPr>
          <w:rtl w:val="0"/>
        </w:rPr>
        <w:t xml:space="preserve"> (2024) ‘The impact of simulation-based training in medical education: a review’, </w:t>
      </w:r>
      <w:r w:rsidDel="00000000" w:rsidR="00000000" w:rsidRPr="00000000">
        <w:rPr>
          <w:i w:val="1"/>
          <w:iCs w:val="1"/>
          <w:rtl w:val="0"/>
        </w:rPr>
        <w:t xml:space="preserve">Medicine</w:t>
      </w:r>
      <w:r w:rsidDel="00000000" w:rsidR="00000000" w:rsidRPr="00000000">
        <w:rPr>
          <w:rtl w:val="0"/>
        </w:rPr>
        <w:t xml:space="preserve">, 103(27), pp. 1–14. Available at: https://doi.org/10.1097/MD.0000000000038813.</w:t>
      </w:r>
      <w:r w:rsidDel="00000000" w:rsidR="00000000" w:rsidRPr="00000000">
        <w:rPr>
          <w:rtl w:val="0"/>
        </w:rPr>
      </w:r>
    </w:p>
    <w:p w:rsidR="00000000" w:rsidDel="00000000" w:rsidP="00000000" w:rsidRDefault="00000000" w:rsidRPr="00000000" w14:paraId="0000004F">
      <w:pPr>
        <w:spacing w:line="360" w:lineRule="auto"/>
        <w:jc w:val="both"/>
        <w:rPr/>
      </w:pPr>
      <w:r w:rsidDel="00000000" w:rsidR="00000000" w:rsidRPr="00000000">
        <w:rPr>
          <w:rtl w:val="0"/>
        </w:rPr>
        <w:t xml:space="preserve">Gane, E.M. </w:t>
      </w:r>
      <w:r w:rsidDel="00000000" w:rsidR="00000000" w:rsidRPr="00000000">
        <w:rPr>
          <w:i w:val="1"/>
          <w:iCs w:val="1"/>
          <w:rtl w:val="0"/>
        </w:rPr>
        <w:t xml:space="preserve">et al.</w:t>
      </w:r>
      <w:r w:rsidDel="00000000" w:rsidR="00000000" w:rsidRPr="00000000">
        <w:rPr>
          <w:rtl w:val="0"/>
        </w:rPr>
        <w:t xml:space="preserve"> (2022) ‘Discharge Planning of Older Persons from Hospital: Comparison of Observed Practice to Recommended Best Practice’, </w:t>
      </w:r>
      <w:r w:rsidDel="00000000" w:rsidR="00000000" w:rsidRPr="00000000">
        <w:rPr>
          <w:i w:val="1"/>
          <w:iCs w:val="1"/>
          <w:rtl w:val="0"/>
        </w:rPr>
        <w:t xml:space="preserve">Healthcare</w:t>
      </w:r>
      <w:r w:rsidDel="00000000" w:rsidR="00000000" w:rsidRPr="00000000">
        <w:rPr>
          <w:rtl w:val="0"/>
        </w:rPr>
        <w:t xml:space="preserve">, 10(2), p. 202. Available at: https://doi.org/10.3390/healthcare10020202.</w:t>
      </w:r>
    </w:p>
    <w:p w:rsidR="00000000" w:rsidDel="00000000" w:rsidP="00000000" w:rsidRDefault="00000000" w:rsidRPr="00000000" w14:paraId="00000050">
      <w:pPr>
        <w:spacing w:line="360" w:lineRule="auto"/>
        <w:jc w:val="both"/>
        <w:rPr/>
      </w:pPr>
      <w:r w:rsidDel="00000000" w:rsidR="00000000" w:rsidRPr="00000000">
        <w:rPr>
          <w:rtl w:val="0"/>
        </w:rPr>
        <w:t xml:space="preserve">Hidayah, Z., Nur </w:t>
      </w:r>
      <w:r w:rsidDel="00000000" w:rsidR="00000000" w:rsidRPr="00000000">
        <w:rPr>
          <w:i w:val="1"/>
          <w:iCs w:val="1"/>
          <w:rtl w:val="0"/>
        </w:rPr>
        <w:t xml:space="preserve">et al.</w:t>
      </w:r>
      <w:r w:rsidDel="00000000" w:rsidR="00000000" w:rsidRPr="00000000">
        <w:rPr>
          <w:rtl w:val="0"/>
        </w:rPr>
        <w:t xml:space="preserve"> (2025) ‘Critical Thinking and Clinical Decision Making Among Registered Nurses in Clinical Practice: A Systematic Review and Meta-Analysis’, </w:t>
      </w:r>
      <w:r w:rsidDel="00000000" w:rsidR="00000000" w:rsidRPr="00000000">
        <w:rPr>
          <w:i w:val="1"/>
          <w:iCs w:val="1"/>
          <w:rtl w:val="0"/>
        </w:rPr>
        <w:t xml:space="preserve">Nursing Reports</w:t>
      </w:r>
      <w:r w:rsidDel="00000000" w:rsidR="00000000" w:rsidRPr="00000000">
        <w:rPr>
          <w:rtl w:val="0"/>
        </w:rPr>
        <w:t xml:space="preserve">, 15(5), p. 175. Available at: https://doi.org/10.3390/nursrep15050175.</w:t>
      </w:r>
    </w:p>
    <w:p w:rsidR="00000000" w:rsidDel="00000000" w:rsidP="00000000" w:rsidRDefault="00000000" w:rsidRPr="00000000" w14:paraId="00000051">
      <w:pPr>
        <w:spacing w:line="360" w:lineRule="auto"/>
        <w:jc w:val="both"/>
        <w:rPr/>
      </w:pPr>
      <w:r w:rsidDel="00000000" w:rsidR="00000000" w:rsidRPr="00000000">
        <w:rPr>
          <w:rtl w:val="0"/>
        </w:rPr>
        <w:t xml:space="preserve">Howick, J. </w:t>
      </w:r>
      <w:r w:rsidDel="00000000" w:rsidR="00000000" w:rsidRPr="00000000">
        <w:rPr>
          <w:i w:val="1"/>
          <w:iCs w:val="1"/>
          <w:rtl w:val="0"/>
        </w:rPr>
        <w:t xml:space="preserve">et al.</w:t>
      </w:r>
      <w:r w:rsidDel="00000000" w:rsidR="00000000" w:rsidRPr="00000000">
        <w:rPr>
          <w:rtl w:val="0"/>
        </w:rPr>
        <w:t xml:space="preserve"> (2024) ‘How does communication affect patient safety? Protocol for a systematic review and logic model’, </w:t>
      </w:r>
      <w:r w:rsidDel="00000000" w:rsidR="00000000" w:rsidRPr="00000000">
        <w:rPr>
          <w:i w:val="1"/>
          <w:iCs w:val="1"/>
          <w:rtl w:val="0"/>
        </w:rPr>
        <w:t xml:space="preserve">BMJ Open</w:t>
      </w:r>
      <w:r w:rsidDel="00000000" w:rsidR="00000000" w:rsidRPr="00000000">
        <w:rPr>
          <w:rtl w:val="0"/>
        </w:rPr>
        <w:t xml:space="preserve">, 14(5), pp. 1–8. Available at: https://doi.org/10.1136/bmjopen-2024-085312.</w:t>
      </w:r>
    </w:p>
    <w:p w:rsidR="00000000" w:rsidDel="00000000" w:rsidP="00000000" w:rsidRDefault="00000000" w:rsidRPr="00000000" w14:paraId="00000052">
      <w:pPr>
        <w:spacing w:line="360" w:lineRule="auto"/>
        <w:jc w:val="both"/>
        <w:rPr/>
      </w:pPr>
      <w:r w:rsidDel="00000000" w:rsidR="00000000" w:rsidRPr="00000000">
        <w:rPr>
          <w:rtl w:val="0"/>
        </w:rPr>
        <w:t xml:space="preserve">Kang, B. </w:t>
      </w:r>
      <w:r w:rsidDel="00000000" w:rsidR="00000000" w:rsidRPr="00000000">
        <w:rPr>
          <w:i w:val="1"/>
          <w:iCs w:val="1"/>
          <w:rtl w:val="0"/>
        </w:rPr>
        <w:t xml:space="preserve">et al.</w:t>
      </w:r>
      <w:r w:rsidDel="00000000" w:rsidR="00000000" w:rsidRPr="00000000">
        <w:rPr>
          <w:rtl w:val="0"/>
        </w:rPr>
        <w:t xml:space="preserve"> (2024) ‘Roles and experiences of nurses in primary health care during the COVID-19 pandemic: a scoping review’, </w:t>
      </w:r>
      <w:r w:rsidDel="00000000" w:rsidR="00000000" w:rsidRPr="00000000">
        <w:rPr>
          <w:i w:val="1"/>
          <w:iCs w:val="1"/>
          <w:rtl w:val="0"/>
        </w:rPr>
        <w:t xml:space="preserve">BMC Nursing</w:t>
      </w:r>
      <w:r w:rsidDel="00000000" w:rsidR="00000000" w:rsidRPr="00000000">
        <w:rPr>
          <w:rtl w:val="0"/>
        </w:rPr>
        <w:t xml:space="preserve">, 23(1). Available at: https://doi.org/10.1186/s12912-024-02406-w.</w:t>
      </w:r>
    </w:p>
    <w:p w:rsidR="00000000" w:rsidDel="00000000" w:rsidP="00000000" w:rsidRDefault="00000000" w:rsidRPr="00000000" w14:paraId="00000053">
      <w:pPr>
        <w:spacing w:line="360" w:lineRule="auto"/>
        <w:jc w:val="both"/>
        <w:rPr/>
      </w:pPr>
      <w:r w:rsidDel="00000000" w:rsidR="00000000" w:rsidRPr="00000000">
        <w:rPr>
          <w:rtl w:val="0"/>
        </w:rPr>
        <w:t xml:space="preserve">McNeill, C. </w:t>
      </w:r>
      <w:r w:rsidDel="00000000" w:rsidR="00000000" w:rsidRPr="00000000">
        <w:rPr>
          <w:i w:val="1"/>
          <w:iCs w:val="1"/>
          <w:rtl w:val="0"/>
        </w:rPr>
        <w:t xml:space="preserve">et al.</w:t>
      </w:r>
      <w:r w:rsidDel="00000000" w:rsidR="00000000" w:rsidRPr="00000000">
        <w:rPr>
          <w:rtl w:val="0"/>
        </w:rPr>
        <w:t xml:space="preserve"> (2020) ‘Characterization of nurses’ duty to care and willingness to report’, </w:t>
      </w:r>
      <w:r w:rsidDel="00000000" w:rsidR="00000000" w:rsidRPr="00000000">
        <w:rPr>
          <w:i w:val="1"/>
          <w:iCs w:val="1"/>
          <w:rtl w:val="0"/>
        </w:rPr>
        <w:t xml:space="preserve">Nursing Ethics</w:t>
      </w:r>
      <w:r w:rsidDel="00000000" w:rsidR="00000000" w:rsidRPr="00000000">
        <w:rPr>
          <w:rtl w:val="0"/>
        </w:rPr>
        <w:t xml:space="preserve">, 27(2), p. 096973301984664. Available at: https://doi.org/10.1177/0969733019846645.</w:t>
      </w:r>
    </w:p>
    <w:p w:rsidR="00000000" w:rsidDel="00000000" w:rsidP="00000000" w:rsidRDefault="00000000" w:rsidRPr="00000000" w14:paraId="00000054">
      <w:pPr>
        <w:spacing w:line="360" w:lineRule="auto"/>
        <w:jc w:val="both"/>
        <w:rPr/>
      </w:pPr>
      <w:r w:rsidDel="00000000" w:rsidR="00000000" w:rsidRPr="00000000">
        <w:rPr>
          <w:rtl w:val="0"/>
        </w:rPr>
        <w:t xml:space="preserve">NMC (2018) </w:t>
      </w:r>
      <w:r w:rsidDel="00000000" w:rsidR="00000000" w:rsidRPr="00000000">
        <w:rPr>
          <w:i w:val="1"/>
          <w:iCs w:val="1"/>
          <w:rtl w:val="0"/>
        </w:rPr>
        <w:t xml:space="preserve">The Code: Professional Standards of Practice and Behaviour for nurses, Midwives and Nursing Associates</w:t>
      </w:r>
      <w:r w:rsidDel="00000000" w:rsidR="00000000" w:rsidRPr="00000000">
        <w:rPr>
          <w:rtl w:val="0"/>
        </w:rPr>
        <w:t xml:space="preserve">, </w:t>
      </w:r>
      <w:r w:rsidDel="00000000" w:rsidR="00000000" w:rsidRPr="00000000">
        <w:rPr>
          <w:i w:val="1"/>
          <w:iCs w:val="1"/>
          <w:rtl w:val="0"/>
        </w:rPr>
        <w:t xml:space="preserve">Nursing and Midwifery council</w:t>
      </w:r>
      <w:r w:rsidDel="00000000" w:rsidR="00000000" w:rsidRPr="00000000">
        <w:rPr>
          <w:rtl w:val="0"/>
        </w:rPr>
        <w:t xml:space="preserve">. Available at: https://www.nmc.org.uk/standards/code/ (Accessed: 25 March 2026).</w:t>
      </w:r>
    </w:p>
    <w:p w:rsidR="00000000" w:rsidDel="00000000" w:rsidP="00000000" w:rsidRDefault="00000000" w:rsidRPr="00000000" w14:paraId="00000055">
      <w:pPr>
        <w:spacing w:line="360" w:lineRule="auto"/>
        <w:jc w:val="both"/>
        <w:rPr/>
      </w:pPr>
      <w:r w:rsidDel="00000000" w:rsidR="00000000" w:rsidRPr="00000000">
        <w:rPr>
          <w:rtl w:val="0"/>
        </w:rPr>
        <w:t xml:space="preserve">NMC (2025) </w:t>
      </w:r>
      <w:r w:rsidDel="00000000" w:rsidR="00000000" w:rsidRPr="00000000">
        <w:rPr>
          <w:i w:val="1"/>
          <w:iCs w:val="1"/>
          <w:rtl w:val="0"/>
        </w:rPr>
        <w:t xml:space="preserve">Communication and relationship management skills - The Nursing and Midwifery Council</w:t>
      </w:r>
      <w:r w:rsidDel="00000000" w:rsidR="00000000" w:rsidRPr="00000000">
        <w:rPr>
          <w:rtl w:val="0"/>
        </w:rPr>
        <w:t xml:space="preserve">, </w:t>
      </w:r>
      <w:r w:rsidDel="00000000" w:rsidR="00000000" w:rsidRPr="00000000">
        <w:rPr>
          <w:i w:val="1"/>
          <w:iCs w:val="1"/>
          <w:rtl w:val="0"/>
        </w:rPr>
        <w:t xml:space="preserve">Nmc.org.uk</w:t>
      </w:r>
      <w:r w:rsidDel="00000000" w:rsidR="00000000" w:rsidRPr="00000000">
        <w:rPr>
          <w:rtl w:val="0"/>
        </w:rPr>
        <w:t xml:space="preserve">. Available at: https://www.nmc.org.uk/standards/standards-for-nurses/standards-of-proficiency-for-registered-nurses/implementation-nursing/practice-learning-experience-case-studies-for-nursing-programmes/camhs-olivia/communication-and-relationship-management-skills/ (Accessed: 25 March 2026).</w:t>
      </w:r>
    </w:p>
    <w:p w:rsidR="00000000" w:rsidDel="00000000" w:rsidP="00000000" w:rsidRDefault="00000000" w:rsidRPr="00000000" w14:paraId="00000056">
      <w:pPr>
        <w:spacing w:line="360" w:lineRule="auto"/>
        <w:jc w:val="both"/>
        <w:rPr/>
      </w:pPr>
      <w:r w:rsidDel="00000000" w:rsidR="00000000" w:rsidRPr="00000000">
        <w:rPr>
          <w:rtl w:val="0"/>
        </w:rPr>
        <w:t xml:space="preserve">Patel, K. and Metersky, K. (2021) ‘Reflective practice in nursing: A concept analysis’, </w:t>
      </w:r>
      <w:r w:rsidDel="00000000" w:rsidR="00000000" w:rsidRPr="00000000">
        <w:rPr>
          <w:i w:val="1"/>
          <w:iCs w:val="1"/>
          <w:rtl w:val="0"/>
        </w:rPr>
        <w:t xml:space="preserve">International Journal of Nursing Knowledge</w:t>
      </w:r>
      <w:r w:rsidDel="00000000" w:rsidR="00000000" w:rsidRPr="00000000">
        <w:rPr>
          <w:rtl w:val="0"/>
        </w:rPr>
        <w:t xml:space="preserve">, 33(3), pp. 180–187. Available at: https://doi.org/10.1111/2047-3095.12350.</w:t>
      </w:r>
    </w:p>
    <w:p w:rsidR="00000000" w:rsidDel="00000000" w:rsidP="00000000" w:rsidRDefault="00000000" w:rsidRPr="00000000" w14:paraId="00000057">
      <w:pPr>
        <w:spacing w:line="360" w:lineRule="auto"/>
        <w:jc w:val="both"/>
        <w:rPr/>
      </w:pPr>
      <w:r w:rsidDel="00000000" w:rsidR="00000000" w:rsidRPr="00000000">
        <w:rPr>
          <w:rtl w:val="0"/>
        </w:rPr>
        <w:t xml:space="preserve">Varghese, A. and Khakha, D.C. (2025) ‘Attributes of compassionate care in clinical nursing practice from the perspectives of patients and nurses—A systematic review’, </w:t>
      </w:r>
      <w:r w:rsidDel="00000000" w:rsidR="00000000" w:rsidRPr="00000000">
        <w:rPr>
          <w:i w:val="1"/>
          <w:iCs w:val="1"/>
          <w:rtl w:val="0"/>
        </w:rPr>
        <w:t xml:space="preserve">Journal of Education and Health Promotion</w:t>
      </w:r>
      <w:r w:rsidDel="00000000" w:rsidR="00000000" w:rsidRPr="00000000">
        <w:rPr>
          <w:rtl w:val="0"/>
        </w:rPr>
        <w:t xml:space="preserve">, 14(1). Available at: https://doi.org/10.4103/jehp.jehp_1872_23.</w:t>
      </w:r>
    </w:p>
    <w:p w:rsidR="00000000" w:rsidDel="00000000" w:rsidP="00000000" w:rsidRDefault="00000000" w:rsidRPr="00000000" w14:paraId="00000058">
      <w:pPr>
        <w:spacing w:line="360" w:lineRule="auto"/>
        <w:jc w:val="both"/>
        <w:rPr/>
      </w:pPr>
      <w:r w:rsidDel="00000000" w:rsidR="00000000" w:rsidRPr="00000000">
        <w:rPr>
          <w:rtl w:val="0"/>
        </w:rPr>
        <w:t xml:space="preserve">Zenani, N.E. </w:t>
      </w:r>
      <w:r w:rsidDel="00000000" w:rsidR="00000000" w:rsidRPr="00000000">
        <w:rPr>
          <w:i w:val="1"/>
          <w:iCs w:val="1"/>
          <w:rtl w:val="0"/>
        </w:rPr>
        <w:t xml:space="preserve">et al.</w:t>
      </w:r>
      <w:r w:rsidDel="00000000" w:rsidR="00000000" w:rsidRPr="00000000">
        <w:rPr>
          <w:rtl w:val="0"/>
        </w:rPr>
        <w:t xml:space="preserve"> (2023) ‘The Contribution of Interprofessional Education in Developing Competent Undergraduate Nursing students: Integrative Literature Review’, </w:t>
      </w:r>
      <w:r w:rsidDel="00000000" w:rsidR="00000000" w:rsidRPr="00000000">
        <w:rPr>
          <w:i w:val="1"/>
          <w:iCs w:val="1"/>
          <w:rtl w:val="0"/>
        </w:rPr>
        <w:t xml:space="preserve">BMC Nursing</w:t>
      </w:r>
      <w:r w:rsidDel="00000000" w:rsidR="00000000" w:rsidRPr="00000000">
        <w:rPr>
          <w:rtl w:val="0"/>
        </w:rPr>
        <w:t xml:space="preserve">, 22(1), p. 315. Available at: https://bmcnurs.biomedcentral.com/articles/10.1186/s12912-023-01482-8.</w:t>
      </w:r>
    </w:p>
    <w:p w:rsidR="00000000" w:rsidDel="00000000" w:rsidP="00000000" w:rsidRDefault="00000000" w:rsidRPr="00000000" w14:paraId="00000059">
      <w:pPr>
        <w:spacing w:line="360" w:lineRule="auto"/>
        <w:jc w:val="both"/>
        <w:rPr/>
      </w:pPr>
      <w:r w:rsidDel="00000000" w:rsidR="00000000" w:rsidRPr="00000000">
        <w:rPr>
          <w:rtl w:val="0"/>
        </w:rPr>
      </w:r>
    </w:p>
    <w:sectPr>
      <w:footerReference r:id="rId8" w:type="default"/>
      <w:footerReference r:id="rId9"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PK"/>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f4761"/>
      <w:sz w:val="28"/>
      <w:szCs w:val="28"/>
    </w:rPr>
  </w:style>
  <w:style w:type="paragraph" w:styleId="Heading2">
    <w:name w:val="heading 2"/>
    <w:basedOn w:val="Normal"/>
    <w:next w:val="Normal"/>
    <w:pPr>
      <w:keepNext w:val="1"/>
      <w:keepLines w:val="1"/>
      <w:spacing w:after="80" w:before="160" w:lineRule="auto"/>
    </w:pPr>
    <w:rPr>
      <w:b w:val="1"/>
      <w:bCs w:val="1"/>
      <w:color w:val="0f4761"/>
    </w:rPr>
  </w:style>
  <w:style w:type="paragraph" w:styleId="Heading3">
    <w:name w:val="heading 3"/>
    <w:basedOn w:val="Normal"/>
    <w:next w:val="Normal"/>
    <w:pPr>
      <w:keepNext w:val="1"/>
      <w:keepLines w:val="1"/>
      <w:spacing w:after="80" w:before="160" w:lineRule="auto"/>
    </w:pPr>
    <w:rPr>
      <w:b w:val="1"/>
      <w:bCs w:val="1"/>
      <w:i w:val="1"/>
      <w:iCs w:val="1"/>
      <w:color w:val="0f4761"/>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48668F"/>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48668F"/>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48668F"/>
    <w:pPr>
      <w:keepNext w:val="1"/>
      <w:keepLines w:val="1"/>
      <w:spacing w:after="0"/>
      <w:outlineLvl w:val="8"/>
    </w:pPr>
    <w:rPr>
      <w:rFonts w:asciiTheme="minorHAnsi" w:cstheme="majorBidi" w:eastAsiaTheme="majorEastAsia"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61624"/>
    <w:rPr>
      <w:rFonts w:asciiTheme="majorBidi" w:cstheme="majorBidi" w:eastAsiaTheme="majorEastAsia" w:hAnsiTheme="majorBidi"/>
      <w:b w:val="1"/>
      <w:color w:val="0f4761" w:themeColor="accent1" w:themeShade="0000BF"/>
      <w:sz w:val="28"/>
      <w:szCs w:val="40"/>
    </w:rPr>
  </w:style>
  <w:style w:type="character" w:styleId="Heading2Char" w:customStyle="1">
    <w:name w:val="Heading 2 Char"/>
    <w:basedOn w:val="DefaultParagraphFont"/>
    <w:link w:val="Heading2"/>
    <w:uiPriority w:val="9"/>
    <w:rsid w:val="00FB6C67"/>
    <w:rPr>
      <w:rFonts w:asciiTheme="majorBidi" w:cstheme="majorBidi" w:eastAsiaTheme="majorEastAsia" w:hAnsiTheme="majorBidi"/>
      <w:b w:val="1"/>
      <w:color w:val="0f4761" w:themeColor="accent1" w:themeShade="0000BF"/>
      <w:szCs w:val="32"/>
    </w:rPr>
  </w:style>
  <w:style w:type="character" w:styleId="Heading3Char" w:customStyle="1">
    <w:name w:val="Heading 3 Char"/>
    <w:basedOn w:val="DefaultParagraphFont"/>
    <w:link w:val="Heading3"/>
    <w:uiPriority w:val="9"/>
    <w:rsid w:val="00BE4882"/>
    <w:rPr>
      <w:rFonts w:asciiTheme="majorBidi" w:cstheme="majorBidi" w:eastAsiaTheme="majorEastAsia" w:hAnsiTheme="majorBidi"/>
      <w:b w:val="1"/>
      <w:i w:val="1"/>
      <w:color w:val="0f4761" w:themeColor="accent1" w:themeShade="0000BF"/>
      <w:szCs w:val="28"/>
    </w:rPr>
  </w:style>
  <w:style w:type="character" w:styleId="Heading4Char" w:customStyle="1">
    <w:name w:val="Heading 4 Char"/>
    <w:basedOn w:val="DefaultParagraphFont"/>
    <w:link w:val="Heading4"/>
    <w:uiPriority w:val="9"/>
    <w:semiHidden w:val="1"/>
    <w:rsid w:val="0048668F"/>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48668F"/>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48668F"/>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48668F"/>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48668F"/>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48668F"/>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48668F"/>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48668F"/>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48668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48668F"/>
    <w:rPr>
      <w:rFonts w:asciiTheme="majorBidi" w:hAnsiTheme="majorBidi"/>
      <w:i w:val="1"/>
      <w:iCs w:val="1"/>
      <w:color w:val="404040" w:themeColor="text1" w:themeTint="0000BF"/>
    </w:rPr>
  </w:style>
  <w:style w:type="paragraph" w:styleId="ListParagraph">
    <w:name w:val="List Paragraph"/>
    <w:basedOn w:val="Normal"/>
    <w:uiPriority w:val="34"/>
    <w:qFormat w:val="1"/>
    <w:rsid w:val="0048668F"/>
    <w:pPr>
      <w:ind w:left="720"/>
      <w:contextualSpacing w:val="1"/>
    </w:pPr>
  </w:style>
  <w:style w:type="character" w:styleId="IntenseEmphasis">
    <w:name w:val="Intense Emphasis"/>
    <w:basedOn w:val="DefaultParagraphFont"/>
    <w:uiPriority w:val="21"/>
    <w:qFormat w:val="1"/>
    <w:rsid w:val="0048668F"/>
    <w:rPr>
      <w:i w:val="1"/>
      <w:iCs w:val="1"/>
      <w:color w:val="0f4761" w:themeColor="accent1" w:themeShade="0000BF"/>
    </w:rPr>
  </w:style>
  <w:style w:type="paragraph" w:styleId="IntenseQuote">
    <w:name w:val="Intense Quote"/>
    <w:basedOn w:val="Normal"/>
    <w:next w:val="Normal"/>
    <w:link w:val="IntenseQuoteChar"/>
    <w:uiPriority w:val="30"/>
    <w:qFormat w:val="1"/>
    <w:rsid w:val="0048668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48668F"/>
    <w:rPr>
      <w:rFonts w:asciiTheme="majorBidi" w:hAnsiTheme="majorBidi"/>
      <w:i w:val="1"/>
      <w:iCs w:val="1"/>
      <w:color w:val="0f4761" w:themeColor="accent1" w:themeShade="0000BF"/>
    </w:rPr>
  </w:style>
  <w:style w:type="character" w:styleId="IntenseReference">
    <w:name w:val="Intense Reference"/>
    <w:basedOn w:val="DefaultParagraphFont"/>
    <w:uiPriority w:val="32"/>
    <w:qFormat w:val="1"/>
    <w:rsid w:val="0048668F"/>
    <w:rPr>
      <w:b w:val="1"/>
      <w:bCs w:val="1"/>
      <w:smallCaps w:val="1"/>
      <w:color w:val="0f4761" w:themeColor="accent1" w:themeShade="0000BF"/>
      <w:spacing w:val="5"/>
    </w:rPr>
  </w:style>
  <w:style w:type="paragraph" w:styleId="NormalWeb">
    <w:name w:val="Normal (Web)"/>
    <w:basedOn w:val="Normal"/>
    <w:uiPriority w:val="99"/>
    <w:unhideWhenUsed w:val="1"/>
    <w:rsid w:val="00BA0C3E"/>
    <w:pPr>
      <w:spacing w:after="100" w:afterAutospacing="1" w:before="100" w:beforeAutospacing="1" w:line="240" w:lineRule="auto"/>
    </w:pPr>
    <w:rPr>
      <w:rFonts w:ascii="Times New Roman" w:cs="Times New Roman" w:eastAsia="Times New Roman" w:hAnsi="Times New Roman"/>
      <w:kern w:val="0"/>
      <w:lang w:eastAsia="en-GB"/>
    </w:rPr>
  </w:style>
  <w:style w:type="paragraph" w:styleId="Header">
    <w:name w:val="header"/>
    <w:basedOn w:val="Normal"/>
    <w:link w:val="HeaderChar"/>
    <w:uiPriority w:val="99"/>
    <w:unhideWhenUsed w:val="1"/>
    <w:rsid w:val="00977E67"/>
    <w:pPr>
      <w:tabs>
        <w:tab w:val="center" w:pos="4513"/>
        <w:tab w:val="right" w:pos="9026"/>
      </w:tabs>
      <w:spacing w:after="0" w:line="240" w:lineRule="auto"/>
    </w:pPr>
  </w:style>
  <w:style w:type="character" w:styleId="HeaderChar" w:customStyle="1">
    <w:name w:val="Header Char"/>
    <w:basedOn w:val="DefaultParagraphFont"/>
    <w:link w:val="Header"/>
    <w:uiPriority w:val="99"/>
    <w:rsid w:val="00977E67"/>
    <w:rPr>
      <w:rFonts w:asciiTheme="majorBidi" w:hAnsiTheme="majorBidi"/>
    </w:rPr>
  </w:style>
  <w:style w:type="paragraph" w:styleId="Footer">
    <w:name w:val="footer"/>
    <w:basedOn w:val="Normal"/>
    <w:link w:val="FooterChar"/>
    <w:uiPriority w:val="99"/>
    <w:unhideWhenUsed w:val="1"/>
    <w:rsid w:val="00977E67"/>
    <w:pPr>
      <w:tabs>
        <w:tab w:val="center" w:pos="4513"/>
        <w:tab w:val="right" w:pos="9026"/>
      </w:tabs>
      <w:spacing w:after="0" w:line="240" w:lineRule="auto"/>
    </w:pPr>
  </w:style>
  <w:style w:type="character" w:styleId="FooterChar" w:customStyle="1">
    <w:name w:val="Footer Char"/>
    <w:basedOn w:val="DefaultParagraphFont"/>
    <w:link w:val="Footer"/>
    <w:uiPriority w:val="99"/>
    <w:rsid w:val="00977E67"/>
    <w:rPr>
      <w:rFonts w:asciiTheme="majorBidi" w:hAnsiTheme="majorBidi"/>
    </w:rPr>
  </w:style>
  <w:style w:type="character" w:styleId="PageNumber">
    <w:name w:val="page number"/>
    <w:basedOn w:val="DefaultParagraphFont"/>
    <w:uiPriority w:val="99"/>
    <w:semiHidden w:val="1"/>
    <w:unhideWhenUsed w:val="1"/>
    <w:rsid w:val="00977E67"/>
  </w:style>
  <w:style w:type="paragraph" w:styleId="TOCHeading">
    <w:name w:val="TOC Heading"/>
    <w:basedOn w:val="Heading1"/>
    <w:next w:val="Normal"/>
    <w:uiPriority w:val="39"/>
    <w:unhideWhenUsed w:val="1"/>
    <w:qFormat w:val="1"/>
    <w:rsid w:val="00977E67"/>
    <w:pPr>
      <w:spacing w:after="0" w:before="480" w:line="276" w:lineRule="auto"/>
      <w:outlineLvl w:val="9"/>
    </w:pPr>
    <w:rPr>
      <w:rFonts w:asciiTheme="majorHAnsi" w:hAnsiTheme="majorHAnsi"/>
      <w:bCs w:val="1"/>
      <w:kern w:val="0"/>
      <w:szCs w:val="28"/>
      <w:lang w:val="en-US"/>
    </w:rPr>
  </w:style>
  <w:style w:type="paragraph" w:styleId="TOC1">
    <w:name w:val="toc 1"/>
    <w:basedOn w:val="Normal"/>
    <w:next w:val="Normal"/>
    <w:autoRedefine w:val="1"/>
    <w:uiPriority w:val="39"/>
    <w:unhideWhenUsed w:val="1"/>
    <w:rsid w:val="00977E67"/>
    <w:pPr>
      <w:spacing w:after="120" w:before="240"/>
    </w:pPr>
    <w:rPr>
      <w:rFonts w:cs="Times New Roman" w:asciiTheme="minorHAnsi" w:hAnsiTheme="minorHAnsi"/>
      <w:b w:val="1"/>
      <w:bCs w:val="1"/>
      <w:sz w:val="20"/>
    </w:rPr>
  </w:style>
  <w:style w:type="character" w:styleId="Hyperlink">
    <w:name w:val="Hyperlink"/>
    <w:basedOn w:val="DefaultParagraphFont"/>
    <w:uiPriority w:val="99"/>
    <w:unhideWhenUsed w:val="1"/>
    <w:rsid w:val="00977E67"/>
    <w:rPr>
      <w:color w:val="467886" w:themeColor="hyperlink"/>
      <w:u w:val="single"/>
    </w:rPr>
  </w:style>
  <w:style w:type="paragraph" w:styleId="TOC2">
    <w:name w:val="toc 2"/>
    <w:basedOn w:val="Normal"/>
    <w:next w:val="Normal"/>
    <w:autoRedefine w:val="1"/>
    <w:uiPriority w:val="39"/>
    <w:semiHidden w:val="1"/>
    <w:unhideWhenUsed w:val="1"/>
    <w:rsid w:val="00977E67"/>
    <w:pPr>
      <w:spacing w:after="0" w:before="120"/>
      <w:ind w:left="240"/>
    </w:pPr>
    <w:rPr>
      <w:rFonts w:cs="Times New Roman" w:asciiTheme="minorHAnsi" w:hAnsiTheme="minorHAnsi"/>
      <w:i w:val="1"/>
      <w:iCs w:val="1"/>
      <w:sz w:val="20"/>
    </w:rPr>
  </w:style>
  <w:style w:type="paragraph" w:styleId="TOC3">
    <w:name w:val="toc 3"/>
    <w:basedOn w:val="Normal"/>
    <w:next w:val="Normal"/>
    <w:autoRedefine w:val="1"/>
    <w:uiPriority w:val="39"/>
    <w:semiHidden w:val="1"/>
    <w:unhideWhenUsed w:val="1"/>
    <w:rsid w:val="00977E67"/>
    <w:pPr>
      <w:spacing w:after="0"/>
      <w:ind w:left="480"/>
    </w:pPr>
    <w:rPr>
      <w:rFonts w:cs="Times New Roman" w:asciiTheme="minorHAnsi" w:hAnsiTheme="minorHAnsi"/>
      <w:sz w:val="20"/>
    </w:rPr>
  </w:style>
  <w:style w:type="paragraph" w:styleId="TOC4">
    <w:name w:val="toc 4"/>
    <w:basedOn w:val="Normal"/>
    <w:next w:val="Normal"/>
    <w:autoRedefine w:val="1"/>
    <w:uiPriority w:val="39"/>
    <w:semiHidden w:val="1"/>
    <w:unhideWhenUsed w:val="1"/>
    <w:rsid w:val="00977E67"/>
    <w:pPr>
      <w:spacing w:after="0"/>
      <w:ind w:left="720"/>
    </w:pPr>
    <w:rPr>
      <w:rFonts w:cs="Times New Roman" w:asciiTheme="minorHAnsi" w:hAnsiTheme="minorHAnsi"/>
      <w:sz w:val="20"/>
    </w:rPr>
  </w:style>
  <w:style w:type="paragraph" w:styleId="TOC5">
    <w:name w:val="toc 5"/>
    <w:basedOn w:val="Normal"/>
    <w:next w:val="Normal"/>
    <w:autoRedefine w:val="1"/>
    <w:uiPriority w:val="39"/>
    <w:semiHidden w:val="1"/>
    <w:unhideWhenUsed w:val="1"/>
    <w:rsid w:val="00977E67"/>
    <w:pPr>
      <w:spacing w:after="0"/>
      <w:ind w:left="960"/>
    </w:pPr>
    <w:rPr>
      <w:rFonts w:cs="Times New Roman" w:asciiTheme="minorHAnsi" w:hAnsiTheme="minorHAnsi"/>
      <w:sz w:val="20"/>
    </w:rPr>
  </w:style>
  <w:style w:type="paragraph" w:styleId="TOC6">
    <w:name w:val="toc 6"/>
    <w:basedOn w:val="Normal"/>
    <w:next w:val="Normal"/>
    <w:autoRedefine w:val="1"/>
    <w:uiPriority w:val="39"/>
    <w:semiHidden w:val="1"/>
    <w:unhideWhenUsed w:val="1"/>
    <w:rsid w:val="00977E67"/>
    <w:pPr>
      <w:spacing w:after="0"/>
      <w:ind w:left="1200"/>
    </w:pPr>
    <w:rPr>
      <w:rFonts w:cs="Times New Roman" w:asciiTheme="minorHAnsi" w:hAnsiTheme="minorHAnsi"/>
      <w:sz w:val="20"/>
    </w:rPr>
  </w:style>
  <w:style w:type="paragraph" w:styleId="TOC7">
    <w:name w:val="toc 7"/>
    <w:basedOn w:val="Normal"/>
    <w:next w:val="Normal"/>
    <w:autoRedefine w:val="1"/>
    <w:uiPriority w:val="39"/>
    <w:semiHidden w:val="1"/>
    <w:unhideWhenUsed w:val="1"/>
    <w:rsid w:val="00977E67"/>
    <w:pPr>
      <w:spacing w:after="0"/>
      <w:ind w:left="1440"/>
    </w:pPr>
    <w:rPr>
      <w:rFonts w:cs="Times New Roman" w:asciiTheme="minorHAnsi" w:hAnsiTheme="minorHAnsi"/>
      <w:sz w:val="20"/>
    </w:rPr>
  </w:style>
  <w:style w:type="paragraph" w:styleId="TOC8">
    <w:name w:val="toc 8"/>
    <w:basedOn w:val="Normal"/>
    <w:next w:val="Normal"/>
    <w:autoRedefine w:val="1"/>
    <w:uiPriority w:val="39"/>
    <w:semiHidden w:val="1"/>
    <w:unhideWhenUsed w:val="1"/>
    <w:rsid w:val="00977E67"/>
    <w:pPr>
      <w:spacing w:after="0"/>
      <w:ind w:left="1680"/>
    </w:pPr>
    <w:rPr>
      <w:rFonts w:cs="Times New Roman" w:asciiTheme="minorHAnsi" w:hAnsiTheme="minorHAnsi"/>
      <w:sz w:val="20"/>
    </w:rPr>
  </w:style>
  <w:style w:type="paragraph" w:styleId="TOC9">
    <w:name w:val="toc 9"/>
    <w:basedOn w:val="Normal"/>
    <w:next w:val="Normal"/>
    <w:autoRedefine w:val="1"/>
    <w:uiPriority w:val="39"/>
    <w:semiHidden w:val="1"/>
    <w:unhideWhenUsed w:val="1"/>
    <w:rsid w:val="00977E67"/>
    <w:pPr>
      <w:spacing w:after="0"/>
      <w:ind w:left="1920"/>
    </w:pPr>
    <w:rPr>
      <w:rFonts w:cs="Times New Roman" w:asciiTheme="minorHAnsi" w:hAnsiTheme="minorHAnsi"/>
      <w:sz w:val="20"/>
    </w:rPr>
  </w:style>
  <w:style w:type="paragraph" w:styleId="Subtitle">
    <w:name w:val="Subtitle"/>
    <w:basedOn w:val="Normal"/>
    <w:next w:val="Normal"/>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RUsy8aEFJynQlhFj3ES55zCxyQ==">CgMxLjAyDmgubjF2c2JjdTV2NGt2Mg5oLm02dzA5Y2gzdnV1cDINaC5tOG00MXdmeWRpdDIOaC5waXlpcWVjNWFmYzcyDmguMWZyODIzM2p5MXQ3Mg5oLmMwMGQyb29sN3hkNzgAciExNG9JSURzcWh1aTVDYzFhUy1VZmk3NlN2NTItamtSSU0=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2026-03-25T07:48:00Z</dcterms:created>
  <dc:creator>WORD FILE</dc:creator>
</cp:coreProperties>
</file>