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4943765"/>
        <w:docPartObj>
          <w:docPartGallery w:val="Cover Pages"/>
          <w:docPartUnique/>
        </w:docPartObj>
      </w:sdtPr>
      <w:sdtContent>
        <w:p w14:paraId="5939AD74" w14:textId="64277B32" w:rsidR="00F96E3C" w:rsidRDefault="00F96E3C">
          <w:r>
            <w:rPr>
              <w:noProof/>
            </w:rPr>
            <mc:AlternateContent>
              <mc:Choice Requires="wpg">
                <w:drawing>
                  <wp:anchor distT="0" distB="0" distL="114300" distR="114300" simplePos="0" relativeHeight="251662336" behindDoc="0" locked="0" layoutInCell="1" allowOverlap="1" wp14:anchorId="14C02F6F" wp14:editId="2BE865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CD14B3"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7F585B" wp14:editId="696D541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9B32E9" w14:textId="2D7DCD56" w:rsidR="00F96E3C" w:rsidRDefault="00F96E3C">
                                    <w:pPr>
                                      <w:pStyle w:val="NoSpacing"/>
                                      <w:jc w:val="right"/>
                                      <w:rPr>
                                        <w:color w:val="595959" w:themeColor="text1" w:themeTint="A6"/>
                                        <w:sz w:val="28"/>
                                        <w:szCs w:val="28"/>
                                      </w:rPr>
                                    </w:pPr>
                                    <w:r>
                                      <w:rPr>
                                        <w:color w:val="595959" w:themeColor="text1" w:themeTint="A6"/>
                                        <w:sz w:val="28"/>
                                        <w:szCs w:val="28"/>
                                      </w:rPr>
                                      <w:t>Jack Banner (2200212)</w:t>
                                    </w:r>
                                  </w:p>
                                </w:sdtContent>
                              </w:sdt>
                              <w:p w14:paraId="7BFCD501" w14:textId="2043FF52" w:rsidR="00F96E3C" w:rsidRDefault="00F96E3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2200212@student.uwtsd.ac.uk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7F585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9B32E9" w14:textId="2D7DCD56" w:rsidR="00F96E3C" w:rsidRDefault="00F96E3C">
                              <w:pPr>
                                <w:pStyle w:val="NoSpacing"/>
                                <w:jc w:val="right"/>
                                <w:rPr>
                                  <w:color w:val="595959" w:themeColor="text1" w:themeTint="A6"/>
                                  <w:sz w:val="28"/>
                                  <w:szCs w:val="28"/>
                                </w:rPr>
                              </w:pPr>
                              <w:r>
                                <w:rPr>
                                  <w:color w:val="595959" w:themeColor="text1" w:themeTint="A6"/>
                                  <w:sz w:val="28"/>
                                  <w:szCs w:val="28"/>
                                </w:rPr>
                                <w:t>Jack Banner (2200212)</w:t>
                              </w:r>
                            </w:p>
                          </w:sdtContent>
                        </w:sdt>
                        <w:p w14:paraId="7BFCD501" w14:textId="2043FF52" w:rsidR="00F96E3C" w:rsidRDefault="00F96E3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2200212@student.uwtsd.ac.uk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5A4FB47" wp14:editId="59AE24E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79204" w14:textId="07327935" w:rsidR="00F96E3C" w:rsidRDefault="00F96E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 supporting paper</w:t>
                                    </w:r>
                                  </w:sdtContent>
                                </w:sdt>
                              </w:p>
                              <w:sdt>
                                <w:sdtPr>
                                  <w:rPr>
                                    <w:rFonts w:ascii="Segoe UI" w:eastAsia="Times New Roman" w:hAnsi="Segoe UI" w:cs="Segoe UI"/>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698C95" w14:textId="719194F4" w:rsidR="00F96E3C" w:rsidRPr="006A4C14" w:rsidRDefault="006A4C14">
                                    <w:pPr>
                                      <w:jc w:val="right"/>
                                      <w:rPr>
                                        <w:smallCaps/>
                                        <w:color w:val="404040" w:themeColor="text1" w:themeTint="BF"/>
                                        <w:sz w:val="36"/>
                                        <w:szCs w:val="36"/>
                                      </w:rPr>
                                    </w:pPr>
                                    <w:r w:rsidRPr="006A4C14">
                                      <w:rPr>
                                        <w:rFonts w:ascii="Segoe UI" w:eastAsia="Times New Roman" w:hAnsi="Segoe UI" w:cs="Segoe UI"/>
                                        <w:color w:val="1D2125"/>
                                        <w:kern w:val="36"/>
                                        <w:sz w:val="48"/>
                                        <w:szCs w:val="48"/>
                                        <w:lang w:eastAsia="en-GB"/>
                                      </w:rPr>
                                      <w:t>BMPL5003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A4FB47"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8B79204" w14:textId="07327935" w:rsidR="00F96E3C" w:rsidRDefault="00F96E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 supporting paper</w:t>
                              </w:r>
                            </w:sdtContent>
                          </w:sdt>
                        </w:p>
                        <w:sdt>
                          <w:sdtPr>
                            <w:rPr>
                              <w:rFonts w:ascii="Segoe UI" w:eastAsia="Times New Roman" w:hAnsi="Segoe UI" w:cs="Segoe UI"/>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698C95" w14:textId="719194F4" w:rsidR="00F96E3C" w:rsidRPr="006A4C14" w:rsidRDefault="006A4C14">
                              <w:pPr>
                                <w:jc w:val="right"/>
                                <w:rPr>
                                  <w:smallCaps/>
                                  <w:color w:val="404040" w:themeColor="text1" w:themeTint="BF"/>
                                  <w:sz w:val="36"/>
                                  <w:szCs w:val="36"/>
                                </w:rPr>
                              </w:pPr>
                              <w:r w:rsidRPr="006A4C14">
                                <w:rPr>
                                  <w:rFonts w:ascii="Segoe UI" w:eastAsia="Times New Roman" w:hAnsi="Segoe UI" w:cs="Segoe UI"/>
                                  <w:color w:val="1D2125"/>
                                  <w:kern w:val="36"/>
                                  <w:sz w:val="48"/>
                                  <w:szCs w:val="48"/>
                                  <w:lang w:eastAsia="en-GB"/>
                                </w:rPr>
                                <w:t>BMPL5003</w:t>
                              </w:r>
                            </w:p>
                          </w:sdtContent>
                        </w:sdt>
                      </w:txbxContent>
                    </v:textbox>
                    <w10:wrap type="square" anchorx="page" anchory="page"/>
                  </v:shape>
                </w:pict>
              </mc:Fallback>
            </mc:AlternateContent>
          </w:r>
        </w:p>
        <w:p w14:paraId="313DB53F" w14:textId="77777777" w:rsidR="006A4C14" w:rsidRDefault="006A4C14"/>
        <w:p w14:paraId="01AB4EC4" w14:textId="77777777" w:rsidR="006A4C14" w:rsidRDefault="006A4C14">
          <w:r>
            <w:br w:type="page"/>
          </w:r>
        </w:p>
        <w:sdt>
          <w:sdtPr>
            <w:id w:val="-11267529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98BFB73" w14:textId="3E772A76" w:rsidR="00783290" w:rsidRDefault="00783290">
              <w:pPr>
                <w:pStyle w:val="TOCHeading"/>
              </w:pPr>
              <w:r>
                <w:t>Contents</w:t>
              </w:r>
            </w:p>
            <w:p w14:paraId="39133530" w14:textId="220320B8" w:rsidR="00783290" w:rsidRDefault="00783290">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969292" w:history="1">
                <w:r w:rsidRPr="00D31A90">
                  <w:rPr>
                    <w:rStyle w:val="Hyperlink"/>
                    <w:noProof/>
                  </w:rPr>
                  <w:t>Main Body</w:t>
                </w:r>
                <w:r>
                  <w:rPr>
                    <w:noProof/>
                    <w:webHidden/>
                  </w:rPr>
                  <w:tab/>
                </w:r>
                <w:r>
                  <w:rPr>
                    <w:noProof/>
                    <w:webHidden/>
                  </w:rPr>
                  <w:fldChar w:fldCharType="begin"/>
                </w:r>
                <w:r>
                  <w:rPr>
                    <w:noProof/>
                    <w:webHidden/>
                  </w:rPr>
                  <w:instrText xml:space="preserve"> PAGEREF _Toc155969292 \h </w:instrText>
                </w:r>
                <w:r>
                  <w:rPr>
                    <w:noProof/>
                    <w:webHidden/>
                  </w:rPr>
                </w:r>
                <w:r>
                  <w:rPr>
                    <w:noProof/>
                    <w:webHidden/>
                  </w:rPr>
                  <w:fldChar w:fldCharType="separate"/>
                </w:r>
                <w:r>
                  <w:rPr>
                    <w:noProof/>
                    <w:webHidden/>
                  </w:rPr>
                  <w:t>2</w:t>
                </w:r>
                <w:r>
                  <w:rPr>
                    <w:noProof/>
                    <w:webHidden/>
                  </w:rPr>
                  <w:fldChar w:fldCharType="end"/>
                </w:r>
              </w:hyperlink>
            </w:p>
            <w:p w14:paraId="30EC3427" w14:textId="44D2824A" w:rsidR="00783290" w:rsidRDefault="00783290">
              <w:pPr>
                <w:pStyle w:val="TOC1"/>
                <w:tabs>
                  <w:tab w:val="right" w:leader="dot" w:pos="9016"/>
                </w:tabs>
                <w:rPr>
                  <w:rFonts w:eastAsiaTheme="minorEastAsia"/>
                  <w:noProof/>
                  <w:kern w:val="2"/>
                  <w:lang w:eastAsia="en-GB"/>
                  <w14:ligatures w14:val="standardContextual"/>
                </w:rPr>
              </w:pPr>
              <w:hyperlink w:anchor="_Toc155969293" w:history="1">
                <w:r w:rsidRPr="00D31A90">
                  <w:rPr>
                    <w:rStyle w:val="Hyperlink"/>
                    <w:noProof/>
                  </w:rPr>
                  <w:t>Bibliography</w:t>
                </w:r>
                <w:r>
                  <w:rPr>
                    <w:noProof/>
                    <w:webHidden/>
                  </w:rPr>
                  <w:tab/>
                </w:r>
                <w:r>
                  <w:rPr>
                    <w:noProof/>
                    <w:webHidden/>
                  </w:rPr>
                  <w:fldChar w:fldCharType="begin"/>
                </w:r>
                <w:r>
                  <w:rPr>
                    <w:noProof/>
                    <w:webHidden/>
                  </w:rPr>
                  <w:instrText xml:space="preserve"> PAGEREF _Toc155969293 \h </w:instrText>
                </w:r>
                <w:r>
                  <w:rPr>
                    <w:noProof/>
                    <w:webHidden/>
                  </w:rPr>
                </w:r>
                <w:r>
                  <w:rPr>
                    <w:noProof/>
                    <w:webHidden/>
                  </w:rPr>
                  <w:fldChar w:fldCharType="separate"/>
                </w:r>
                <w:r>
                  <w:rPr>
                    <w:noProof/>
                    <w:webHidden/>
                  </w:rPr>
                  <w:t>4</w:t>
                </w:r>
                <w:r>
                  <w:rPr>
                    <w:noProof/>
                    <w:webHidden/>
                  </w:rPr>
                  <w:fldChar w:fldCharType="end"/>
                </w:r>
              </w:hyperlink>
            </w:p>
            <w:p w14:paraId="1A3A34A9" w14:textId="70997B1B" w:rsidR="00783290" w:rsidRDefault="00783290">
              <w:r>
                <w:rPr>
                  <w:b/>
                  <w:bCs/>
                  <w:noProof/>
                </w:rPr>
                <w:fldChar w:fldCharType="end"/>
              </w:r>
            </w:p>
          </w:sdtContent>
        </w:sdt>
        <w:p w14:paraId="3425D662" w14:textId="77777777" w:rsidR="006A4C14" w:rsidRDefault="006A4C14"/>
        <w:p w14:paraId="67ED8BCF" w14:textId="2463F2FB" w:rsidR="00F96E3C" w:rsidRDefault="006A4C14">
          <w:r>
            <w:br w:type="page"/>
          </w:r>
        </w:p>
      </w:sdtContent>
    </w:sdt>
    <w:p w14:paraId="1DDA6EA3" w14:textId="6111E67D" w:rsidR="006A4C14" w:rsidRDefault="006A4C14" w:rsidP="006A4C14">
      <w:pPr>
        <w:pStyle w:val="Heading1"/>
      </w:pPr>
      <w:bookmarkStart w:id="0" w:name="_Toc155969292"/>
      <w:r>
        <w:lastRenderedPageBreak/>
        <w:t>Main Body</w:t>
      </w:r>
      <w:bookmarkEnd w:id="0"/>
    </w:p>
    <w:p w14:paraId="566F6E9C" w14:textId="60FAB073" w:rsidR="00E0450A" w:rsidRDefault="006A4C14" w:rsidP="003F080E">
      <w:r>
        <w:t xml:space="preserve">     </w:t>
      </w:r>
      <w:r w:rsidR="00B641F4">
        <w:t xml:space="preserve">A major </w:t>
      </w:r>
      <w:r w:rsidR="001B0AC0">
        <w:t>development for the world of law enforcement</w:t>
      </w:r>
      <w:r w:rsidR="003F080E" w:rsidRPr="003F080E">
        <w:t>, the McPherson report was an i</w:t>
      </w:r>
      <w:r w:rsidR="00E6541D">
        <w:t>mmediate</w:t>
      </w:r>
      <w:r w:rsidR="003F080E" w:rsidRPr="003F080E">
        <w:t xml:space="preserve"> and significant catalyst to change within the policing </w:t>
      </w:r>
      <w:r w:rsidR="00E6541D">
        <w:t>world</w:t>
      </w:r>
      <w:r w:rsidR="003F080E" w:rsidRPr="003F080E">
        <w:t xml:space="preserve"> following the murder of Stephen Lawrence. </w:t>
      </w:r>
      <w:r w:rsidR="001B0AC0">
        <w:t>Through this</w:t>
      </w:r>
      <w:r w:rsidR="00374472">
        <w:t xml:space="preserve">, in </w:t>
      </w:r>
      <w:r w:rsidR="003F080E" w:rsidRPr="003F080E">
        <w:t xml:space="preserve">the aftermath of the enquiry </w:t>
      </w:r>
      <w:r w:rsidR="00374472" w:rsidRPr="00374472">
        <w:t>Sir William Macpherson</w:t>
      </w:r>
      <w:r w:rsidR="003F080E" w:rsidRPr="003F080E">
        <w:t xml:space="preserve"> explored the idea of institutional racism, along with employing immediate changes</w:t>
      </w:r>
      <w:r w:rsidR="00245C7C">
        <w:t xml:space="preserve"> to policing practice</w:t>
      </w:r>
      <w:r w:rsidR="003F080E" w:rsidRPr="003F080E">
        <w:t>; however, it is extremely important to assess the effectiveness of reform, current practices and the analyse the shift in the policing doctrine alongside our modern cometary problems</w:t>
      </w:r>
      <w:r w:rsidR="00996FAE">
        <w:t xml:space="preserve"> </w:t>
      </w:r>
      <w:r w:rsidR="00996FAE" w:rsidRPr="00C30BF3">
        <w:rPr>
          <w:b/>
          <w:bCs/>
        </w:rPr>
        <w:t>(Home Affairs Committee, 2021)</w:t>
      </w:r>
      <w:r w:rsidR="003F080E" w:rsidRPr="00C30BF3">
        <w:rPr>
          <w:b/>
          <w:bCs/>
        </w:rPr>
        <w:t>.</w:t>
      </w:r>
    </w:p>
    <w:p w14:paraId="0F561833" w14:textId="20E2F6E6" w:rsidR="00E0450A" w:rsidRDefault="00310E53" w:rsidP="003F080E">
      <w:r>
        <w:t xml:space="preserve">     </w:t>
      </w:r>
      <w:r w:rsidR="008E7AB7" w:rsidRPr="008E7AB7">
        <w:t>The significance of the ensuing changes</w:t>
      </w:r>
      <w:r w:rsidR="006A30FA">
        <w:t xml:space="preserve"> as a result of the McPherson report</w:t>
      </w:r>
      <w:r w:rsidR="008E7AB7" w:rsidRPr="008E7AB7">
        <w:t xml:space="preserve"> cannot be understated. In the aftermath, police forces nationwide began to shift focuses into what is known as a community police model</w:t>
      </w:r>
      <w:r w:rsidR="006A30FA">
        <w:t>, the result</w:t>
      </w:r>
      <w:r w:rsidR="0092791F" w:rsidRPr="008E7AB7">
        <w:t xml:space="preserve"> of</w:t>
      </w:r>
      <w:r w:rsidR="008E7AB7" w:rsidRPr="008E7AB7">
        <w:t xml:space="preserve"> the overhanging pressure placed on forces by the public in the aftermath of incident</w:t>
      </w:r>
      <w:r w:rsidR="00613878" w:rsidRPr="00613878">
        <w:rPr>
          <w:b/>
          <w:bCs/>
        </w:rPr>
        <w:t xml:space="preserve"> </w:t>
      </w:r>
      <w:r w:rsidR="00613878" w:rsidRPr="00C30BF3">
        <w:rPr>
          <w:b/>
          <w:bCs/>
        </w:rPr>
        <w:t>(Home Affairs Committee, 2021)</w:t>
      </w:r>
      <w:r w:rsidR="00613878">
        <w:t>.</w:t>
      </w:r>
      <w:r w:rsidR="00613878" w:rsidRPr="00C30BF3">
        <w:rPr>
          <w:b/>
          <w:bCs/>
        </w:rPr>
        <w:t xml:space="preserve"> </w:t>
      </w:r>
      <w:r w:rsidR="008E7AB7" w:rsidRPr="008E7AB7">
        <w:t xml:space="preserve"> The clear need to build a level of trust and cooperation between law enforcement</w:t>
      </w:r>
      <w:r w:rsidR="00935BC3">
        <w:t xml:space="preserve"> agencies</w:t>
      </w:r>
      <w:r w:rsidR="008E7AB7" w:rsidRPr="008E7AB7">
        <w:t xml:space="preserve">, and the communities they policed </w:t>
      </w:r>
      <w:r w:rsidR="00935BC3">
        <w:t>stood as</w:t>
      </w:r>
      <w:r w:rsidR="008E7AB7" w:rsidRPr="008E7AB7">
        <w:t xml:space="preserve"> a critical agenda that birthed the introduction of many measures, such as the use of </w:t>
      </w:r>
      <w:r w:rsidR="00935BC3">
        <w:t>Police Community Support Officers (PCSO’s)</w:t>
      </w:r>
      <w:r w:rsidR="008E7AB7" w:rsidRPr="008E7AB7">
        <w:t xml:space="preserve"> as supported in the Police Reform Act 2002</w:t>
      </w:r>
      <w:r w:rsidR="00613878">
        <w:t xml:space="preserve"> </w:t>
      </w:r>
      <w:r w:rsidR="00613878" w:rsidRPr="00C30BF3">
        <w:rPr>
          <w:b/>
          <w:bCs/>
        </w:rPr>
        <w:t>(Police Reform Act 2002)</w:t>
      </w:r>
      <w:r w:rsidR="008E7AB7" w:rsidRPr="008E7AB7">
        <w:t>.</w:t>
      </w:r>
      <w:r w:rsidR="00186E7B">
        <w:t xml:space="preserve"> Overall, we saw the shift to </w:t>
      </w:r>
      <w:r w:rsidR="009E706B">
        <w:t>an</w:t>
      </w:r>
      <w:r w:rsidR="00186E7B">
        <w:t xml:space="preserve"> ideology of </w:t>
      </w:r>
      <w:r w:rsidR="0092791F">
        <w:t>collaboration</w:t>
      </w:r>
      <w:r w:rsidR="00935BC3">
        <w:t xml:space="preserve"> in policing</w:t>
      </w:r>
      <w:r w:rsidR="0092791F">
        <w:t>, even down to the emphasis on multi-agency collaboration and community meetings</w:t>
      </w:r>
      <w:r w:rsidR="00D837CD">
        <w:t xml:space="preserve"> to ensure comprehensive handling of localised issues</w:t>
      </w:r>
      <w:r w:rsidR="00613878">
        <w:t xml:space="preserve"> </w:t>
      </w:r>
      <w:r w:rsidR="00613878" w:rsidRPr="00C30BF3">
        <w:rPr>
          <w:b/>
          <w:bCs/>
        </w:rPr>
        <w:t xml:space="preserve">(Sarah </w:t>
      </w:r>
      <w:proofErr w:type="spellStart"/>
      <w:r w:rsidR="00613878" w:rsidRPr="00C30BF3">
        <w:rPr>
          <w:b/>
          <w:bCs/>
        </w:rPr>
        <w:t>Colover</w:t>
      </w:r>
      <w:proofErr w:type="spellEnd"/>
      <w:r w:rsidR="00613878" w:rsidRPr="00C30BF3">
        <w:rPr>
          <w:b/>
          <w:bCs/>
        </w:rPr>
        <w:t xml:space="preserve"> and Paul Quinton, 2018)</w:t>
      </w:r>
      <w:r w:rsidR="0092791F">
        <w:t>.</w:t>
      </w:r>
      <w:r w:rsidR="008E7AB7" w:rsidRPr="008E7AB7">
        <w:t xml:space="preserve"> Along with this </w:t>
      </w:r>
      <w:r w:rsidR="00D837CD">
        <w:t>we</w:t>
      </w:r>
      <w:r w:rsidR="008E7AB7" w:rsidRPr="008E7AB7">
        <w:t xml:space="preserve"> saw the overhaul of the police training curriculum across the nation, with redesigns focusing on cultural awareness and dealing with racial bias. This was further complemented by shifting policies designed to increase cultural diversity within forces nationwide</w:t>
      </w:r>
      <w:r w:rsidR="00C30BF3">
        <w:t xml:space="preserve"> </w:t>
      </w:r>
      <w:r w:rsidR="00C30BF3" w:rsidRPr="00C30BF3">
        <w:rPr>
          <w:b/>
          <w:bCs/>
        </w:rPr>
        <w:t>(University of Leeds, n.d.)</w:t>
      </w:r>
      <w:r w:rsidR="00C30BF3" w:rsidRPr="00613878">
        <w:t>.</w:t>
      </w:r>
    </w:p>
    <w:p w14:paraId="701E6436" w14:textId="05BF6747" w:rsidR="00704EA3" w:rsidRDefault="00704EA3" w:rsidP="003F080E">
      <w:r>
        <w:t xml:space="preserve">     As you can see, the </w:t>
      </w:r>
      <w:r w:rsidR="00FF292D">
        <w:t xml:space="preserve">evolution of policing with these reforms </w:t>
      </w:r>
      <w:r w:rsidR="00FC4AB3">
        <w:t>stands as a testament to</w:t>
      </w:r>
      <w:r w:rsidR="00467D05">
        <w:t xml:space="preserve"> the shifting ideology </w:t>
      </w:r>
      <w:r w:rsidR="00FC4AB3">
        <w:t>that ensued as a result</w:t>
      </w:r>
      <w:r w:rsidR="0092791F">
        <w:t xml:space="preserve"> of</w:t>
      </w:r>
      <w:r w:rsidR="00467D05">
        <w:t xml:space="preserve"> the Steven Lawrence murder and McPherson Report</w:t>
      </w:r>
      <w:r w:rsidR="009C578F">
        <w:t>.</w:t>
      </w:r>
      <w:r w:rsidR="00467D05">
        <w:t xml:space="preserve"> </w:t>
      </w:r>
      <w:r w:rsidR="009C578F">
        <w:t>H</w:t>
      </w:r>
      <w:r w:rsidR="00467D05">
        <w:t xml:space="preserve">owever, </w:t>
      </w:r>
      <w:r w:rsidR="00B93612">
        <w:t xml:space="preserve">it is important that we assess the effectiveness of </w:t>
      </w:r>
      <w:r w:rsidR="00DE4100">
        <w:t xml:space="preserve">reform. </w:t>
      </w:r>
      <w:r w:rsidR="00080D2B">
        <w:t>With this,</w:t>
      </w:r>
      <w:r w:rsidR="00B93612">
        <w:t xml:space="preserve"> the </w:t>
      </w:r>
      <w:r w:rsidR="009C578F">
        <w:t xml:space="preserve">studies and evaluations that followed </w:t>
      </w:r>
      <w:r w:rsidR="00394A49">
        <w:t>the implementation of these reforms has painted a mixed picture.</w:t>
      </w:r>
      <w:r w:rsidR="00E32130">
        <w:t xml:space="preserve"> On the one hand, we have seen the creation of a more diverse and inclusive police </w:t>
      </w:r>
      <w:r w:rsidR="00487215">
        <w:t>force, with law enforcement</w:t>
      </w:r>
      <w:r w:rsidR="00BC0F23">
        <w:t xml:space="preserve"> agencies</w:t>
      </w:r>
      <w:r w:rsidR="00487215">
        <w:t xml:space="preserve"> nationwide </w:t>
      </w:r>
      <w:r w:rsidR="00582934">
        <w:t xml:space="preserve">focusing on the improvement of community relations. In the following years </w:t>
      </w:r>
      <w:r w:rsidR="00785502">
        <w:t xml:space="preserve">the </w:t>
      </w:r>
      <w:r w:rsidR="00DC6D54">
        <w:t xml:space="preserve">use </w:t>
      </w:r>
      <w:r w:rsidR="00817F21">
        <w:t>of</w:t>
      </w:r>
      <w:r w:rsidR="00DC6D54">
        <w:t xml:space="preserve"> community </w:t>
      </w:r>
      <w:r w:rsidR="00994405">
        <w:t xml:space="preserve">policing initiatives and </w:t>
      </w:r>
      <w:r w:rsidR="00156477">
        <w:t>community engagement programs</w:t>
      </w:r>
      <w:r w:rsidR="00873663">
        <w:t xml:space="preserve"> became more common</w:t>
      </w:r>
      <w:r w:rsidR="00156477">
        <w:t xml:space="preserve">, designed to build report between </w:t>
      </w:r>
      <w:r w:rsidR="00914D37">
        <w:t>the police, the communities they police</w:t>
      </w:r>
      <w:r w:rsidR="00873663">
        <w:t xml:space="preserve"> and supporting </w:t>
      </w:r>
      <w:r w:rsidR="0071763E">
        <w:t>agencies within a local community</w:t>
      </w:r>
      <w:r w:rsidR="00914D37">
        <w:t xml:space="preserve">. </w:t>
      </w:r>
      <w:r w:rsidR="008F3387">
        <w:t>An example of this is the Neighbourhood Policing Programme, involving assigning police officers to specific neighbourhoods where they work closely with the local community to identify and solve</w:t>
      </w:r>
      <w:r w:rsidR="0071763E">
        <w:t xml:space="preserve"> specific</w:t>
      </w:r>
      <w:r w:rsidR="008F3387">
        <w:t xml:space="preserve"> </w:t>
      </w:r>
      <w:r w:rsidR="00B6414E">
        <w:t>local</w:t>
      </w:r>
      <w:r w:rsidR="008F3387">
        <w:t xml:space="preserve"> problems</w:t>
      </w:r>
      <w:r w:rsidR="007315C1">
        <w:t xml:space="preserve"> </w:t>
      </w:r>
      <w:r w:rsidR="007315C1" w:rsidRPr="70E46543">
        <w:rPr>
          <w:b/>
          <w:bCs/>
        </w:rPr>
        <w:t>(Somerville, n.d.)</w:t>
      </w:r>
      <w:r w:rsidR="008F3387">
        <w:t xml:space="preserve">. </w:t>
      </w:r>
      <w:r w:rsidR="00914D37">
        <w:t>We have also seen improving metrics in police diversity</w:t>
      </w:r>
      <w:r w:rsidR="00A67D91">
        <w:t xml:space="preserve"> over recent </w:t>
      </w:r>
      <w:r w:rsidR="005130E0">
        <w:t>years</w:t>
      </w:r>
      <w:r w:rsidR="00B733D2">
        <w:t xml:space="preserve">. Between 2007 and 2020, the police force went from 96.1% white to </w:t>
      </w:r>
      <w:r w:rsidR="0062246B">
        <w:t xml:space="preserve">92.7%, with the black </w:t>
      </w:r>
      <w:r w:rsidR="00971994">
        <w:t>percentage increasing from 1% to 1.3%, and even larger the Asian percentage increasing from 1.5% to 3.</w:t>
      </w:r>
      <w:r w:rsidR="00AD0CF3">
        <w:t>1</w:t>
      </w:r>
      <w:r w:rsidR="00971994">
        <w:t>%.</w:t>
      </w:r>
      <w:r w:rsidR="00AD0CF3">
        <w:t xml:space="preserve"> All data shows that there is a consistent increase of</w:t>
      </w:r>
      <w:r w:rsidR="00A034DE">
        <w:t xml:space="preserve"> every minority group in the UK, along with a decreasing white proportion showing that the diversity within law enforcement is becoming more proportionate </w:t>
      </w:r>
      <w:r w:rsidR="008958B2">
        <w:t>in relation to the UK ethnicity statistics</w:t>
      </w:r>
      <w:r w:rsidR="00B26BF5">
        <w:t xml:space="preserve"> </w:t>
      </w:r>
      <w:r w:rsidR="00B26BF5" w:rsidRPr="70E46543">
        <w:rPr>
          <w:b/>
          <w:bCs/>
        </w:rPr>
        <w:t>(UK Government, 2023a)</w:t>
      </w:r>
      <w:r w:rsidR="00584647" w:rsidRPr="70E46543">
        <w:rPr>
          <w:b/>
          <w:bCs/>
        </w:rPr>
        <w:t xml:space="preserve"> (UK Government, 2023b)</w:t>
      </w:r>
      <w:r w:rsidR="008958B2">
        <w:t>.</w:t>
      </w:r>
      <w:r w:rsidR="002F3003">
        <w:t xml:space="preserve"> </w:t>
      </w:r>
      <w:r w:rsidR="00150175">
        <w:t>The m</w:t>
      </w:r>
      <w:r w:rsidR="002F3003">
        <w:t xml:space="preserve">odern policing </w:t>
      </w:r>
      <w:r w:rsidR="00150175">
        <w:t xml:space="preserve">doctrine </w:t>
      </w:r>
      <w:r w:rsidR="002F3003">
        <w:t xml:space="preserve">is more </w:t>
      </w:r>
      <w:r w:rsidR="00150175">
        <w:t>sensitive to</w:t>
      </w:r>
      <w:r w:rsidR="002F3003">
        <w:t xml:space="preserve"> the complexities of race relations and community dynamics within </w:t>
      </w:r>
      <w:r w:rsidR="000C0480">
        <w:t>society,</w:t>
      </w:r>
      <w:r w:rsidR="002F3003">
        <w:t xml:space="preserve"> </w:t>
      </w:r>
      <w:r w:rsidR="000C0480">
        <w:t>with</w:t>
      </w:r>
      <w:r w:rsidR="002F3003">
        <w:t xml:space="preserve"> a greater emphasis on transparency and accountability</w:t>
      </w:r>
      <w:r w:rsidR="00150175">
        <w:t>, incorporating</w:t>
      </w:r>
      <w:r w:rsidR="002F3003">
        <w:t xml:space="preserve"> mechanisms for public </w:t>
      </w:r>
      <w:r w:rsidR="000C0480">
        <w:t>cooperation</w:t>
      </w:r>
      <w:r w:rsidR="002F3003">
        <w:t>. However, it's crucial to recogni</w:t>
      </w:r>
      <w:r w:rsidR="000C0480">
        <w:t>s</w:t>
      </w:r>
      <w:r w:rsidR="002F3003">
        <w:t xml:space="preserve">e that </w:t>
      </w:r>
      <w:r w:rsidR="00AF6F03">
        <w:t>evolving</w:t>
      </w:r>
      <w:r w:rsidR="000C0480">
        <w:t xml:space="preserve"> alongside </w:t>
      </w:r>
      <w:r w:rsidR="00AF6F03">
        <w:t>society</w:t>
      </w:r>
      <w:r w:rsidR="002F3003">
        <w:t xml:space="preserve"> is a continuous process, and policing practices must evolve </w:t>
      </w:r>
      <w:r w:rsidR="00AF6F03">
        <w:t>accordingly</w:t>
      </w:r>
      <w:r w:rsidR="004844BF">
        <w:t xml:space="preserve"> to maintain, or even improve the efficiency at which they can </w:t>
      </w:r>
      <w:r w:rsidR="004E2F07">
        <w:t>perform</w:t>
      </w:r>
      <w:r w:rsidR="000E52FE">
        <w:t xml:space="preserve"> </w:t>
      </w:r>
      <w:r w:rsidR="000E52FE" w:rsidRPr="70E46543">
        <w:rPr>
          <w:b/>
          <w:bCs/>
        </w:rPr>
        <w:t>(Holdaway, 2013)</w:t>
      </w:r>
      <w:r w:rsidR="00AF6F03" w:rsidRPr="70E46543">
        <w:rPr>
          <w:b/>
          <w:bCs/>
        </w:rPr>
        <w:t>.</w:t>
      </w:r>
      <w:r w:rsidR="00C27494" w:rsidRPr="70E46543">
        <w:rPr>
          <w:b/>
          <w:bCs/>
        </w:rPr>
        <w:t xml:space="preserve"> </w:t>
      </w:r>
      <w:r w:rsidR="00B23422">
        <w:t xml:space="preserve">Despite these positive changes, law enforcement agencies are still struggling with </w:t>
      </w:r>
      <w:r w:rsidR="009D44AF">
        <w:t>several</w:t>
      </w:r>
      <w:r w:rsidR="00DC15CA">
        <w:t xml:space="preserve"> issues of public trust, </w:t>
      </w:r>
      <w:r w:rsidR="00B1594B">
        <w:t xml:space="preserve">and </w:t>
      </w:r>
      <w:r w:rsidR="00DC15CA">
        <w:t>still heavily within minority communities.</w:t>
      </w:r>
      <w:r w:rsidR="00836DE4">
        <w:t xml:space="preserve"> Between </w:t>
      </w:r>
      <w:r w:rsidR="0092791F">
        <w:t>March</w:t>
      </w:r>
      <w:r w:rsidR="00836DE4">
        <w:t xml:space="preserve"> 2021 and 2022, surveys saw a drop</w:t>
      </w:r>
      <w:r w:rsidR="00706651">
        <w:t xml:space="preserve"> in the percentage of people holding trust in the police, dropping from 80% down to 73%</w:t>
      </w:r>
      <w:r w:rsidR="00386744">
        <w:t xml:space="preserve">, along with an 8% decrease of those </w:t>
      </w:r>
      <w:r w:rsidR="00386744">
        <w:lastRenderedPageBreak/>
        <w:t>feeling that the police treat everyone fairly</w:t>
      </w:r>
      <w:r w:rsidR="50273F65">
        <w:t xml:space="preserve"> and a 7% decrease in those saying they are confident in the police</w:t>
      </w:r>
      <w:r w:rsidR="00986C7C">
        <w:t xml:space="preserve"> </w:t>
      </w:r>
      <w:r w:rsidR="00986C7C" w:rsidRPr="70E46543">
        <w:rPr>
          <w:b/>
          <w:bCs/>
        </w:rPr>
        <w:t>(Tudor, 2023</w:t>
      </w:r>
      <w:r w:rsidR="00CF11CA" w:rsidRPr="70E46543">
        <w:rPr>
          <w:b/>
          <w:bCs/>
        </w:rPr>
        <w:t>)</w:t>
      </w:r>
      <w:r w:rsidR="00CF11CA">
        <w:t>.</w:t>
      </w:r>
      <w:r w:rsidR="00986C7C">
        <w:t xml:space="preserve"> This further highlights the need to be constantly </w:t>
      </w:r>
      <w:r w:rsidR="007358BD">
        <w:t>vigilant</w:t>
      </w:r>
      <w:r w:rsidR="00986C7C">
        <w:t xml:space="preserve"> of police practice, adapting and </w:t>
      </w:r>
      <w:r w:rsidR="007358BD">
        <w:t xml:space="preserve">taking every possible step to ensure we do not </w:t>
      </w:r>
      <w:r w:rsidR="009D44AF">
        <w:t>revert</w:t>
      </w:r>
      <w:r w:rsidR="007358BD">
        <w:t xml:space="preserve"> to the mistrust of the past.</w:t>
      </w:r>
      <w:r w:rsidR="00356CBD">
        <w:t xml:space="preserve"> </w:t>
      </w:r>
      <w:r w:rsidR="00BE4B38">
        <w:t>Considering</w:t>
      </w:r>
      <w:r w:rsidR="00356CBD">
        <w:t xml:space="preserve"> w</w:t>
      </w:r>
      <w:r w:rsidR="004E2F07">
        <w:t>h</w:t>
      </w:r>
      <w:r w:rsidR="00356CBD">
        <w:t xml:space="preserve">ere we started decades ago, </w:t>
      </w:r>
      <w:r w:rsidR="004E2F07">
        <w:t>in the modern day we find ourselves in</w:t>
      </w:r>
      <w:r w:rsidR="00356CBD">
        <w:t xml:space="preserve"> a far better </w:t>
      </w:r>
      <w:r w:rsidR="004E2F07">
        <w:t>position</w:t>
      </w:r>
      <w:r w:rsidR="00BE4B38">
        <w:t>,</w:t>
      </w:r>
      <w:r w:rsidR="00356CBD">
        <w:t xml:space="preserve"> a</w:t>
      </w:r>
      <w:r w:rsidR="00BE4B38">
        <w:t>long</w:t>
      </w:r>
      <w:r w:rsidR="00356CBD">
        <w:t xml:space="preserve"> </w:t>
      </w:r>
      <w:r w:rsidR="00BE4B38">
        <w:t xml:space="preserve">with facts and </w:t>
      </w:r>
      <w:r w:rsidR="00356CBD">
        <w:t xml:space="preserve">statistics </w:t>
      </w:r>
      <w:r w:rsidR="00BE4B38">
        <w:t xml:space="preserve">showing a shift towards an inclusive, </w:t>
      </w:r>
      <w:r w:rsidR="00A527F8">
        <w:t>diverse,</w:t>
      </w:r>
      <w:r w:rsidR="00BE4B38">
        <w:t xml:space="preserve"> and </w:t>
      </w:r>
      <w:r w:rsidR="00BC3FFC">
        <w:t>community-oriented</w:t>
      </w:r>
      <w:r w:rsidR="00BE4B38">
        <w:t xml:space="preserve"> policing model. Despite this, in recent years, we have seen slight deterioration; however, this can also be </w:t>
      </w:r>
      <w:r w:rsidR="00BC3FFC">
        <w:t>attributed to external factors such as the George Floyd incident</w:t>
      </w:r>
      <w:r w:rsidR="00A527F8">
        <w:t xml:space="preserve"> sparking public outrage</w:t>
      </w:r>
      <w:r w:rsidR="00B60EF3">
        <w:t xml:space="preserve"> in both America and home, coupled with</w:t>
      </w:r>
      <w:r w:rsidR="00BC3FFC">
        <w:t xml:space="preserve"> the Covid-19 pandemic</w:t>
      </w:r>
      <w:r w:rsidR="00A527F8">
        <w:t xml:space="preserve"> creating troubling times for our nation</w:t>
      </w:r>
      <w:r w:rsidR="005A54AE">
        <w:t xml:space="preserve"> </w:t>
      </w:r>
      <w:r w:rsidR="005A54AE" w:rsidRPr="70E46543">
        <w:rPr>
          <w:rFonts w:ascii="Calibri" w:hAnsi="Calibri" w:cs="Calibri"/>
          <w:b/>
          <w:bCs/>
        </w:rPr>
        <w:t xml:space="preserve">(Pryce and </w:t>
      </w:r>
      <w:proofErr w:type="spellStart"/>
      <w:r w:rsidR="005A54AE" w:rsidRPr="70E46543">
        <w:rPr>
          <w:rFonts w:ascii="Calibri" w:hAnsi="Calibri" w:cs="Calibri"/>
          <w:b/>
          <w:bCs/>
        </w:rPr>
        <w:t>Chenane</w:t>
      </w:r>
      <w:proofErr w:type="spellEnd"/>
      <w:r w:rsidR="005A54AE" w:rsidRPr="70E46543">
        <w:rPr>
          <w:rFonts w:ascii="Calibri" w:hAnsi="Calibri" w:cs="Calibri"/>
          <w:b/>
          <w:bCs/>
        </w:rPr>
        <w:t>, 2021)</w:t>
      </w:r>
      <w:r w:rsidR="00BC3FFC" w:rsidRPr="70E46543">
        <w:rPr>
          <w:b/>
          <w:bCs/>
        </w:rPr>
        <w:t>.</w:t>
      </w:r>
      <w:r w:rsidR="00272D5C">
        <w:rPr>
          <w:b/>
          <w:bCs/>
        </w:rPr>
        <w:t xml:space="preserve"> </w:t>
      </w:r>
      <w:r w:rsidR="00272D5C">
        <w:t xml:space="preserve">If anything, this </w:t>
      </w:r>
      <w:r w:rsidR="00696DF1">
        <w:t>demonstrates how fragile public relations can be, with the global landscape</w:t>
      </w:r>
      <w:r w:rsidR="005D322C">
        <w:t xml:space="preserve"> having adverse effects, even in situations our forces don’t directly control.</w:t>
      </w:r>
    </w:p>
    <w:p w14:paraId="210434A7" w14:textId="77777777" w:rsidR="00F96E3C" w:rsidRDefault="00F96E3C" w:rsidP="003F080E"/>
    <w:p w14:paraId="29C9E98A" w14:textId="77777777" w:rsidR="00F96E3C" w:rsidRPr="00F96E3C" w:rsidRDefault="00F96E3C" w:rsidP="00F96E3C"/>
    <w:p w14:paraId="311D5A25" w14:textId="77777777" w:rsidR="00C20D3F" w:rsidRDefault="00C20D3F">
      <w:r>
        <w:br w:type="page"/>
      </w:r>
    </w:p>
    <w:p w14:paraId="76A8B4C0" w14:textId="495DB81C" w:rsidR="00C20D3F" w:rsidRPr="003F080E" w:rsidRDefault="00C20D3F" w:rsidP="00C20D3F">
      <w:pPr>
        <w:pStyle w:val="Heading1"/>
      </w:pPr>
      <w:bookmarkStart w:id="1" w:name="_Toc155969293"/>
      <w:r>
        <w:lastRenderedPageBreak/>
        <w:t>Bibliography</w:t>
      </w:r>
      <w:bookmarkEnd w:id="1"/>
    </w:p>
    <w:p w14:paraId="034DC505" w14:textId="5E65547B" w:rsidR="59672DA0" w:rsidRDefault="59672DA0" w:rsidP="70E46543">
      <w:pPr>
        <w:shd w:val="clear" w:color="auto" w:fill="FFFFFF" w:themeFill="background1"/>
        <w:spacing w:line="330" w:lineRule="exact"/>
      </w:pPr>
      <w:r w:rsidRPr="70E46543">
        <w:rPr>
          <w:rFonts w:ascii="Calibri" w:eastAsia="Calibri" w:hAnsi="Calibri" w:cs="Calibri"/>
          <w:color w:val="000000" w:themeColor="text1"/>
        </w:rPr>
        <w:t xml:space="preserve">Holdaway, S. (2013). Police Race Relations in the Big Society: Continuity and Change. </w:t>
      </w:r>
      <w:r w:rsidRPr="70E46543">
        <w:rPr>
          <w:rFonts w:ascii="Calibri" w:eastAsia="Calibri" w:hAnsi="Calibri" w:cs="Calibri"/>
          <w:i/>
          <w:iCs/>
          <w:color w:val="000000" w:themeColor="text1"/>
        </w:rPr>
        <w:t>Criminology &amp; Criminal Justice</w:t>
      </w:r>
      <w:r w:rsidRPr="70E46543">
        <w:rPr>
          <w:rFonts w:ascii="Calibri" w:eastAsia="Calibri" w:hAnsi="Calibri" w:cs="Calibri"/>
          <w:color w:val="000000" w:themeColor="text1"/>
        </w:rPr>
        <w:t xml:space="preserve">, 13(2), pp.215–230. </w:t>
      </w:r>
      <w:proofErr w:type="spellStart"/>
      <w:proofErr w:type="gramStart"/>
      <w:r w:rsidRPr="70E46543">
        <w:rPr>
          <w:rFonts w:ascii="Calibri" w:eastAsia="Calibri" w:hAnsi="Calibri" w:cs="Calibri"/>
          <w:color w:val="000000" w:themeColor="text1"/>
        </w:rPr>
        <w:t>doi:https</w:t>
      </w:r>
      <w:proofErr w:type="spellEnd"/>
      <w:r w:rsidRPr="70E46543">
        <w:rPr>
          <w:rFonts w:ascii="Calibri" w:eastAsia="Calibri" w:hAnsi="Calibri" w:cs="Calibri"/>
          <w:color w:val="000000" w:themeColor="text1"/>
        </w:rPr>
        <w:t>://doi.org/10.1177/1748895812474283</w:t>
      </w:r>
      <w:proofErr w:type="gramEnd"/>
      <w:r w:rsidRPr="70E46543">
        <w:rPr>
          <w:rFonts w:ascii="Calibri" w:eastAsia="Calibri" w:hAnsi="Calibri" w:cs="Calibri"/>
          <w:color w:val="000000" w:themeColor="text1"/>
        </w:rPr>
        <w:t>.</w:t>
      </w:r>
    </w:p>
    <w:p w14:paraId="4B7268CB" w14:textId="15BEF715"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2DFDF723" w14:textId="12153740" w:rsidR="59672DA0" w:rsidRDefault="59672DA0" w:rsidP="70E46543">
      <w:pPr>
        <w:shd w:val="clear" w:color="auto" w:fill="FFFFFF" w:themeFill="background1"/>
        <w:spacing w:line="330" w:lineRule="exact"/>
      </w:pPr>
      <w:r w:rsidRPr="70E46543">
        <w:rPr>
          <w:rFonts w:ascii="Calibri" w:eastAsia="Calibri" w:hAnsi="Calibri" w:cs="Calibri"/>
          <w:color w:val="000000" w:themeColor="text1"/>
        </w:rPr>
        <w:t xml:space="preserve">Home Affairs Committee (2021). </w:t>
      </w:r>
      <w:r w:rsidRPr="70E46543">
        <w:rPr>
          <w:rFonts w:ascii="Calibri" w:eastAsia="Calibri" w:hAnsi="Calibri" w:cs="Calibri"/>
          <w:i/>
          <w:iCs/>
          <w:color w:val="000000" w:themeColor="text1"/>
        </w:rPr>
        <w:t>The Macpherson Report: Twenty-Two Years on</w:t>
      </w:r>
      <w:r w:rsidRPr="70E46543">
        <w:rPr>
          <w:rFonts w:ascii="Calibri" w:eastAsia="Calibri" w:hAnsi="Calibri" w:cs="Calibri"/>
          <w:color w:val="000000" w:themeColor="text1"/>
        </w:rPr>
        <w:t xml:space="preserve">. [online] House of Commons. Available at: </w:t>
      </w:r>
      <w:r w:rsidRPr="70E46543">
        <w:rPr>
          <w:rFonts w:ascii="Calibri" w:eastAsia="Calibri" w:hAnsi="Calibri" w:cs="Calibri"/>
        </w:rPr>
        <w:t>https://committees.parliament.uk/publications/7012/documents/89144/default/</w:t>
      </w:r>
      <w:r w:rsidRPr="70E46543">
        <w:rPr>
          <w:rFonts w:ascii="Calibri" w:eastAsia="Calibri" w:hAnsi="Calibri" w:cs="Calibri"/>
          <w:color w:val="000000" w:themeColor="text1"/>
        </w:rPr>
        <w:t xml:space="preserve"> [Accessed 22 Nov. 2023].</w:t>
      </w:r>
    </w:p>
    <w:p w14:paraId="3483CE6F" w14:textId="40A64921"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27F283CE" w14:textId="01FE5A3E" w:rsidR="59672DA0" w:rsidRDefault="59672DA0" w:rsidP="70E46543">
      <w:pPr>
        <w:spacing w:line="330" w:lineRule="exact"/>
      </w:pPr>
      <w:r w:rsidRPr="70E46543">
        <w:rPr>
          <w:rFonts w:ascii="Calibri" w:eastAsia="Calibri" w:hAnsi="Calibri" w:cs="Calibri"/>
          <w:i/>
          <w:iCs/>
          <w:color w:val="000000" w:themeColor="text1"/>
        </w:rPr>
        <w:t>Police Reform Act 2002</w:t>
      </w:r>
      <w:r w:rsidRPr="70E46543">
        <w:rPr>
          <w:rFonts w:ascii="Calibri" w:eastAsia="Calibri" w:hAnsi="Calibri" w:cs="Calibri"/>
          <w:color w:val="000000" w:themeColor="text1"/>
        </w:rPr>
        <w:t xml:space="preserve">. Available at: </w:t>
      </w:r>
      <w:r w:rsidRPr="70E46543">
        <w:rPr>
          <w:rFonts w:ascii="Calibri" w:eastAsia="Calibri" w:hAnsi="Calibri" w:cs="Calibri"/>
        </w:rPr>
        <w:t>https://www.legislation.gov.uk/ukpga/2002/30/contents</w:t>
      </w:r>
      <w:r w:rsidRPr="70E46543">
        <w:rPr>
          <w:rFonts w:ascii="Calibri" w:eastAsia="Calibri" w:hAnsi="Calibri" w:cs="Calibri"/>
          <w:color w:val="000000" w:themeColor="text1"/>
        </w:rPr>
        <w:t xml:space="preserve"> [Accessed 22 Nov. 2023].</w:t>
      </w:r>
    </w:p>
    <w:p w14:paraId="721862D4" w14:textId="32D9FF8B" w:rsidR="70E46543" w:rsidRDefault="70E46543" w:rsidP="70E46543">
      <w:pPr>
        <w:spacing w:line="330" w:lineRule="exact"/>
        <w:rPr>
          <w:rFonts w:ascii="Calibri" w:eastAsia="Calibri" w:hAnsi="Calibri" w:cs="Calibri"/>
          <w:color w:val="000000" w:themeColor="text1"/>
        </w:rPr>
      </w:pPr>
    </w:p>
    <w:p w14:paraId="02AD65FC" w14:textId="14E6126B" w:rsidR="59672DA0" w:rsidRDefault="59672DA0" w:rsidP="70E46543">
      <w:pPr>
        <w:shd w:val="clear" w:color="auto" w:fill="FFFFFF" w:themeFill="background1"/>
        <w:spacing w:line="330" w:lineRule="exact"/>
      </w:pPr>
      <w:r w:rsidRPr="70E46543">
        <w:rPr>
          <w:rFonts w:ascii="Calibri" w:eastAsia="Calibri" w:hAnsi="Calibri" w:cs="Calibri"/>
          <w:color w:val="000000" w:themeColor="text1"/>
        </w:rPr>
        <w:t xml:space="preserve">Pryce, D.K. and </w:t>
      </w:r>
      <w:proofErr w:type="spellStart"/>
      <w:r w:rsidRPr="70E46543">
        <w:rPr>
          <w:rFonts w:ascii="Calibri" w:eastAsia="Calibri" w:hAnsi="Calibri" w:cs="Calibri"/>
          <w:color w:val="000000" w:themeColor="text1"/>
        </w:rPr>
        <w:t>Chenane</w:t>
      </w:r>
      <w:proofErr w:type="spellEnd"/>
      <w:r w:rsidRPr="70E46543">
        <w:rPr>
          <w:rFonts w:ascii="Calibri" w:eastAsia="Calibri" w:hAnsi="Calibri" w:cs="Calibri"/>
          <w:color w:val="000000" w:themeColor="text1"/>
        </w:rPr>
        <w:t xml:space="preserve">, J.L. (2021). Trust and Confidence in Police Officers and the Institution of Policing: </w:t>
      </w:r>
      <w:proofErr w:type="gramStart"/>
      <w:r w:rsidRPr="70E46543">
        <w:rPr>
          <w:rFonts w:ascii="Calibri" w:eastAsia="Calibri" w:hAnsi="Calibri" w:cs="Calibri"/>
          <w:color w:val="000000" w:themeColor="text1"/>
        </w:rPr>
        <w:t>the</w:t>
      </w:r>
      <w:proofErr w:type="gramEnd"/>
      <w:r w:rsidRPr="70E46543">
        <w:rPr>
          <w:rFonts w:ascii="Calibri" w:eastAsia="Calibri" w:hAnsi="Calibri" w:cs="Calibri"/>
          <w:color w:val="000000" w:themeColor="text1"/>
        </w:rPr>
        <w:t xml:space="preserve"> Views of African Americans in the American South. </w:t>
      </w:r>
      <w:r w:rsidRPr="70E46543">
        <w:rPr>
          <w:rFonts w:ascii="Calibri" w:eastAsia="Calibri" w:hAnsi="Calibri" w:cs="Calibri"/>
          <w:i/>
          <w:iCs/>
          <w:color w:val="000000" w:themeColor="text1"/>
        </w:rPr>
        <w:t>Crime &amp; Delinquency</w:t>
      </w:r>
      <w:r w:rsidRPr="70E46543">
        <w:rPr>
          <w:rFonts w:ascii="Calibri" w:eastAsia="Calibri" w:hAnsi="Calibri" w:cs="Calibri"/>
          <w:color w:val="000000" w:themeColor="text1"/>
        </w:rPr>
        <w:t xml:space="preserve">, 67(6-7). </w:t>
      </w:r>
      <w:proofErr w:type="spellStart"/>
      <w:proofErr w:type="gramStart"/>
      <w:r w:rsidRPr="70E46543">
        <w:rPr>
          <w:rFonts w:ascii="Calibri" w:eastAsia="Calibri" w:hAnsi="Calibri" w:cs="Calibri"/>
          <w:color w:val="000000" w:themeColor="text1"/>
        </w:rPr>
        <w:t>doi:https</w:t>
      </w:r>
      <w:proofErr w:type="spellEnd"/>
      <w:r w:rsidRPr="70E46543">
        <w:rPr>
          <w:rFonts w:ascii="Calibri" w:eastAsia="Calibri" w:hAnsi="Calibri" w:cs="Calibri"/>
          <w:color w:val="000000" w:themeColor="text1"/>
        </w:rPr>
        <w:t>://doi.org/10.1177/0011128721991823</w:t>
      </w:r>
      <w:proofErr w:type="gramEnd"/>
      <w:r w:rsidRPr="70E46543">
        <w:rPr>
          <w:rFonts w:ascii="Calibri" w:eastAsia="Calibri" w:hAnsi="Calibri" w:cs="Calibri"/>
          <w:color w:val="000000" w:themeColor="text1"/>
        </w:rPr>
        <w:t>.</w:t>
      </w:r>
    </w:p>
    <w:p w14:paraId="1AC6A870" w14:textId="52C05939"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50F89F4B" w14:textId="1849A951" w:rsidR="59672DA0" w:rsidRDefault="59672DA0" w:rsidP="70E46543">
      <w:pPr>
        <w:shd w:val="clear" w:color="auto" w:fill="FFFFFF" w:themeFill="background1"/>
        <w:spacing w:line="330" w:lineRule="exact"/>
      </w:pPr>
      <w:r w:rsidRPr="70E46543">
        <w:rPr>
          <w:rFonts w:ascii="Calibri" w:eastAsia="Calibri" w:hAnsi="Calibri" w:cs="Calibri"/>
          <w:color w:val="000000" w:themeColor="text1"/>
        </w:rPr>
        <w:t xml:space="preserve">Sarah </w:t>
      </w:r>
      <w:proofErr w:type="spellStart"/>
      <w:r w:rsidRPr="70E46543">
        <w:rPr>
          <w:rFonts w:ascii="Calibri" w:eastAsia="Calibri" w:hAnsi="Calibri" w:cs="Calibri"/>
          <w:color w:val="000000" w:themeColor="text1"/>
        </w:rPr>
        <w:t>Colover</w:t>
      </w:r>
      <w:proofErr w:type="spellEnd"/>
      <w:r w:rsidRPr="70E46543">
        <w:rPr>
          <w:rFonts w:ascii="Calibri" w:eastAsia="Calibri" w:hAnsi="Calibri" w:cs="Calibri"/>
          <w:color w:val="000000" w:themeColor="text1"/>
        </w:rPr>
        <w:t xml:space="preserve"> and Paul Quinton (2018). </w:t>
      </w:r>
      <w:r w:rsidRPr="70E46543">
        <w:rPr>
          <w:rFonts w:ascii="Calibri" w:eastAsia="Calibri" w:hAnsi="Calibri" w:cs="Calibri"/>
          <w:i/>
          <w:iCs/>
          <w:color w:val="000000" w:themeColor="text1"/>
        </w:rPr>
        <w:t>Neighbourhood policing: Impact and Implementation</w:t>
      </w:r>
      <w:r w:rsidRPr="70E46543">
        <w:rPr>
          <w:rFonts w:ascii="Calibri" w:eastAsia="Calibri" w:hAnsi="Calibri" w:cs="Calibri"/>
          <w:color w:val="000000" w:themeColor="text1"/>
        </w:rPr>
        <w:t xml:space="preserve">. [online] College of Policing. Available at: </w:t>
      </w:r>
      <w:r w:rsidRPr="70E46543">
        <w:rPr>
          <w:rFonts w:ascii="Calibri" w:eastAsia="Calibri" w:hAnsi="Calibri" w:cs="Calibri"/>
        </w:rPr>
        <w:t>https://prohic.nl/wp-content/uploads/2020/11/2020-04-14-Neighbourhood_policing_impact_and_implementation.2018.pdf</w:t>
      </w:r>
      <w:r w:rsidRPr="70E46543">
        <w:rPr>
          <w:rFonts w:ascii="Calibri" w:eastAsia="Calibri" w:hAnsi="Calibri" w:cs="Calibri"/>
          <w:color w:val="000000" w:themeColor="text1"/>
        </w:rPr>
        <w:t xml:space="preserve"> [Accessed 22 Nov. 2023].</w:t>
      </w:r>
    </w:p>
    <w:p w14:paraId="0B127472" w14:textId="398052AA"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1CEDD554" w14:textId="37F0D69B" w:rsidR="0CE6A39A" w:rsidRDefault="0CE6A39A" w:rsidP="70E46543">
      <w:pPr>
        <w:shd w:val="clear" w:color="auto" w:fill="FFFFFF" w:themeFill="background1"/>
        <w:spacing w:line="330" w:lineRule="exact"/>
      </w:pPr>
      <w:r w:rsidRPr="70E46543">
        <w:rPr>
          <w:rFonts w:ascii="Calibri" w:eastAsia="Calibri" w:hAnsi="Calibri" w:cs="Calibri"/>
          <w:color w:val="000000" w:themeColor="text1"/>
        </w:rPr>
        <w:t xml:space="preserve">Somerville, P. (n.d.). </w:t>
      </w:r>
      <w:r w:rsidRPr="70E46543">
        <w:rPr>
          <w:rFonts w:ascii="Calibri" w:eastAsia="Calibri" w:hAnsi="Calibri" w:cs="Calibri"/>
          <w:i/>
          <w:iCs/>
          <w:color w:val="000000" w:themeColor="text1"/>
        </w:rPr>
        <w:t>Understanding Community Policing</w:t>
      </w:r>
      <w:r w:rsidRPr="70E46543">
        <w:rPr>
          <w:rFonts w:ascii="Calibri" w:eastAsia="Calibri" w:hAnsi="Calibri" w:cs="Calibri"/>
          <w:color w:val="000000" w:themeColor="text1"/>
        </w:rPr>
        <w:t>. University of Lincoln.</w:t>
      </w:r>
    </w:p>
    <w:p w14:paraId="78521753" w14:textId="1D716C56"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52D20D0E" w14:textId="64CFC398" w:rsidR="0CE6A39A" w:rsidRDefault="0CE6A39A" w:rsidP="70E46543">
      <w:pPr>
        <w:shd w:val="clear" w:color="auto" w:fill="FFFFFF" w:themeFill="background1"/>
        <w:spacing w:line="330" w:lineRule="exact"/>
      </w:pPr>
      <w:r w:rsidRPr="70E46543">
        <w:rPr>
          <w:rFonts w:ascii="Calibri" w:eastAsia="Calibri" w:hAnsi="Calibri" w:cs="Calibri"/>
          <w:color w:val="000000" w:themeColor="text1"/>
        </w:rPr>
        <w:t xml:space="preserve">Tudor, S. (2023). </w:t>
      </w:r>
      <w:r w:rsidRPr="70E46543">
        <w:rPr>
          <w:rFonts w:ascii="Calibri" w:eastAsia="Calibri" w:hAnsi="Calibri" w:cs="Calibri"/>
          <w:i/>
          <w:iCs/>
          <w:color w:val="000000" w:themeColor="text1"/>
        </w:rPr>
        <w:t>Police Standards and culture: Restoring Public Trust</w:t>
      </w:r>
      <w:r w:rsidRPr="70E46543">
        <w:rPr>
          <w:rFonts w:ascii="Calibri" w:eastAsia="Calibri" w:hAnsi="Calibri" w:cs="Calibri"/>
          <w:color w:val="000000" w:themeColor="text1"/>
        </w:rPr>
        <w:t xml:space="preserve">. [online] Available at: </w:t>
      </w:r>
      <w:r w:rsidRPr="70E46543">
        <w:rPr>
          <w:rFonts w:ascii="Calibri" w:eastAsia="Calibri" w:hAnsi="Calibri" w:cs="Calibri"/>
        </w:rPr>
        <w:t>https://lordslibrary.parliament.uk/police-standards-and-culture-restoring-public-trust/</w:t>
      </w:r>
      <w:r w:rsidRPr="70E46543">
        <w:rPr>
          <w:rFonts w:ascii="Calibri" w:eastAsia="Calibri" w:hAnsi="Calibri" w:cs="Calibri"/>
          <w:color w:val="000000" w:themeColor="text1"/>
        </w:rPr>
        <w:t xml:space="preserve"> [Accessed 30 Nov. 2023].</w:t>
      </w:r>
    </w:p>
    <w:p w14:paraId="120C13B7" w14:textId="2FEE36EC"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26E791FA" w14:textId="46B584F6" w:rsidR="0CE6A39A" w:rsidRDefault="0CE6A39A" w:rsidP="70E46543">
      <w:pPr>
        <w:shd w:val="clear" w:color="auto" w:fill="FFFFFF" w:themeFill="background1"/>
        <w:spacing w:line="330" w:lineRule="exact"/>
      </w:pPr>
      <w:r w:rsidRPr="70E46543">
        <w:rPr>
          <w:rFonts w:ascii="Calibri" w:eastAsia="Calibri" w:hAnsi="Calibri" w:cs="Calibri"/>
          <w:color w:val="000000" w:themeColor="text1"/>
        </w:rPr>
        <w:t xml:space="preserve">UK Government (2023a). </w:t>
      </w:r>
      <w:r w:rsidRPr="70E46543">
        <w:rPr>
          <w:rFonts w:ascii="Calibri" w:eastAsia="Calibri" w:hAnsi="Calibri" w:cs="Calibri"/>
          <w:i/>
          <w:iCs/>
          <w:color w:val="000000" w:themeColor="text1"/>
        </w:rPr>
        <w:t>Police Workforce</w:t>
      </w:r>
      <w:r w:rsidRPr="70E46543">
        <w:rPr>
          <w:rFonts w:ascii="Calibri" w:eastAsia="Calibri" w:hAnsi="Calibri" w:cs="Calibri"/>
          <w:color w:val="000000" w:themeColor="text1"/>
        </w:rPr>
        <w:t xml:space="preserve">. [online] Available at: </w:t>
      </w:r>
      <w:r w:rsidRPr="70E46543">
        <w:rPr>
          <w:rFonts w:ascii="Calibri" w:eastAsia="Calibri" w:hAnsi="Calibri" w:cs="Calibri"/>
        </w:rPr>
        <w:t>https://www.ethnicity-facts-figures.service.gov.uk/workforce-and-business/workforce-diversity/police-workforce/latest#by-ethnicity-over-time-2007-to-2020-police-officers</w:t>
      </w:r>
      <w:r w:rsidRPr="70E46543">
        <w:rPr>
          <w:rFonts w:ascii="Calibri" w:eastAsia="Calibri" w:hAnsi="Calibri" w:cs="Calibri"/>
          <w:color w:val="000000" w:themeColor="text1"/>
        </w:rPr>
        <w:t xml:space="preserve"> [Accessed 23 Nov. 2023].</w:t>
      </w:r>
    </w:p>
    <w:p w14:paraId="45D2C0D1" w14:textId="105731E0"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6F04B73D" w14:textId="4BC19E95" w:rsidR="0CE6A39A" w:rsidRDefault="0CE6A39A" w:rsidP="70E46543">
      <w:pPr>
        <w:shd w:val="clear" w:color="auto" w:fill="FFFFFF" w:themeFill="background1"/>
        <w:spacing w:line="330" w:lineRule="exact"/>
      </w:pPr>
      <w:r w:rsidRPr="70E46543">
        <w:rPr>
          <w:rFonts w:ascii="Calibri" w:eastAsia="Calibri" w:hAnsi="Calibri" w:cs="Calibri"/>
          <w:color w:val="000000" w:themeColor="text1"/>
        </w:rPr>
        <w:t xml:space="preserve">UK Government (2023b). </w:t>
      </w:r>
      <w:r w:rsidRPr="70E46543">
        <w:rPr>
          <w:rFonts w:ascii="Calibri" w:eastAsia="Calibri" w:hAnsi="Calibri" w:cs="Calibri"/>
          <w:i/>
          <w:iCs/>
          <w:color w:val="000000" w:themeColor="text1"/>
        </w:rPr>
        <w:t>Population of England and Wales</w:t>
      </w:r>
      <w:r w:rsidRPr="70E46543">
        <w:rPr>
          <w:rFonts w:ascii="Calibri" w:eastAsia="Calibri" w:hAnsi="Calibri" w:cs="Calibri"/>
          <w:color w:val="000000" w:themeColor="text1"/>
        </w:rPr>
        <w:t xml:space="preserve">. [online] Available at: </w:t>
      </w:r>
      <w:r w:rsidRPr="70E46543">
        <w:rPr>
          <w:rFonts w:ascii="Calibri" w:eastAsia="Calibri" w:hAnsi="Calibri" w:cs="Calibri"/>
        </w:rPr>
        <w:t>https://www.ethnicity-facts-figures.service.gov.uk/uk-population-by-ethnicity/national-and-regional-populations/population-of-england-and-wales/latest#main-facts-and-figures</w:t>
      </w:r>
      <w:r w:rsidRPr="70E46543">
        <w:rPr>
          <w:rFonts w:ascii="Calibri" w:eastAsia="Calibri" w:hAnsi="Calibri" w:cs="Calibri"/>
          <w:color w:val="000000" w:themeColor="text1"/>
        </w:rPr>
        <w:t xml:space="preserve"> [Accessed 23 Nov. 2023].</w:t>
      </w:r>
    </w:p>
    <w:p w14:paraId="0B1CEAE4" w14:textId="1209C56C"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12A8617A" w14:textId="4F4F0CFF" w:rsidR="0CE6A39A" w:rsidRDefault="0CE6A39A" w:rsidP="70E46543">
      <w:pPr>
        <w:shd w:val="clear" w:color="auto" w:fill="FFFFFF" w:themeFill="background1"/>
        <w:spacing w:line="330" w:lineRule="exact"/>
      </w:pPr>
      <w:r w:rsidRPr="70E46543">
        <w:rPr>
          <w:rFonts w:ascii="Calibri" w:eastAsia="Calibri" w:hAnsi="Calibri" w:cs="Calibri"/>
          <w:color w:val="000000" w:themeColor="text1"/>
        </w:rPr>
        <w:t>University of Leeds (n.d.)</w:t>
      </w:r>
      <w:proofErr w:type="gramStart"/>
      <w:r w:rsidRPr="70E46543">
        <w:rPr>
          <w:rFonts w:ascii="Calibri" w:eastAsia="Calibri" w:hAnsi="Calibri" w:cs="Calibri"/>
          <w:color w:val="000000" w:themeColor="text1"/>
        </w:rPr>
        <w:t xml:space="preserve">. </w:t>
      </w:r>
      <w:r w:rsidRPr="70E46543">
        <w:rPr>
          <w:rFonts w:ascii="Calibri" w:eastAsia="Calibri" w:hAnsi="Calibri" w:cs="Calibri"/>
          <w:i/>
          <w:iCs/>
          <w:color w:val="000000" w:themeColor="text1"/>
        </w:rPr>
        <w:t>.</w:t>
      </w:r>
      <w:proofErr w:type="gramEnd"/>
      <w:r w:rsidRPr="70E46543">
        <w:rPr>
          <w:rFonts w:ascii="Calibri" w:eastAsia="Calibri" w:hAnsi="Calibri" w:cs="Calibri"/>
          <w:i/>
          <w:iCs/>
          <w:color w:val="000000" w:themeColor="text1"/>
        </w:rPr>
        <w:t xml:space="preserve"> Improving the Delivery of Community Safety and the Policing of </w:t>
      </w:r>
      <w:proofErr w:type="spellStart"/>
      <w:r w:rsidRPr="70E46543">
        <w:rPr>
          <w:rFonts w:ascii="Calibri" w:eastAsia="Calibri" w:hAnsi="Calibri" w:cs="Calibri"/>
          <w:i/>
          <w:iCs/>
          <w:color w:val="000000" w:themeColor="text1"/>
        </w:rPr>
        <w:t>AntiSocial</w:t>
      </w:r>
      <w:proofErr w:type="spellEnd"/>
      <w:r w:rsidRPr="70E46543">
        <w:rPr>
          <w:rFonts w:ascii="Calibri" w:eastAsia="Calibri" w:hAnsi="Calibri" w:cs="Calibri"/>
          <w:i/>
          <w:iCs/>
          <w:color w:val="000000" w:themeColor="text1"/>
        </w:rPr>
        <w:t xml:space="preserve"> Behaviour</w:t>
      </w:r>
      <w:r w:rsidRPr="70E46543">
        <w:rPr>
          <w:rFonts w:ascii="Calibri" w:eastAsia="Calibri" w:hAnsi="Calibri" w:cs="Calibri"/>
          <w:color w:val="000000" w:themeColor="text1"/>
        </w:rPr>
        <w:t xml:space="preserve">. [online] Research Excellence Framework. Available at: </w:t>
      </w:r>
      <w:r w:rsidRPr="70E46543">
        <w:rPr>
          <w:rFonts w:ascii="Calibri" w:eastAsia="Calibri" w:hAnsi="Calibri" w:cs="Calibri"/>
        </w:rPr>
        <w:t>https://ref2014impact.azurewebsites.net/casestudies2/refservice.svc/GetCaseStudyPDF/6365</w:t>
      </w:r>
      <w:r w:rsidRPr="70E46543">
        <w:rPr>
          <w:rFonts w:ascii="Calibri" w:eastAsia="Calibri" w:hAnsi="Calibri" w:cs="Calibri"/>
          <w:color w:val="000000" w:themeColor="text1"/>
        </w:rPr>
        <w:t xml:space="preserve"> [Accessed 22 Nov. 2023].</w:t>
      </w:r>
    </w:p>
    <w:p w14:paraId="73CF906A" w14:textId="0FCF8A5C"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4F137D03" w14:textId="13D9AC80" w:rsidR="70E46543" w:rsidRDefault="70E46543" w:rsidP="70E46543">
      <w:pPr>
        <w:shd w:val="clear" w:color="auto" w:fill="FFFFFF" w:themeFill="background1"/>
        <w:spacing w:line="330" w:lineRule="exact"/>
        <w:rPr>
          <w:rFonts w:ascii="Calibri" w:eastAsia="Calibri" w:hAnsi="Calibri" w:cs="Calibri"/>
          <w:color w:val="000000" w:themeColor="text1"/>
        </w:rPr>
      </w:pPr>
    </w:p>
    <w:p w14:paraId="7E0DED21" w14:textId="5FEE32D6" w:rsidR="70E46543" w:rsidRDefault="70E46543" w:rsidP="70E46543"/>
    <w:sectPr w:rsidR="70E46543" w:rsidSect="00F96E3C">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63B5CF"/>
    <w:rsid w:val="00012682"/>
    <w:rsid w:val="00080D2B"/>
    <w:rsid w:val="000C0480"/>
    <w:rsid w:val="000E52FE"/>
    <w:rsid w:val="00150175"/>
    <w:rsid w:val="00156477"/>
    <w:rsid w:val="00186E7B"/>
    <w:rsid w:val="00197C96"/>
    <w:rsid w:val="001A3685"/>
    <w:rsid w:val="001B0AC0"/>
    <w:rsid w:val="001B0F70"/>
    <w:rsid w:val="001B14AF"/>
    <w:rsid w:val="001B701F"/>
    <w:rsid w:val="00245C7C"/>
    <w:rsid w:val="00272D5C"/>
    <w:rsid w:val="00280A2A"/>
    <w:rsid w:val="002F3003"/>
    <w:rsid w:val="00310E53"/>
    <w:rsid w:val="00323FE2"/>
    <w:rsid w:val="00356CBD"/>
    <w:rsid w:val="00374472"/>
    <w:rsid w:val="00386744"/>
    <w:rsid w:val="0039202F"/>
    <w:rsid w:val="00394A49"/>
    <w:rsid w:val="003C652E"/>
    <w:rsid w:val="003F080E"/>
    <w:rsid w:val="00467D05"/>
    <w:rsid w:val="0048394F"/>
    <w:rsid w:val="004844BF"/>
    <w:rsid w:val="00487215"/>
    <w:rsid w:val="004E2F07"/>
    <w:rsid w:val="005130E0"/>
    <w:rsid w:val="00582934"/>
    <w:rsid w:val="00584647"/>
    <w:rsid w:val="005A54AE"/>
    <w:rsid w:val="005C7953"/>
    <w:rsid w:val="005D322C"/>
    <w:rsid w:val="00613878"/>
    <w:rsid w:val="0062246B"/>
    <w:rsid w:val="00662737"/>
    <w:rsid w:val="00685CE0"/>
    <w:rsid w:val="00696DF1"/>
    <w:rsid w:val="006A30FA"/>
    <w:rsid w:val="006A4C14"/>
    <w:rsid w:val="00704EA3"/>
    <w:rsid w:val="00706651"/>
    <w:rsid w:val="0071763E"/>
    <w:rsid w:val="007315C1"/>
    <w:rsid w:val="007358BD"/>
    <w:rsid w:val="00783290"/>
    <w:rsid w:val="00784502"/>
    <w:rsid w:val="00785502"/>
    <w:rsid w:val="007930F0"/>
    <w:rsid w:val="007B7C3F"/>
    <w:rsid w:val="007F45F0"/>
    <w:rsid w:val="0081082E"/>
    <w:rsid w:val="00817F21"/>
    <w:rsid w:val="00836DE4"/>
    <w:rsid w:val="00873663"/>
    <w:rsid w:val="008958B2"/>
    <w:rsid w:val="008E7AB7"/>
    <w:rsid w:val="008F3387"/>
    <w:rsid w:val="00914D37"/>
    <w:rsid w:val="0092791F"/>
    <w:rsid w:val="00935BC3"/>
    <w:rsid w:val="00971994"/>
    <w:rsid w:val="00986C7C"/>
    <w:rsid w:val="00994405"/>
    <w:rsid w:val="00996FAE"/>
    <w:rsid w:val="009A6913"/>
    <w:rsid w:val="009C578F"/>
    <w:rsid w:val="009D44AF"/>
    <w:rsid w:val="009E706B"/>
    <w:rsid w:val="00A034DE"/>
    <w:rsid w:val="00A527F8"/>
    <w:rsid w:val="00A67D91"/>
    <w:rsid w:val="00AD0CF3"/>
    <w:rsid w:val="00AF6F03"/>
    <w:rsid w:val="00B1594B"/>
    <w:rsid w:val="00B23422"/>
    <w:rsid w:val="00B26BF5"/>
    <w:rsid w:val="00B60EF3"/>
    <w:rsid w:val="00B6414E"/>
    <w:rsid w:val="00B641F4"/>
    <w:rsid w:val="00B733D2"/>
    <w:rsid w:val="00B93612"/>
    <w:rsid w:val="00BC0F23"/>
    <w:rsid w:val="00BC3FFC"/>
    <w:rsid w:val="00BE4B38"/>
    <w:rsid w:val="00C20D3F"/>
    <w:rsid w:val="00C27494"/>
    <w:rsid w:val="00C30BF3"/>
    <w:rsid w:val="00C31E90"/>
    <w:rsid w:val="00C447FB"/>
    <w:rsid w:val="00C52BF8"/>
    <w:rsid w:val="00C6060D"/>
    <w:rsid w:val="00CD27FD"/>
    <w:rsid w:val="00CF11CA"/>
    <w:rsid w:val="00D62BEC"/>
    <w:rsid w:val="00D81945"/>
    <w:rsid w:val="00D837CD"/>
    <w:rsid w:val="00DB77E6"/>
    <w:rsid w:val="00DC15CA"/>
    <w:rsid w:val="00DC6D54"/>
    <w:rsid w:val="00DD02E0"/>
    <w:rsid w:val="00DD431D"/>
    <w:rsid w:val="00DE4100"/>
    <w:rsid w:val="00E0450A"/>
    <w:rsid w:val="00E32130"/>
    <w:rsid w:val="00E6541D"/>
    <w:rsid w:val="00F27A3C"/>
    <w:rsid w:val="00F62B59"/>
    <w:rsid w:val="00F96E3C"/>
    <w:rsid w:val="00FC4AB3"/>
    <w:rsid w:val="00FF292D"/>
    <w:rsid w:val="0CE6A39A"/>
    <w:rsid w:val="31D85A8A"/>
    <w:rsid w:val="4307487E"/>
    <w:rsid w:val="4CC06E72"/>
    <w:rsid w:val="50273F65"/>
    <w:rsid w:val="59672DA0"/>
    <w:rsid w:val="6563B5CF"/>
    <w:rsid w:val="6F4894E2"/>
    <w:rsid w:val="70E4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3B5CF"/>
  <w15:chartTrackingRefBased/>
  <w15:docId w15:val="{F9506F95-6881-4F19-B214-5976389C4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D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D3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F96E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96E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6E3C"/>
    <w:rPr>
      <w:rFonts w:eastAsiaTheme="minorEastAsia"/>
      <w:lang w:val="en-US"/>
    </w:rPr>
  </w:style>
  <w:style w:type="paragraph" w:styleId="TOCHeading">
    <w:name w:val="TOC Heading"/>
    <w:basedOn w:val="Heading1"/>
    <w:next w:val="Normal"/>
    <w:uiPriority w:val="39"/>
    <w:unhideWhenUsed/>
    <w:qFormat/>
    <w:rsid w:val="00783290"/>
    <w:pPr>
      <w:outlineLvl w:val="9"/>
    </w:pPr>
    <w:rPr>
      <w:lang w:val="en-US"/>
    </w:rPr>
  </w:style>
  <w:style w:type="paragraph" w:styleId="TOC1">
    <w:name w:val="toc 1"/>
    <w:basedOn w:val="Normal"/>
    <w:next w:val="Normal"/>
    <w:autoRedefine/>
    <w:uiPriority w:val="39"/>
    <w:unhideWhenUsed/>
    <w:rsid w:val="00783290"/>
    <w:pPr>
      <w:spacing w:after="100"/>
    </w:pPr>
  </w:style>
  <w:style w:type="character" w:styleId="Hyperlink">
    <w:name w:val="Hyperlink"/>
    <w:basedOn w:val="DefaultParagraphFont"/>
    <w:uiPriority w:val="99"/>
    <w:unhideWhenUsed/>
    <w:rsid w:val="007832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099542">
      <w:bodyDiv w:val="1"/>
      <w:marLeft w:val="0"/>
      <w:marRight w:val="0"/>
      <w:marTop w:val="0"/>
      <w:marBottom w:val="0"/>
      <w:divBdr>
        <w:top w:val="none" w:sz="0" w:space="0" w:color="auto"/>
        <w:left w:val="none" w:sz="0" w:space="0" w:color="auto"/>
        <w:bottom w:val="none" w:sz="0" w:space="0" w:color="auto"/>
        <w:right w:val="none" w:sz="0" w:space="0" w:color="auto"/>
      </w:divBdr>
      <w:divsChild>
        <w:div w:id="312679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2200212@student.uwtsd.ac.uk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1135</Words>
  <Characters>6471</Characters>
  <Application>Microsoft Office Word</Application>
  <DocSecurity>0</DocSecurity>
  <Lines>53</Lines>
  <Paragraphs>15</Paragraphs>
  <ScaleCrop>false</ScaleCrop>
  <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supporting paper</dc:title>
  <dc:subject>BMPL5003</dc:subject>
  <dc:creator>Jack Banner (2200212)</dc:creator>
  <cp:keywords/>
  <dc:description/>
  <cp:lastModifiedBy>Jack Banner (2200212)</cp:lastModifiedBy>
  <cp:revision>116</cp:revision>
  <dcterms:created xsi:type="dcterms:W3CDTF">2023-11-22T14:01:00Z</dcterms:created>
  <dcterms:modified xsi:type="dcterms:W3CDTF">2024-01-12T16:28:00Z</dcterms:modified>
</cp:coreProperties>
</file>