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088D86" w14:textId="77777777" w:rsidR="00736E70" w:rsidRDefault="00736E70" w:rsidP="00DC3187">
      <w:pPr>
        <w:spacing w:after="0" w:line="360" w:lineRule="auto"/>
        <w:jc w:val="center"/>
        <w:rPr>
          <w:rFonts w:cs="Times New Roman"/>
          <w:szCs w:val="24"/>
        </w:rPr>
      </w:pPr>
    </w:p>
    <w:p w14:paraId="7C4F611A" w14:textId="77777777" w:rsidR="00736E70" w:rsidRDefault="00736E70" w:rsidP="00DC3187">
      <w:pPr>
        <w:spacing w:after="0" w:line="360" w:lineRule="auto"/>
        <w:jc w:val="center"/>
        <w:rPr>
          <w:rFonts w:cs="Times New Roman"/>
          <w:szCs w:val="24"/>
        </w:rPr>
      </w:pPr>
    </w:p>
    <w:p w14:paraId="028556AE" w14:textId="77777777" w:rsidR="00736E70" w:rsidRDefault="00736E70" w:rsidP="00DC3187">
      <w:pPr>
        <w:spacing w:after="0" w:line="360" w:lineRule="auto"/>
        <w:jc w:val="center"/>
        <w:rPr>
          <w:rFonts w:cs="Times New Roman"/>
          <w:szCs w:val="24"/>
        </w:rPr>
      </w:pPr>
    </w:p>
    <w:p w14:paraId="4D0C59EA" w14:textId="77777777" w:rsidR="00736E70" w:rsidRDefault="00736E70" w:rsidP="00DC3187">
      <w:pPr>
        <w:spacing w:after="0" w:line="360" w:lineRule="auto"/>
        <w:jc w:val="center"/>
        <w:rPr>
          <w:rFonts w:cs="Times New Roman"/>
          <w:szCs w:val="24"/>
        </w:rPr>
      </w:pPr>
    </w:p>
    <w:p w14:paraId="40CE240E" w14:textId="77777777" w:rsidR="00CA4067" w:rsidRDefault="00CA4067" w:rsidP="00B26013">
      <w:pPr>
        <w:spacing w:after="0" w:line="360" w:lineRule="auto"/>
        <w:jc w:val="center"/>
        <w:rPr>
          <w:rFonts w:ascii="Arial" w:hAnsi="Arial" w:cs="Arial"/>
          <w:b/>
          <w:bCs/>
          <w:sz w:val="36"/>
          <w:szCs w:val="36"/>
        </w:rPr>
      </w:pPr>
    </w:p>
    <w:p w14:paraId="16C77A76" w14:textId="77777777" w:rsidR="00CA4067" w:rsidRDefault="00CA4067" w:rsidP="00B26013">
      <w:pPr>
        <w:spacing w:after="0" w:line="360" w:lineRule="auto"/>
        <w:jc w:val="center"/>
        <w:rPr>
          <w:rFonts w:ascii="Arial" w:hAnsi="Arial" w:cs="Arial"/>
          <w:b/>
          <w:bCs/>
          <w:sz w:val="36"/>
          <w:szCs w:val="36"/>
        </w:rPr>
      </w:pPr>
    </w:p>
    <w:p w14:paraId="24C1730C" w14:textId="3F4A0C52" w:rsidR="00460091" w:rsidRDefault="00460091" w:rsidP="00B26013">
      <w:pPr>
        <w:spacing w:after="0" w:line="360" w:lineRule="auto"/>
        <w:jc w:val="center"/>
        <w:rPr>
          <w:rFonts w:ascii="Arial" w:hAnsi="Arial" w:cs="Arial"/>
          <w:b/>
          <w:bCs/>
          <w:sz w:val="36"/>
          <w:szCs w:val="36"/>
        </w:rPr>
      </w:pPr>
      <w:r w:rsidRPr="00B26013">
        <w:rPr>
          <w:rFonts w:ascii="Arial" w:hAnsi="Arial" w:cs="Arial"/>
          <w:b/>
          <w:bCs/>
          <w:sz w:val="36"/>
          <w:szCs w:val="36"/>
        </w:rPr>
        <w:t xml:space="preserve">Planning And Delivering </w:t>
      </w:r>
      <w:proofErr w:type="gramStart"/>
      <w:r w:rsidRPr="00B26013">
        <w:rPr>
          <w:rFonts w:ascii="Arial" w:hAnsi="Arial" w:cs="Arial"/>
          <w:b/>
          <w:bCs/>
          <w:sz w:val="36"/>
          <w:szCs w:val="36"/>
        </w:rPr>
        <w:t>An</w:t>
      </w:r>
      <w:proofErr w:type="gramEnd"/>
      <w:r w:rsidRPr="00B26013">
        <w:rPr>
          <w:rFonts w:ascii="Arial" w:hAnsi="Arial" w:cs="Arial"/>
          <w:b/>
          <w:bCs/>
          <w:sz w:val="36"/>
          <w:szCs w:val="36"/>
        </w:rPr>
        <w:t xml:space="preserve"> International Event</w:t>
      </w:r>
    </w:p>
    <w:p w14:paraId="64494C95" w14:textId="77777777" w:rsidR="00CA4067" w:rsidRDefault="00CA4067" w:rsidP="00B26013">
      <w:pPr>
        <w:spacing w:after="0" w:line="360" w:lineRule="auto"/>
        <w:jc w:val="center"/>
        <w:rPr>
          <w:rFonts w:ascii="Arial" w:hAnsi="Arial" w:cs="Arial"/>
          <w:b/>
          <w:bCs/>
          <w:sz w:val="36"/>
          <w:szCs w:val="36"/>
        </w:rPr>
      </w:pPr>
    </w:p>
    <w:p w14:paraId="3F3F0154" w14:textId="77777777" w:rsidR="00CA4067" w:rsidRDefault="00CA4067" w:rsidP="00B26013">
      <w:pPr>
        <w:spacing w:after="0" w:line="360" w:lineRule="auto"/>
        <w:jc w:val="center"/>
        <w:rPr>
          <w:rFonts w:ascii="Arial" w:hAnsi="Arial" w:cs="Arial"/>
          <w:b/>
          <w:bCs/>
          <w:sz w:val="36"/>
          <w:szCs w:val="36"/>
        </w:rPr>
      </w:pPr>
    </w:p>
    <w:p w14:paraId="24F09073" w14:textId="0BE6CBAD" w:rsidR="00CA4067" w:rsidRPr="00B26013" w:rsidRDefault="00CA4067" w:rsidP="00B26013">
      <w:pPr>
        <w:spacing w:after="0" w:line="360" w:lineRule="auto"/>
        <w:jc w:val="center"/>
        <w:rPr>
          <w:rFonts w:ascii="Arial" w:hAnsi="Arial" w:cs="Arial"/>
          <w:b/>
          <w:bCs/>
          <w:sz w:val="36"/>
          <w:szCs w:val="36"/>
        </w:rPr>
      </w:pPr>
      <w:r w:rsidRPr="00CA4067">
        <w:rPr>
          <w:rFonts w:ascii="Arial" w:hAnsi="Arial" w:cs="Arial"/>
          <w:b/>
          <w:bCs/>
          <w:sz w:val="36"/>
          <w:szCs w:val="36"/>
        </w:rPr>
        <w:t>The Green Horizon Conference</w:t>
      </w:r>
    </w:p>
    <w:p w14:paraId="21096AE9" w14:textId="77777777" w:rsidR="00866994" w:rsidRDefault="00866994" w:rsidP="00DC3187">
      <w:pPr>
        <w:spacing w:after="0" w:line="360" w:lineRule="auto"/>
        <w:jc w:val="center"/>
        <w:rPr>
          <w:rFonts w:cs="Times New Roman"/>
          <w:szCs w:val="24"/>
        </w:rPr>
      </w:pPr>
    </w:p>
    <w:p w14:paraId="1E531B81" w14:textId="77777777" w:rsidR="00736E70" w:rsidRPr="00A35F34" w:rsidRDefault="00736E70" w:rsidP="00DC3187">
      <w:pPr>
        <w:spacing w:after="0" w:line="360" w:lineRule="auto"/>
        <w:jc w:val="center"/>
        <w:rPr>
          <w:rFonts w:cs="Times New Roman"/>
          <w:szCs w:val="24"/>
        </w:rPr>
      </w:pPr>
    </w:p>
    <w:p w14:paraId="2A62F1AA" w14:textId="77777777" w:rsidR="00B26013" w:rsidRDefault="00B26013" w:rsidP="00B26013">
      <w:pPr>
        <w:spacing w:line="360" w:lineRule="auto"/>
        <w:rPr>
          <w:rFonts w:cs="Times New Roman"/>
          <w:szCs w:val="24"/>
        </w:rPr>
      </w:pPr>
    </w:p>
    <w:p w14:paraId="46AE50EA" w14:textId="77777777" w:rsidR="00B26013" w:rsidRDefault="00B26013" w:rsidP="00B26013">
      <w:pPr>
        <w:spacing w:line="360" w:lineRule="auto"/>
        <w:rPr>
          <w:rFonts w:cs="Times New Roman"/>
          <w:szCs w:val="24"/>
        </w:rPr>
      </w:pPr>
    </w:p>
    <w:p w14:paraId="799CD8B9" w14:textId="77777777" w:rsidR="00B26013" w:rsidRDefault="00B26013" w:rsidP="00B26013">
      <w:pPr>
        <w:spacing w:line="360" w:lineRule="auto"/>
        <w:rPr>
          <w:rFonts w:cs="Times New Roman"/>
          <w:szCs w:val="24"/>
        </w:rPr>
      </w:pPr>
    </w:p>
    <w:p w14:paraId="734EE2A6" w14:textId="77777777" w:rsidR="00B26013" w:rsidRDefault="00B26013" w:rsidP="00B26013">
      <w:pPr>
        <w:spacing w:line="360" w:lineRule="auto"/>
        <w:rPr>
          <w:rFonts w:cs="Times New Roman"/>
          <w:szCs w:val="24"/>
        </w:rPr>
      </w:pPr>
    </w:p>
    <w:p w14:paraId="78B5D886" w14:textId="77777777" w:rsidR="00B26013" w:rsidRDefault="00B26013" w:rsidP="00B26013">
      <w:pPr>
        <w:spacing w:line="360" w:lineRule="auto"/>
        <w:rPr>
          <w:rFonts w:cs="Times New Roman"/>
          <w:szCs w:val="24"/>
        </w:rPr>
      </w:pPr>
    </w:p>
    <w:p w14:paraId="0B9DCC21" w14:textId="77777777" w:rsidR="00B26013" w:rsidRDefault="00B26013" w:rsidP="00B26013">
      <w:pPr>
        <w:spacing w:line="360" w:lineRule="auto"/>
        <w:rPr>
          <w:rFonts w:cs="Times New Roman"/>
          <w:szCs w:val="24"/>
        </w:rPr>
      </w:pPr>
    </w:p>
    <w:p w14:paraId="621C3D2D" w14:textId="77777777" w:rsidR="00B26013" w:rsidRDefault="00B26013" w:rsidP="00B26013">
      <w:pPr>
        <w:spacing w:line="360" w:lineRule="auto"/>
        <w:rPr>
          <w:rFonts w:cs="Times New Roman"/>
          <w:szCs w:val="24"/>
        </w:rPr>
      </w:pPr>
    </w:p>
    <w:p w14:paraId="40474578" w14:textId="77777777" w:rsidR="00B26013" w:rsidRDefault="00B26013" w:rsidP="00B26013">
      <w:pPr>
        <w:spacing w:line="360" w:lineRule="auto"/>
        <w:rPr>
          <w:rFonts w:cs="Times New Roman"/>
          <w:szCs w:val="24"/>
        </w:rPr>
      </w:pPr>
    </w:p>
    <w:p w14:paraId="49E2DBC8" w14:textId="2FDA65D4" w:rsidR="00B26013" w:rsidRPr="00B26013" w:rsidRDefault="00B26013" w:rsidP="00B26013">
      <w:pPr>
        <w:spacing w:line="360" w:lineRule="auto"/>
        <w:rPr>
          <w:rFonts w:cs="Times New Roman"/>
          <w:szCs w:val="24"/>
        </w:rPr>
      </w:pPr>
      <w:r w:rsidRPr="00B26013">
        <w:rPr>
          <w:rFonts w:cs="Times New Roman"/>
          <w:szCs w:val="24"/>
        </w:rPr>
        <w:t>Name: Corina Maria Danila</w:t>
      </w:r>
    </w:p>
    <w:p w14:paraId="1F1676DA" w14:textId="77777777" w:rsidR="00B26013" w:rsidRPr="00B26013" w:rsidRDefault="00B26013" w:rsidP="00B26013">
      <w:pPr>
        <w:spacing w:line="360" w:lineRule="auto"/>
        <w:rPr>
          <w:rFonts w:cs="Times New Roman"/>
          <w:szCs w:val="24"/>
        </w:rPr>
      </w:pPr>
      <w:r w:rsidRPr="00B26013">
        <w:rPr>
          <w:rFonts w:cs="Times New Roman"/>
          <w:szCs w:val="24"/>
        </w:rPr>
        <w:t>Student ID Number: 2118573</w:t>
      </w:r>
    </w:p>
    <w:p w14:paraId="3BDA51F4" w14:textId="77777777" w:rsidR="00B26013" w:rsidRPr="00B26013" w:rsidRDefault="00B26013" w:rsidP="00B26013">
      <w:pPr>
        <w:spacing w:line="360" w:lineRule="auto"/>
        <w:rPr>
          <w:rFonts w:cs="Times New Roman"/>
          <w:szCs w:val="24"/>
        </w:rPr>
      </w:pPr>
      <w:r w:rsidRPr="00B26013">
        <w:rPr>
          <w:rFonts w:cs="Times New Roman"/>
          <w:szCs w:val="24"/>
        </w:rPr>
        <w:t>Module Title: International Meetings Management for the Hotel Industry (BMIH6007)</w:t>
      </w:r>
    </w:p>
    <w:p w14:paraId="7E3F0058" w14:textId="4186BF6E" w:rsidR="00A35F34" w:rsidRDefault="00B26013" w:rsidP="00B26013">
      <w:pPr>
        <w:spacing w:line="360" w:lineRule="auto"/>
        <w:rPr>
          <w:rFonts w:cs="Times New Roman"/>
          <w:szCs w:val="24"/>
        </w:rPr>
      </w:pPr>
      <w:r w:rsidRPr="00B26013">
        <w:rPr>
          <w:rFonts w:cs="Times New Roman"/>
          <w:szCs w:val="24"/>
        </w:rPr>
        <w:t>Lecturer: Kathryn Flynn</w:t>
      </w:r>
      <w:r w:rsidR="00A35F34">
        <w:rPr>
          <w:rFonts w:cs="Times New Roman"/>
          <w:szCs w:val="24"/>
        </w:rPr>
        <w:br w:type="page"/>
      </w:r>
    </w:p>
    <w:sdt>
      <w:sdtPr>
        <w:id w:val="1608308452"/>
        <w:docPartObj>
          <w:docPartGallery w:val="Table of Contents"/>
          <w:docPartUnique/>
        </w:docPartObj>
      </w:sdtPr>
      <w:sdtEndPr>
        <w:rPr>
          <w:rFonts w:ascii="Times New Roman" w:eastAsiaTheme="minorHAnsi" w:hAnsi="Times New Roman" w:cstheme="minorBidi"/>
          <w:b/>
          <w:bCs/>
          <w:noProof/>
          <w:color w:val="auto"/>
          <w:kern w:val="2"/>
          <w:sz w:val="24"/>
          <w:szCs w:val="22"/>
          <w14:ligatures w14:val="standardContextual"/>
        </w:rPr>
      </w:sdtEndPr>
      <w:sdtContent>
        <w:p w14:paraId="2BA1A928" w14:textId="77777777" w:rsidR="008A2F1A" w:rsidRDefault="008A2F1A" w:rsidP="00CA4067">
          <w:pPr>
            <w:pStyle w:val="TOCHeading"/>
            <w:spacing w:line="360" w:lineRule="auto"/>
          </w:pPr>
        </w:p>
        <w:p w14:paraId="6AEACE67" w14:textId="77777777" w:rsidR="008A2F1A" w:rsidRDefault="008A2F1A" w:rsidP="00CA4067">
          <w:pPr>
            <w:pStyle w:val="TOCHeading"/>
            <w:spacing w:line="360" w:lineRule="auto"/>
          </w:pPr>
        </w:p>
        <w:p w14:paraId="35722649" w14:textId="73E31D60" w:rsidR="00B26013" w:rsidRPr="00CA4067" w:rsidRDefault="00B26013" w:rsidP="00CA4067">
          <w:pPr>
            <w:pStyle w:val="TOCHeading"/>
            <w:spacing w:line="360" w:lineRule="auto"/>
            <w:rPr>
              <w:rFonts w:ascii="Arial" w:hAnsi="Arial" w:cs="Arial"/>
              <w:b/>
              <w:bCs/>
              <w:sz w:val="24"/>
              <w:szCs w:val="24"/>
            </w:rPr>
          </w:pPr>
          <w:r w:rsidRPr="00CA4067">
            <w:rPr>
              <w:rFonts w:ascii="Arial" w:hAnsi="Arial" w:cs="Arial"/>
              <w:b/>
              <w:bCs/>
              <w:sz w:val="24"/>
              <w:szCs w:val="24"/>
            </w:rPr>
            <w:t>Table of Contents</w:t>
          </w:r>
        </w:p>
        <w:p w14:paraId="2C6AD146" w14:textId="77777777" w:rsidR="00CA4067" w:rsidRPr="00CA4067" w:rsidRDefault="00CA4067" w:rsidP="00CA4067"/>
        <w:p w14:paraId="47DACC0F" w14:textId="359B86C6" w:rsidR="00B26013" w:rsidRPr="00CA4067" w:rsidRDefault="008A2F1A" w:rsidP="00CA4067">
          <w:pPr>
            <w:spacing w:line="360" w:lineRule="auto"/>
            <w:rPr>
              <w:rFonts w:ascii="Arial" w:hAnsi="Arial" w:cs="Arial"/>
              <w:b/>
              <w:bCs/>
              <w:szCs w:val="24"/>
            </w:rPr>
          </w:pPr>
          <w:r>
            <w:rPr>
              <w:rFonts w:ascii="Arial" w:hAnsi="Arial" w:cs="Arial"/>
              <w:b/>
              <w:bCs/>
              <w:szCs w:val="24"/>
            </w:rPr>
            <w:t xml:space="preserve">1. </w:t>
          </w:r>
          <w:r w:rsidR="00B26013" w:rsidRPr="00CA4067">
            <w:rPr>
              <w:rFonts w:ascii="Arial" w:hAnsi="Arial" w:cs="Arial"/>
              <w:b/>
              <w:bCs/>
              <w:szCs w:val="24"/>
            </w:rPr>
            <w:t>Introduction</w:t>
          </w:r>
          <w:r w:rsidR="00CA4067" w:rsidRPr="00CA4067">
            <w:rPr>
              <w:rFonts w:ascii="Arial" w:hAnsi="Arial" w:cs="Arial"/>
              <w:b/>
              <w:bCs/>
              <w:szCs w:val="24"/>
            </w:rPr>
            <w:t>……………………………………………………………………………</w:t>
          </w:r>
          <w:proofErr w:type="gramStart"/>
          <w:r w:rsidR="00CA4067" w:rsidRPr="00CA4067">
            <w:rPr>
              <w:rFonts w:ascii="Arial" w:hAnsi="Arial" w:cs="Arial"/>
              <w:b/>
              <w:bCs/>
              <w:szCs w:val="24"/>
            </w:rPr>
            <w:t>…</w:t>
          </w:r>
          <w:r>
            <w:rPr>
              <w:rFonts w:ascii="Arial" w:hAnsi="Arial" w:cs="Arial"/>
              <w:b/>
              <w:bCs/>
              <w:szCs w:val="24"/>
            </w:rPr>
            <w:t>..</w:t>
          </w:r>
          <w:proofErr w:type="gramEnd"/>
          <w:r w:rsidR="00CA4067">
            <w:rPr>
              <w:rFonts w:ascii="Arial" w:hAnsi="Arial" w:cs="Arial"/>
              <w:b/>
              <w:bCs/>
              <w:szCs w:val="24"/>
            </w:rPr>
            <w:t>3</w:t>
          </w:r>
        </w:p>
        <w:p w14:paraId="5E84F964" w14:textId="29E99AD2" w:rsidR="00B26013" w:rsidRPr="00CA4067" w:rsidRDefault="008A2F1A" w:rsidP="00CA4067">
          <w:pPr>
            <w:spacing w:line="360" w:lineRule="auto"/>
            <w:rPr>
              <w:rFonts w:ascii="Arial" w:hAnsi="Arial" w:cs="Arial"/>
              <w:b/>
              <w:bCs/>
              <w:szCs w:val="24"/>
            </w:rPr>
          </w:pPr>
          <w:r>
            <w:rPr>
              <w:rFonts w:ascii="Arial" w:hAnsi="Arial" w:cs="Arial"/>
              <w:b/>
              <w:bCs/>
              <w:szCs w:val="24"/>
            </w:rPr>
            <w:t xml:space="preserve">2. </w:t>
          </w:r>
          <w:r w:rsidR="00B26013" w:rsidRPr="00CA4067">
            <w:rPr>
              <w:rFonts w:ascii="Arial" w:hAnsi="Arial" w:cs="Arial"/>
              <w:b/>
              <w:bCs/>
              <w:szCs w:val="24"/>
            </w:rPr>
            <w:t>The Event Cycle</w:t>
          </w:r>
          <w:r w:rsidR="00CA4067" w:rsidRPr="00CA4067">
            <w:rPr>
              <w:rFonts w:ascii="Arial" w:hAnsi="Arial" w:cs="Arial"/>
              <w:b/>
              <w:bCs/>
              <w:szCs w:val="24"/>
            </w:rPr>
            <w:t>………………………………………………………………………...</w:t>
          </w:r>
          <w:r w:rsidR="00CA4067">
            <w:rPr>
              <w:rFonts w:ascii="Arial" w:hAnsi="Arial" w:cs="Arial"/>
              <w:b/>
              <w:bCs/>
              <w:szCs w:val="24"/>
            </w:rPr>
            <w:t>.</w:t>
          </w:r>
          <w:r>
            <w:rPr>
              <w:rFonts w:ascii="Arial" w:hAnsi="Arial" w:cs="Arial"/>
              <w:b/>
              <w:bCs/>
              <w:szCs w:val="24"/>
            </w:rPr>
            <w:t>..</w:t>
          </w:r>
          <w:r w:rsidR="00CA4067">
            <w:rPr>
              <w:rFonts w:ascii="Arial" w:hAnsi="Arial" w:cs="Arial"/>
              <w:b/>
              <w:bCs/>
              <w:szCs w:val="24"/>
            </w:rPr>
            <w:t>3</w:t>
          </w:r>
        </w:p>
        <w:p w14:paraId="116719BF" w14:textId="51E3E9A3" w:rsidR="00B26013" w:rsidRPr="00CA4067" w:rsidRDefault="008A2F1A" w:rsidP="00CA4067">
          <w:pPr>
            <w:spacing w:line="360" w:lineRule="auto"/>
            <w:rPr>
              <w:rFonts w:ascii="Arial" w:hAnsi="Arial" w:cs="Arial"/>
              <w:b/>
              <w:bCs/>
              <w:szCs w:val="24"/>
            </w:rPr>
          </w:pPr>
          <w:r>
            <w:rPr>
              <w:rFonts w:ascii="Arial" w:hAnsi="Arial" w:cs="Arial"/>
              <w:b/>
              <w:bCs/>
              <w:szCs w:val="24"/>
            </w:rPr>
            <w:t xml:space="preserve">3. </w:t>
          </w:r>
          <w:r w:rsidR="00B26013" w:rsidRPr="00CA4067">
            <w:rPr>
              <w:rFonts w:ascii="Arial" w:hAnsi="Arial" w:cs="Arial"/>
              <w:b/>
              <w:bCs/>
              <w:szCs w:val="24"/>
            </w:rPr>
            <w:t>Event Concept</w:t>
          </w:r>
          <w:r w:rsidR="00CA4067" w:rsidRPr="00CA4067">
            <w:rPr>
              <w:rFonts w:ascii="Arial" w:hAnsi="Arial" w:cs="Arial"/>
              <w:b/>
              <w:bCs/>
              <w:szCs w:val="24"/>
            </w:rPr>
            <w:t>………………………………………………………………………</w:t>
          </w:r>
          <w:r w:rsidR="00CA4067">
            <w:rPr>
              <w:rFonts w:ascii="Arial" w:hAnsi="Arial" w:cs="Arial"/>
              <w:b/>
              <w:bCs/>
              <w:szCs w:val="24"/>
            </w:rPr>
            <w:t>...</w:t>
          </w:r>
          <w:proofErr w:type="gramStart"/>
          <w:r w:rsidR="00CA4067">
            <w:rPr>
              <w:rFonts w:ascii="Arial" w:hAnsi="Arial" w:cs="Arial"/>
              <w:b/>
              <w:bCs/>
              <w:szCs w:val="24"/>
            </w:rPr>
            <w:t>…</w:t>
          </w:r>
          <w:r>
            <w:rPr>
              <w:rFonts w:ascii="Arial" w:hAnsi="Arial" w:cs="Arial"/>
              <w:b/>
              <w:bCs/>
              <w:szCs w:val="24"/>
            </w:rPr>
            <w:t>..</w:t>
          </w:r>
          <w:proofErr w:type="gramEnd"/>
          <w:r w:rsidR="00CA4067">
            <w:rPr>
              <w:rFonts w:ascii="Arial" w:hAnsi="Arial" w:cs="Arial"/>
              <w:b/>
              <w:bCs/>
              <w:szCs w:val="24"/>
            </w:rPr>
            <w:t>4</w:t>
          </w:r>
        </w:p>
        <w:p w14:paraId="1E66541B" w14:textId="65A4E310" w:rsidR="00B26013" w:rsidRPr="00CA4067" w:rsidRDefault="008A2F1A" w:rsidP="00CA4067">
          <w:pPr>
            <w:spacing w:line="360" w:lineRule="auto"/>
            <w:rPr>
              <w:rFonts w:ascii="Arial" w:hAnsi="Arial" w:cs="Arial"/>
              <w:b/>
              <w:bCs/>
              <w:szCs w:val="24"/>
            </w:rPr>
          </w:pPr>
          <w:r>
            <w:rPr>
              <w:rFonts w:ascii="Arial" w:hAnsi="Arial" w:cs="Arial"/>
              <w:b/>
              <w:bCs/>
              <w:szCs w:val="24"/>
            </w:rPr>
            <w:t xml:space="preserve">4. </w:t>
          </w:r>
          <w:r w:rsidR="00B26013" w:rsidRPr="00CA4067">
            <w:rPr>
              <w:rFonts w:ascii="Arial" w:hAnsi="Arial" w:cs="Arial"/>
              <w:b/>
              <w:bCs/>
              <w:szCs w:val="24"/>
            </w:rPr>
            <w:t>Overarching Aim</w:t>
          </w:r>
          <w:r w:rsidR="00CA4067" w:rsidRPr="00CA4067">
            <w:rPr>
              <w:rFonts w:ascii="Arial" w:hAnsi="Arial" w:cs="Arial"/>
              <w:b/>
              <w:bCs/>
              <w:szCs w:val="24"/>
            </w:rPr>
            <w:t>………………………………………………………………………</w:t>
          </w:r>
          <w:proofErr w:type="gramStart"/>
          <w:r w:rsidR="00CA4067" w:rsidRPr="00CA4067">
            <w:rPr>
              <w:rFonts w:ascii="Arial" w:hAnsi="Arial" w:cs="Arial"/>
              <w:b/>
              <w:bCs/>
              <w:szCs w:val="24"/>
            </w:rPr>
            <w:t>...</w:t>
          </w:r>
          <w:r>
            <w:rPr>
              <w:rFonts w:ascii="Arial" w:hAnsi="Arial" w:cs="Arial"/>
              <w:b/>
              <w:bCs/>
              <w:szCs w:val="24"/>
            </w:rPr>
            <w:t>..</w:t>
          </w:r>
          <w:proofErr w:type="gramEnd"/>
          <w:r w:rsidR="00CA4067">
            <w:rPr>
              <w:rFonts w:ascii="Arial" w:hAnsi="Arial" w:cs="Arial"/>
              <w:b/>
              <w:bCs/>
              <w:szCs w:val="24"/>
            </w:rPr>
            <w:t>6</w:t>
          </w:r>
        </w:p>
        <w:p w14:paraId="7E854F75" w14:textId="1AFCEBFF" w:rsidR="00B26013" w:rsidRPr="00CA4067" w:rsidRDefault="008A2F1A" w:rsidP="00CA4067">
          <w:pPr>
            <w:spacing w:line="360" w:lineRule="auto"/>
            <w:rPr>
              <w:rFonts w:ascii="Arial" w:hAnsi="Arial" w:cs="Arial"/>
              <w:b/>
              <w:bCs/>
              <w:szCs w:val="24"/>
            </w:rPr>
          </w:pPr>
          <w:r>
            <w:rPr>
              <w:rFonts w:ascii="Arial" w:hAnsi="Arial" w:cs="Arial"/>
              <w:b/>
              <w:bCs/>
              <w:szCs w:val="24"/>
            </w:rPr>
            <w:t xml:space="preserve">5. </w:t>
          </w:r>
          <w:r w:rsidR="00B26013" w:rsidRPr="00CA4067">
            <w:rPr>
              <w:rFonts w:ascii="Arial" w:hAnsi="Arial" w:cs="Arial"/>
              <w:b/>
              <w:bCs/>
              <w:szCs w:val="24"/>
            </w:rPr>
            <w:t>Event Operations</w:t>
          </w:r>
          <w:r w:rsidR="00CA4067" w:rsidRPr="00CA4067">
            <w:rPr>
              <w:rFonts w:ascii="Arial" w:hAnsi="Arial" w:cs="Arial"/>
              <w:b/>
              <w:bCs/>
              <w:szCs w:val="24"/>
            </w:rPr>
            <w:t>………………………………………………………………………</w:t>
          </w:r>
          <w:r>
            <w:rPr>
              <w:rFonts w:ascii="Arial" w:hAnsi="Arial" w:cs="Arial"/>
              <w:b/>
              <w:bCs/>
              <w:szCs w:val="24"/>
            </w:rPr>
            <w:t>…</w:t>
          </w:r>
          <w:r w:rsidR="00CA4067">
            <w:rPr>
              <w:rFonts w:ascii="Arial" w:hAnsi="Arial" w:cs="Arial"/>
              <w:b/>
              <w:bCs/>
              <w:szCs w:val="24"/>
            </w:rPr>
            <w:t>7</w:t>
          </w:r>
        </w:p>
        <w:p w14:paraId="44CDB4CE" w14:textId="4CA46096" w:rsidR="00B26013" w:rsidRPr="00CA4067" w:rsidRDefault="008A2F1A" w:rsidP="00CA4067">
          <w:pPr>
            <w:spacing w:line="360" w:lineRule="auto"/>
            <w:rPr>
              <w:rFonts w:ascii="Arial" w:hAnsi="Arial" w:cs="Arial"/>
              <w:b/>
              <w:bCs/>
              <w:szCs w:val="24"/>
            </w:rPr>
          </w:pPr>
          <w:r>
            <w:rPr>
              <w:rFonts w:ascii="Arial" w:hAnsi="Arial" w:cs="Arial"/>
              <w:b/>
              <w:bCs/>
              <w:szCs w:val="24"/>
            </w:rPr>
            <w:t xml:space="preserve">6. </w:t>
          </w:r>
          <w:r w:rsidR="00B26013" w:rsidRPr="00CA4067">
            <w:rPr>
              <w:rFonts w:ascii="Arial" w:hAnsi="Arial" w:cs="Arial"/>
              <w:b/>
              <w:bCs/>
              <w:szCs w:val="24"/>
            </w:rPr>
            <w:t>Event Budget</w:t>
          </w:r>
          <w:r w:rsidR="00CA4067" w:rsidRPr="00CA4067">
            <w:rPr>
              <w:rFonts w:ascii="Arial" w:hAnsi="Arial" w:cs="Arial"/>
              <w:b/>
              <w:bCs/>
              <w:szCs w:val="24"/>
            </w:rPr>
            <w:t>……………………………………………………………………………</w:t>
          </w:r>
          <w:r>
            <w:rPr>
              <w:rFonts w:ascii="Arial" w:hAnsi="Arial" w:cs="Arial"/>
              <w:b/>
              <w:bCs/>
              <w:szCs w:val="24"/>
            </w:rPr>
            <w:t>...8</w:t>
          </w:r>
        </w:p>
        <w:p w14:paraId="26D614D5" w14:textId="008D0733" w:rsidR="00CA4067" w:rsidRPr="00CA4067" w:rsidRDefault="008A2F1A" w:rsidP="00CA4067">
          <w:pPr>
            <w:spacing w:line="360" w:lineRule="auto"/>
            <w:rPr>
              <w:rFonts w:ascii="Arial" w:hAnsi="Arial" w:cs="Arial"/>
              <w:b/>
              <w:bCs/>
              <w:szCs w:val="24"/>
            </w:rPr>
          </w:pPr>
          <w:r>
            <w:rPr>
              <w:rFonts w:ascii="Arial" w:hAnsi="Arial" w:cs="Arial"/>
              <w:b/>
              <w:bCs/>
              <w:szCs w:val="24"/>
            </w:rPr>
            <w:t xml:space="preserve">7. </w:t>
          </w:r>
          <w:r w:rsidR="00CA4067" w:rsidRPr="00CA4067">
            <w:rPr>
              <w:rFonts w:ascii="Arial" w:hAnsi="Arial" w:cs="Arial"/>
              <w:b/>
              <w:bCs/>
              <w:szCs w:val="24"/>
            </w:rPr>
            <w:t>Industry Trends/Impacts</w:t>
          </w:r>
          <w:r w:rsidR="00CA4067" w:rsidRPr="00CA4067">
            <w:rPr>
              <w:rFonts w:ascii="Arial" w:hAnsi="Arial" w:cs="Arial"/>
              <w:b/>
              <w:bCs/>
              <w:szCs w:val="24"/>
            </w:rPr>
            <w:t>………………………………………………………………</w:t>
          </w:r>
          <w:r>
            <w:rPr>
              <w:rFonts w:ascii="Arial" w:hAnsi="Arial" w:cs="Arial"/>
              <w:b/>
              <w:bCs/>
              <w:szCs w:val="24"/>
            </w:rPr>
            <w:t>.10</w:t>
          </w:r>
        </w:p>
        <w:p w14:paraId="4EB40705" w14:textId="3CB6EB6A" w:rsidR="00B26013" w:rsidRPr="00CA4067" w:rsidRDefault="008A2F1A" w:rsidP="00CA4067">
          <w:pPr>
            <w:spacing w:line="360" w:lineRule="auto"/>
            <w:rPr>
              <w:rFonts w:ascii="Arial" w:hAnsi="Arial" w:cs="Arial"/>
              <w:b/>
              <w:bCs/>
              <w:szCs w:val="24"/>
            </w:rPr>
          </w:pPr>
          <w:r>
            <w:rPr>
              <w:rFonts w:ascii="Arial" w:hAnsi="Arial" w:cs="Arial"/>
              <w:b/>
              <w:bCs/>
              <w:szCs w:val="24"/>
            </w:rPr>
            <w:t xml:space="preserve">8. </w:t>
          </w:r>
          <w:r w:rsidR="00CA4067" w:rsidRPr="00CA4067">
            <w:rPr>
              <w:rFonts w:ascii="Arial" w:hAnsi="Arial" w:cs="Arial"/>
              <w:b/>
              <w:bCs/>
              <w:szCs w:val="24"/>
            </w:rPr>
            <w:t>Broader Cultural Considerations</w:t>
          </w:r>
          <w:r w:rsidR="00CA4067" w:rsidRPr="00CA4067">
            <w:rPr>
              <w:rFonts w:ascii="Arial" w:hAnsi="Arial" w:cs="Arial"/>
              <w:b/>
              <w:bCs/>
              <w:szCs w:val="24"/>
            </w:rPr>
            <w:t>……………………………………………………</w:t>
          </w:r>
          <w:r>
            <w:rPr>
              <w:rFonts w:ascii="Arial" w:hAnsi="Arial" w:cs="Arial"/>
              <w:b/>
              <w:bCs/>
              <w:szCs w:val="24"/>
            </w:rPr>
            <w:t>.11</w:t>
          </w:r>
        </w:p>
        <w:p w14:paraId="06F423ED" w14:textId="462B0483" w:rsidR="00B26013" w:rsidRPr="00CA4067" w:rsidRDefault="008A2F1A" w:rsidP="00CA4067">
          <w:pPr>
            <w:pStyle w:val="TOC1"/>
            <w:tabs>
              <w:tab w:val="right" w:leader="dot" w:pos="9350"/>
            </w:tabs>
            <w:spacing w:line="360" w:lineRule="auto"/>
            <w:rPr>
              <w:rFonts w:ascii="Arial" w:eastAsiaTheme="minorEastAsia" w:hAnsi="Arial" w:cs="Arial"/>
              <w:b/>
              <w:bCs/>
              <w:noProof/>
              <w:szCs w:val="24"/>
              <w:lang w:val="en-GB" w:eastAsia="en-GB"/>
            </w:rPr>
          </w:pPr>
          <w:r>
            <w:rPr>
              <w:rFonts w:ascii="Arial" w:hAnsi="Arial" w:cs="Arial"/>
              <w:b/>
              <w:bCs/>
              <w:szCs w:val="24"/>
            </w:rPr>
            <w:t xml:space="preserve">9. </w:t>
          </w:r>
          <w:r w:rsidR="00B26013" w:rsidRPr="00CA4067">
            <w:rPr>
              <w:rFonts w:ascii="Arial" w:hAnsi="Arial" w:cs="Arial"/>
              <w:b/>
              <w:bCs/>
              <w:szCs w:val="24"/>
            </w:rPr>
            <w:fldChar w:fldCharType="begin"/>
          </w:r>
          <w:r w:rsidR="00B26013" w:rsidRPr="00CA4067">
            <w:rPr>
              <w:rFonts w:ascii="Arial" w:hAnsi="Arial" w:cs="Arial"/>
              <w:b/>
              <w:bCs/>
              <w:szCs w:val="24"/>
            </w:rPr>
            <w:instrText xml:space="preserve"> TOC \o "1-3" \h \z \u </w:instrText>
          </w:r>
          <w:r w:rsidR="00B26013" w:rsidRPr="00CA4067">
            <w:rPr>
              <w:rFonts w:ascii="Arial" w:hAnsi="Arial" w:cs="Arial"/>
              <w:b/>
              <w:bCs/>
              <w:szCs w:val="24"/>
            </w:rPr>
            <w:fldChar w:fldCharType="separate"/>
          </w:r>
          <w:hyperlink w:anchor="_Toc159839835" w:history="1">
            <w:r w:rsidR="00B26013" w:rsidRPr="00CA4067">
              <w:rPr>
                <w:rStyle w:val="Hyperlink"/>
                <w:rFonts w:ascii="Arial" w:eastAsia="Times New Roman" w:hAnsi="Arial" w:cs="Arial"/>
                <w:b/>
                <w:bCs/>
                <w:noProof/>
                <w:kern w:val="36"/>
                <w:szCs w:val="24"/>
                <w:lang w:val="en-GB" w:eastAsia="en-GB"/>
                <w14:ligatures w14:val="none"/>
              </w:rPr>
              <w:t>References</w:t>
            </w:r>
            <w:r>
              <w:rPr>
                <w:rFonts w:ascii="Arial" w:hAnsi="Arial" w:cs="Arial"/>
                <w:b/>
                <w:bCs/>
                <w:noProof/>
                <w:webHidden/>
                <w:szCs w:val="24"/>
              </w:rPr>
              <w:t>……………………………………………………………………………….</w:t>
            </w:r>
            <w:r w:rsidR="00B26013" w:rsidRPr="00CA4067">
              <w:rPr>
                <w:rFonts w:ascii="Arial" w:hAnsi="Arial" w:cs="Arial"/>
                <w:b/>
                <w:bCs/>
                <w:noProof/>
                <w:webHidden/>
                <w:szCs w:val="24"/>
              </w:rPr>
              <w:fldChar w:fldCharType="begin"/>
            </w:r>
            <w:r w:rsidR="00B26013" w:rsidRPr="00CA4067">
              <w:rPr>
                <w:rFonts w:ascii="Arial" w:hAnsi="Arial" w:cs="Arial"/>
                <w:b/>
                <w:bCs/>
                <w:noProof/>
                <w:webHidden/>
                <w:szCs w:val="24"/>
              </w:rPr>
              <w:instrText xml:space="preserve"> PAGEREF _Toc159839835 \h </w:instrText>
            </w:r>
            <w:r w:rsidR="00B26013" w:rsidRPr="00CA4067">
              <w:rPr>
                <w:rFonts w:ascii="Arial" w:hAnsi="Arial" w:cs="Arial"/>
                <w:b/>
                <w:bCs/>
                <w:noProof/>
                <w:webHidden/>
                <w:szCs w:val="24"/>
              </w:rPr>
            </w:r>
            <w:r w:rsidR="00B26013" w:rsidRPr="00CA4067">
              <w:rPr>
                <w:rFonts w:ascii="Arial" w:hAnsi="Arial" w:cs="Arial"/>
                <w:b/>
                <w:bCs/>
                <w:noProof/>
                <w:webHidden/>
                <w:szCs w:val="24"/>
              </w:rPr>
              <w:fldChar w:fldCharType="separate"/>
            </w:r>
            <w:r w:rsidR="00CA4067" w:rsidRPr="00CA4067">
              <w:rPr>
                <w:rFonts w:ascii="Arial" w:hAnsi="Arial" w:cs="Arial"/>
                <w:b/>
                <w:bCs/>
                <w:noProof/>
                <w:webHidden/>
                <w:szCs w:val="24"/>
              </w:rPr>
              <w:t>12</w:t>
            </w:r>
            <w:r w:rsidR="00B26013" w:rsidRPr="00CA4067">
              <w:rPr>
                <w:rFonts w:ascii="Arial" w:hAnsi="Arial" w:cs="Arial"/>
                <w:b/>
                <w:bCs/>
                <w:noProof/>
                <w:webHidden/>
                <w:szCs w:val="24"/>
              </w:rPr>
              <w:fldChar w:fldCharType="end"/>
            </w:r>
          </w:hyperlink>
        </w:p>
        <w:p w14:paraId="773388EC" w14:textId="5F12EF52" w:rsidR="00B26013" w:rsidRDefault="00B26013" w:rsidP="00CA4067">
          <w:pPr>
            <w:spacing w:line="360" w:lineRule="auto"/>
          </w:pPr>
          <w:r w:rsidRPr="00CA4067">
            <w:rPr>
              <w:rFonts w:ascii="Arial" w:hAnsi="Arial" w:cs="Arial"/>
              <w:b/>
              <w:bCs/>
              <w:noProof/>
              <w:szCs w:val="24"/>
            </w:rPr>
            <w:fldChar w:fldCharType="end"/>
          </w:r>
        </w:p>
      </w:sdtContent>
    </w:sdt>
    <w:p w14:paraId="5A291B0A" w14:textId="77777777" w:rsidR="00B26013" w:rsidRDefault="00B26013" w:rsidP="00DC3187">
      <w:pPr>
        <w:spacing w:after="0" w:line="360" w:lineRule="auto"/>
        <w:jc w:val="center"/>
        <w:rPr>
          <w:rFonts w:cs="Times New Roman"/>
          <w:b/>
          <w:bCs/>
          <w:szCs w:val="24"/>
        </w:rPr>
      </w:pPr>
    </w:p>
    <w:p w14:paraId="5CA5EEC0" w14:textId="77777777" w:rsidR="00B26013" w:rsidRDefault="00B26013" w:rsidP="00DC3187">
      <w:pPr>
        <w:spacing w:after="0" w:line="360" w:lineRule="auto"/>
        <w:jc w:val="center"/>
        <w:rPr>
          <w:rFonts w:cs="Times New Roman"/>
          <w:b/>
          <w:bCs/>
          <w:szCs w:val="24"/>
        </w:rPr>
      </w:pPr>
    </w:p>
    <w:p w14:paraId="7BF62431" w14:textId="77777777" w:rsidR="00B26013" w:rsidRDefault="00B26013" w:rsidP="00DC3187">
      <w:pPr>
        <w:spacing w:after="0" w:line="360" w:lineRule="auto"/>
        <w:jc w:val="center"/>
        <w:rPr>
          <w:rFonts w:cs="Times New Roman"/>
          <w:b/>
          <w:bCs/>
          <w:szCs w:val="24"/>
        </w:rPr>
      </w:pPr>
    </w:p>
    <w:p w14:paraId="5D7449D6" w14:textId="77777777" w:rsidR="00B26013" w:rsidRDefault="00B26013" w:rsidP="00DC3187">
      <w:pPr>
        <w:spacing w:after="0" w:line="360" w:lineRule="auto"/>
        <w:jc w:val="center"/>
        <w:rPr>
          <w:rFonts w:cs="Times New Roman"/>
          <w:b/>
          <w:bCs/>
          <w:szCs w:val="24"/>
        </w:rPr>
      </w:pPr>
    </w:p>
    <w:p w14:paraId="57C7E772" w14:textId="77777777" w:rsidR="00B26013" w:rsidRDefault="00B26013" w:rsidP="00DC3187">
      <w:pPr>
        <w:spacing w:after="0" w:line="360" w:lineRule="auto"/>
        <w:jc w:val="center"/>
        <w:rPr>
          <w:rFonts w:cs="Times New Roman"/>
          <w:b/>
          <w:bCs/>
          <w:szCs w:val="24"/>
        </w:rPr>
      </w:pPr>
    </w:p>
    <w:p w14:paraId="414E9D05" w14:textId="77777777" w:rsidR="00B26013" w:rsidRDefault="00B26013" w:rsidP="00DC3187">
      <w:pPr>
        <w:spacing w:after="0" w:line="360" w:lineRule="auto"/>
        <w:jc w:val="center"/>
        <w:rPr>
          <w:rFonts w:cs="Times New Roman"/>
          <w:b/>
          <w:bCs/>
          <w:szCs w:val="24"/>
        </w:rPr>
      </w:pPr>
    </w:p>
    <w:p w14:paraId="643B9D8F" w14:textId="77777777" w:rsidR="00B26013" w:rsidRDefault="00B26013" w:rsidP="00DC3187">
      <w:pPr>
        <w:spacing w:after="0" w:line="360" w:lineRule="auto"/>
        <w:jc w:val="center"/>
        <w:rPr>
          <w:rFonts w:cs="Times New Roman"/>
          <w:b/>
          <w:bCs/>
          <w:szCs w:val="24"/>
        </w:rPr>
      </w:pPr>
    </w:p>
    <w:p w14:paraId="695B3EF6" w14:textId="77777777" w:rsidR="00B26013" w:rsidRDefault="00B26013" w:rsidP="00DC3187">
      <w:pPr>
        <w:spacing w:after="0" w:line="360" w:lineRule="auto"/>
        <w:jc w:val="center"/>
        <w:rPr>
          <w:rFonts w:cs="Times New Roman"/>
          <w:b/>
          <w:bCs/>
          <w:szCs w:val="24"/>
        </w:rPr>
      </w:pPr>
    </w:p>
    <w:p w14:paraId="38ABBE67" w14:textId="77777777" w:rsidR="00B26013" w:rsidRDefault="00B26013" w:rsidP="00DC3187">
      <w:pPr>
        <w:spacing w:after="0" w:line="360" w:lineRule="auto"/>
        <w:jc w:val="center"/>
        <w:rPr>
          <w:rFonts w:cs="Times New Roman"/>
          <w:b/>
          <w:bCs/>
          <w:szCs w:val="24"/>
        </w:rPr>
      </w:pPr>
    </w:p>
    <w:p w14:paraId="3459DCC0" w14:textId="77777777" w:rsidR="00B26013" w:rsidRDefault="00B26013" w:rsidP="00DC3187">
      <w:pPr>
        <w:spacing w:after="0" w:line="360" w:lineRule="auto"/>
        <w:jc w:val="center"/>
        <w:rPr>
          <w:rFonts w:cs="Times New Roman"/>
          <w:b/>
          <w:bCs/>
          <w:szCs w:val="24"/>
        </w:rPr>
      </w:pPr>
    </w:p>
    <w:p w14:paraId="36249CE3" w14:textId="77777777" w:rsidR="008A2F1A" w:rsidRDefault="008A2F1A" w:rsidP="00CA4067">
      <w:pPr>
        <w:spacing w:after="0" w:line="360" w:lineRule="auto"/>
        <w:rPr>
          <w:rFonts w:cs="Times New Roman"/>
          <w:b/>
          <w:bCs/>
          <w:szCs w:val="24"/>
        </w:rPr>
      </w:pPr>
    </w:p>
    <w:p w14:paraId="4EF8D915" w14:textId="751198A6" w:rsidR="00866994" w:rsidRDefault="008A2F1A" w:rsidP="008A2F1A">
      <w:pPr>
        <w:spacing w:after="0" w:line="360" w:lineRule="auto"/>
        <w:jc w:val="both"/>
        <w:rPr>
          <w:rFonts w:ascii="Arial" w:hAnsi="Arial" w:cs="Arial"/>
          <w:b/>
          <w:bCs/>
          <w:szCs w:val="24"/>
        </w:rPr>
      </w:pPr>
      <w:r>
        <w:rPr>
          <w:rFonts w:cs="Times New Roman"/>
          <w:b/>
          <w:bCs/>
          <w:szCs w:val="24"/>
        </w:rPr>
        <w:lastRenderedPageBreak/>
        <w:t xml:space="preserve">                                                                   </w:t>
      </w:r>
      <w:r w:rsidR="00CA4067">
        <w:rPr>
          <w:rFonts w:cs="Times New Roman"/>
          <w:b/>
          <w:bCs/>
          <w:szCs w:val="24"/>
        </w:rPr>
        <w:t xml:space="preserve"> </w:t>
      </w:r>
      <w:r w:rsidR="00866994" w:rsidRPr="00CA4067">
        <w:rPr>
          <w:rFonts w:ascii="Arial" w:hAnsi="Arial" w:cs="Arial"/>
          <w:b/>
          <w:bCs/>
          <w:szCs w:val="24"/>
        </w:rPr>
        <w:t>Introduction</w:t>
      </w:r>
    </w:p>
    <w:p w14:paraId="7E86B23B" w14:textId="77777777" w:rsidR="00CA4067" w:rsidRPr="00CA4067" w:rsidRDefault="00CA4067" w:rsidP="008A2F1A">
      <w:pPr>
        <w:spacing w:after="0" w:line="360" w:lineRule="auto"/>
        <w:jc w:val="both"/>
        <w:rPr>
          <w:rFonts w:ascii="Arial" w:hAnsi="Arial" w:cs="Arial"/>
          <w:szCs w:val="24"/>
        </w:rPr>
      </w:pPr>
    </w:p>
    <w:p w14:paraId="7311B239" w14:textId="27A06A17" w:rsidR="00866994" w:rsidRPr="00CA4067" w:rsidRDefault="00866994" w:rsidP="008A2F1A">
      <w:pPr>
        <w:spacing w:after="0" w:line="360" w:lineRule="auto"/>
        <w:ind w:firstLine="720"/>
        <w:jc w:val="both"/>
        <w:rPr>
          <w:rFonts w:ascii="Arial" w:hAnsi="Arial" w:cs="Arial"/>
          <w:szCs w:val="24"/>
        </w:rPr>
      </w:pPr>
      <w:r w:rsidRPr="00CA4067">
        <w:rPr>
          <w:rFonts w:ascii="Arial" w:hAnsi="Arial" w:cs="Arial"/>
          <w:szCs w:val="24"/>
        </w:rPr>
        <w:t xml:space="preserve">The chosen event is the Green Horizon Conference, a pioneering approach to </w:t>
      </w:r>
      <w:r w:rsidR="00E50BFB" w:rsidRPr="00CA4067">
        <w:rPr>
          <w:rFonts w:ascii="Arial" w:hAnsi="Arial" w:cs="Arial"/>
          <w:szCs w:val="24"/>
        </w:rPr>
        <w:t>hospitality</w:t>
      </w:r>
      <w:r w:rsidRPr="00CA4067">
        <w:rPr>
          <w:rFonts w:ascii="Arial" w:hAnsi="Arial" w:cs="Arial"/>
          <w:szCs w:val="24"/>
        </w:rPr>
        <w:t xml:space="preserve"> that gives greater importance to sustainability. It has been selected precisely because of this inimitable theme correlating with an ever-growing trend of environmentally friendly best practices amongst the MICE organizations. The Green Horizon conference is being organized because it will help establish an environment where industry specialists, businesses, and eco-friendly people will gather to continue, speak, and advertise sustainable event management approaches</w:t>
      </w:r>
      <w:r w:rsidR="00A35F34" w:rsidRPr="00CA4067">
        <w:rPr>
          <w:rFonts w:ascii="Arial" w:hAnsi="Arial" w:cs="Arial"/>
          <w:szCs w:val="24"/>
        </w:rPr>
        <w:t xml:space="preserve"> (Meredith et al., 2017)</w:t>
      </w:r>
      <w:r w:rsidRPr="00CA4067">
        <w:rPr>
          <w:rFonts w:ascii="Arial" w:hAnsi="Arial" w:cs="Arial"/>
          <w:szCs w:val="24"/>
        </w:rPr>
        <w:t>.</w:t>
      </w:r>
    </w:p>
    <w:p w14:paraId="5CFE52AE" w14:textId="5012BA7D" w:rsidR="00866994" w:rsidRPr="00CA4067" w:rsidRDefault="00866994" w:rsidP="008A2F1A">
      <w:pPr>
        <w:spacing w:after="0" w:line="360" w:lineRule="auto"/>
        <w:ind w:firstLine="720"/>
        <w:jc w:val="both"/>
        <w:rPr>
          <w:rFonts w:ascii="Arial" w:hAnsi="Arial" w:cs="Arial"/>
          <w:szCs w:val="24"/>
        </w:rPr>
      </w:pPr>
      <w:r w:rsidRPr="00CA4067">
        <w:rPr>
          <w:rFonts w:ascii="Arial" w:hAnsi="Arial" w:cs="Arial"/>
          <w:szCs w:val="24"/>
        </w:rPr>
        <w:t>The Green Horizon Conference is held in the dynamic city of Dubai. It is well-known for its famous skyline, obsession with innovation, and position as a major center of business activity worldwide</w:t>
      </w:r>
      <w:r w:rsidR="00A35F34" w:rsidRPr="00CA4067">
        <w:rPr>
          <w:rFonts w:ascii="Arial" w:hAnsi="Arial" w:cs="Arial"/>
          <w:szCs w:val="24"/>
        </w:rPr>
        <w:t xml:space="preserve"> (Smith, 2012)</w:t>
      </w:r>
      <w:r w:rsidRPr="00CA4067">
        <w:rPr>
          <w:rFonts w:ascii="Arial" w:hAnsi="Arial" w:cs="Arial"/>
          <w:szCs w:val="24"/>
        </w:rPr>
        <w:t>. The location was chosen not only to emphasize the character of the modern era and the importance of projects that ensure sustainability but also to represent an evaluation of the space, which is critical to its contextual condition. Dubai’s cultural, luxurious, and modern tr</w:t>
      </w:r>
      <w:r w:rsidR="00E50BFB" w:rsidRPr="00CA4067">
        <w:rPr>
          <w:rFonts w:ascii="Arial" w:hAnsi="Arial" w:cs="Arial"/>
          <w:szCs w:val="24"/>
        </w:rPr>
        <w:t>ibal</w:t>
      </w:r>
      <w:r w:rsidRPr="00CA4067">
        <w:rPr>
          <w:rFonts w:ascii="Arial" w:hAnsi="Arial" w:cs="Arial"/>
          <w:szCs w:val="24"/>
        </w:rPr>
        <w:t xml:space="preserve"> </w:t>
      </w:r>
      <w:r w:rsidR="00E50BFB" w:rsidRPr="00CA4067">
        <w:rPr>
          <w:rFonts w:ascii="Arial" w:hAnsi="Arial" w:cs="Arial"/>
          <w:szCs w:val="24"/>
        </w:rPr>
        <w:t>traditions perfectly suit the themes of The Green Horizon Conference and, thus, inspire conference discussions on responsible event organization</w:t>
      </w:r>
      <w:r w:rsidRPr="00CA4067">
        <w:rPr>
          <w:rFonts w:ascii="Arial" w:hAnsi="Arial" w:cs="Arial"/>
          <w:szCs w:val="24"/>
        </w:rPr>
        <w:t>.</w:t>
      </w:r>
    </w:p>
    <w:p w14:paraId="395E16D9" w14:textId="77777777" w:rsidR="008A2F1A" w:rsidRDefault="00866994" w:rsidP="008A2F1A">
      <w:pPr>
        <w:spacing w:after="0" w:line="360" w:lineRule="auto"/>
        <w:ind w:firstLine="720"/>
        <w:jc w:val="both"/>
        <w:rPr>
          <w:rFonts w:ascii="Arial" w:hAnsi="Arial" w:cs="Arial"/>
          <w:szCs w:val="24"/>
        </w:rPr>
      </w:pPr>
      <w:r w:rsidRPr="00CA4067">
        <w:rPr>
          <w:rFonts w:ascii="Arial" w:hAnsi="Arial" w:cs="Arial"/>
          <w:szCs w:val="24"/>
        </w:rPr>
        <w:t xml:space="preserve">This introduction creates a background for an event that is not only talking about the issue addressed the elaborate concern of sustainability in MICE but at the same time, it is staged in the dynamic atmosphere of </w:t>
      </w:r>
      <w:proofErr w:type="spellStart"/>
      <w:r w:rsidRPr="00CA4067">
        <w:rPr>
          <w:rFonts w:ascii="Arial" w:hAnsi="Arial" w:cs="Arial"/>
          <w:szCs w:val="24"/>
        </w:rPr>
        <w:t>Dubaibecome</w:t>
      </w:r>
      <w:proofErr w:type="spellEnd"/>
      <w:r w:rsidRPr="00CA4067">
        <w:rPr>
          <w:rFonts w:ascii="Arial" w:hAnsi="Arial" w:cs="Arial"/>
          <w:szCs w:val="24"/>
        </w:rPr>
        <w:t xml:space="preserve"> a platform for more vivid discussions and initiatives, towards a more green and responsible future in event management</w:t>
      </w:r>
      <w:r w:rsidR="00A35F34" w:rsidRPr="00CA4067">
        <w:rPr>
          <w:rFonts w:ascii="Arial" w:hAnsi="Arial" w:cs="Arial"/>
          <w:szCs w:val="24"/>
        </w:rPr>
        <w:t xml:space="preserve"> (</w:t>
      </w:r>
      <w:proofErr w:type="spellStart"/>
      <w:r w:rsidR="00A35F34" w:rsidRPr="00CA4067">
        <w:rPr>
          <w:rFonts w:ascii="Arial" w:hAnsi="Arial" w:cs="Arial"/>
          <w:szCs w:val="24"/>
        </w:rPr>
        <w:t>Aghlmand</w:t>
      </w:r>
      <w:proofErr w:type="spellEnd"/>
      <w:r w:rsidR="00A35F34" w:rsidRPr="00CA4067">
        <w:rPr>
          <w:rFonts w:ascii="Arial" w:hAnsi="Arial" w:cs="Arial"/>
          <w:szCs w:val="24"/>
        </w:rPr>
        <w:t xml:space="preserve"> et al., 2022)</w:t>
      </w:r>
      <w:r w:rsidRPr="00CA4067">
        <w:rPr>
          <w:rFonts w:ascii="Arial" w:hAnsi="Arial" w:cs="Arial"/>
          <w:szCs w:val="24"/>
        </w:rPr>
        <w:t>.</w:t>
      </w:r>
      <w:bookmarkStart w:id="0" w:name="_Hlk159839909"/>
    </w:p>
    <w:p w14:paraId="205A13AD" w14:textId="77777777" w:rsidR="008A2F1A" w:rsidRDefault="008A2F1A" w:rsidP="008A2F1A">
      <w:pPr>
        <w:spacing w:after="0" w:line="360" w:lineRule="auto"/>
        <w:ind w:firstLine="720"/>
        <w:jc w:val="both"/>
        <w:rPr>
          <w:rFonts w:ascii="Arial" w:hAnsi="Arial" w:cs="Arial"/>
          <w:szCs w:val="24"/>
        </w:rPr>
      </w:pPr>
    </w:p>
    <w:p w14:paraId="4E375647" w14:textId="5EA0BB05" w:rsidR="00866994" w:rsidRPr="008A2F1A" w:rsidRDefault="008A2F1A" w:rsidP="008A2F1A">
      <w:pPr>
        <w:spacing w:after="0" w:line="360" w:lineRule="auto"/>
        <w:ind w:firstLine="720"/>
        <w:jc w:val="both"/>
        <w:rPr>
          <w:rFonts w:ascii="Arial" w:hAnsi="Arial" w:cs="Arial"/>
          <w:szCs w:val="24"/>
        </w:rPr>
      </w:pPr>
      <w:r>
        <w:rPr>
          <w:rFonts w:ascii="Arial" w:hAnsi="Arial" w:cs="Arial"/>
          <w:szCs w:val="24"/>
        </w:rPr>
        <w:t xml:space="preserve">                                              </w:t>
      </w:r>
      <w:r w:rsidR="00866994" w:rsidRPr="00CA4067">
        <w:rPr>
          <w:rFonts w:ascii="Arial" w:hAnsi="Arial" w:cs="Arial"/>
          <w:b/>
          <w:bCs/>
          <w:szCs w:val="24"/>
        </w:rPr>
        <w:t xml:space="preserve"> The Event Cycle</w:t>
      </w:r>
    </w:p>
    <w:p w14:paraId="0B099E7D" w14:textId="77777777" w:rsidR="00CA4067" w:rsidRPr="00CA4067" w:rsidRDefault="00CA4067" w:rsidP="008A2F1A">
      <w:pPr>
        <w:spacing w:after="0" w:line="360" w:lineRule="auto"/>
        <w:jc w:val="both"/>
        <w:rPr>
          <w:rFonts w:ascii="Arial" w:hAnsi="Arial" w:cs="Arial"/>
          <w:szCs w:val="24"/>
        </w:rPr>
      </w:pPr>
    </w:p>
    <w:bookmarkEnd w:id="0"/>
    <w:p w14:paraId="6E6FD087" w14:textId="7F71ED65" w:rsidR="00866994" w:rsidRPr="00CA4067" w:rsidRDefault="00866994" w:rsidP="008A2F1A">
      <w:pPr>
        <w:spacing w:after="0" w:line="360" w:lineRule="auto"/>
        <w:ind w:firstLine="720"/>
        <w:jc w:val="both"/>
        <w:rPr>
          <w:rFonts w:ascii="Arial" w:hAnsi="Arial" w:cs="Arial"/>
          <w:szCs w:val="24"/>
        </w:rPr>
      </w:pPr>
      <w:r w:rsidRPr="00CA4067">
        <w:rPr>
          <w:rFonts w:ascii="Arial" w:hAnsi="Arial" w:cs="Arial"/>
          <w:szCs w:val="24"/>
        </w:rPr>
        <w:t>The Event Cycle is an overarching integration of the various processes that an event planner must navigate throughout the actualization of the lifecycle of an event that begins with the theoretical conceptualization to the final evaluation after the event</w:t>
      </w:r>
      <w:r w:rsidR="00A35F34" w:rsidRPr="00CA4067">
        <w:rPr>
          <w:rFonts w:ascii="Arial" w:hAnsi="Arial" w:cs="Arial"/>
          <w:szCs w:val="24"/>
        </w:rPr>
        <w:t xml:space="preserve"> (Getz &amp; Page, 2016)</w:t>
      </w:r>
      <w:r w:rsidRPr="00CA4067">
        <w:rPr>
          <w:rFonts w:ascii="Arial" w:hAnsi="Arial" w:cs="Arial"/>
          <w:szCs w:val="24"/>
        </w:rPr>
        <w:t>. It comprises stages such as Planning, Implementation, and Evaluation, which are all vital to the success of the event and its sustainability.</w:t>
      </w:r>
    </w:p>
    <w:p w14:paraId="547C21B5" w14:textId="50AD4137" w:rsidR="00866994" w:rsidRPr="00CA4067" w:rsidRDefault="00866994" w:rsidP="008A2F1A">
      <w:pPr>
        <w:spacing w:after="0" w:line="360" w:lineRule="auto"/>
        <w:ind w:firstLine="720"/>
        <w:jc w:val="both"/>
        <w:rPr>
          <w:rFonts w:ascii="Arial" w:hAnsi="Arial" w:cs="Arial"/>
          <w:szCs w:val="24"/>
        </w:rPr>
      </w:pPr>
      <w:r w:rsidRPr="00CA4067">
        <w:rPr>
          <w:rFonts w:ascii="Arial" w:hAnsi="Arial" w:cs="Arial"/>
          <w:szCs w:val="24"/>
        </w:rPr>
        <w:lastRenderedPageBreak/>
        <w:t xml:space="preserve">Applying the Event Cycle concept to The Green Horizon Conference, the Planning stage stands at the center of the spectacle. This entails developing the concept, articulating purposes, identifying goals, and developing a concept for the event. As signified by the peculiar theme of sustainability, this stage is the spotlight time for this global transition to environmental practices in the MICE industry. Involving the chosen Event Cycle ensures the </w:t>
      </w:r>
      <w:proofErr w:type="gramStart"/>
      <w:r w:rsidRPr="00CA4067">
        <w:rPr>
          <w:rFonts w:ascii="Arial" w:hAnsi="Arial" w:cs="Arial"/>
          <w:szCs w:val="24"/>
        </w:rPr>
        <w:t>process</w:t>
      </w:r>
      <w:proofErr w:type="gramEnd"/>
      <w:r w:rsidRPr="00CA4067">
        <w:rPr>
          <w:rFonts w:ascii="Arial" w:hAnsi="Arial" w:cs="Arial"/>
          <w:szCs w:val="24"/>
        </w:rPr>
        <w:t xml:space="preserve"> planning to be one follows a systematical approach, ensuring that there are clear objectives as well as a well-developed concept.</w:t>
      </w:r>
    </w:p>
    <w:p w14:paraId="7F5B236F" w14:textId="21ABA8D5" w:rsidR="00866994" w:rsidRPr="00CA4067" w:rsidRDefault="00866994" w:rsidP="008A2F1A">
      <w:pPr>
        <w:spacing w:after="0" w:line="360" w:lineRule="auto"/>
        <w:ind w:firstLine="720"/>
        <w:jc w:val="both"/>
        <w:rPr>
          <w:rFonts w:ascii="Arial" w:hAnsi="Arial" w:cs="Arial"/>
          <w:szCs w:val="24"/>
        </w:rPr>
      </w:pPr>
      <w:r w:rsidRPr="00CA4067">
        <w:rPr>
          <w:rFonts w:ascii="Arial" w:hAnsi="Arial" w:cs="Arial"/>
          <w:szCs w:val="24"/>
        </w:rPr>
        <w:t xml:space="preserve">In the shift to Implementation mode, the chosen Event Cycle continues to steer the conduct of the Green Horizon Conference. At this phase, miracles become </w:t>
      </w:r>
      <w:proofErr w:type="gramStart"/>
      <w:r w:rsidRPr="00CA4067">
        <w:rPr>
          <w:rFonts w:ascii="Arial" w:hAnsi="Arial" w:cs="Arial"/>
          <w:szCs w:val="24"/>
        </w:rPr>
        <w:t>realities</w:t>
      </w:r>
      <w:proofErr w:type="gramEnd"/>
      <w:r w:rsidRPr="00CA4067">
        <w:rPr>
          <w:rFonts w:ascii="Arial" w:hAnsi="Arial" w:cs="Arial"/>
          <w:szCs w:val="24"/>
        </w:rPr>
        <w:t xml:space="preserve"> when put into action; they need clarity, resources, and involvement. The event concept sustainability initiatives are then actualized by implementing green technologies, waste reduction measures, and community engagement. The Event Cycle serves here as a very good guide, making it more difficult to divert from the path leading towards meeting the event’s goals.</w:t>
      </w:r>
    </w:p>
    <w:p w14:paraId="3BEF68E7" w14:textId="5178C2A7" w:rsidR="00866994" w:rsidRPr="00CA4067" w:rsidRDefault="00866994" w:rsidP="008A2F1A">
      <w:pPr>
        <w:spacing w:after="0" w:line="360" w:lineRule="auto"/>
        <w:ind w:firstLine="720"/>
        <w:jc w:val="both"/>
        <w:rPr>
          <w:rFonts w:ascii="Arial" w:hAnsi="Arial" w:cs="Arial"/>
          <w:szCs w:val="24"/>
        </w:rPr>
      </w:pPr>
      <w:r w:rsidRPr="00CA4067">
        <w:rPr>
          <w:rFonts w:ascii="Arial" w:hAnsi="Arial" w:cs="Arial"/>
          <w:szCs w:val="24"/>
        </w:rPr>
        <w:t>The evaluation phase is also vital in helping evaluate the success of The Green Horizon Conference in general. A post-event analysis, attendee feedback, and a detailed financial performance analysis allow one to form a comprehensive evaluation. At this stage, mentioning the selected Event Cycle highlights the cyclical nature of event management, which further indicates that the knowledge obtained in evaluation will also be used to inform future planning processes.</w:t>
      </w:r>
    </w:p>
    <w:p w14:paraId="6A982DFF" w14:textId="1AFA593A" w:rsidR="00866994" w:rsidRDefault="00866994" w:rsidP="008A2F1A">
      <w:pPr>
        <w:spacing w:after="0" w:line="360" w:lineRule="auto"/>
        <w:ind w:firstLine="720"/>
        <w:jc w:val="both"/>
        <w:rPr>
          <w:rFonts w:ascii="Arial" w:hAnsi="Arial" w:cs="Arial"/>
          <w:szCs w:val="24"/>
        </w:rPr>
      </w:pPr>
      <w:r w:rsidRPr="00CA4067">
        <w:rPr>
          <w:rFonts w:ascii="Arial" w:hAnsi="Arial" w:cs="Arial"/>
          <w:szCs w:val="24"/>
        </w:rPr>
        <w:t>Referring to the chosen Event Cycle throughout this process provides clarity and academic validity. It confirms the methodology, the systematic method applied to The Green Horizon Conference that are the norms and procedures of the said line of work, brought up to date by leading principles. The Event Cycle featuring the recurring nature of events resonates with the repetitive nature of event management. It offers room for improvement and innovation during subsequent The Green Horizon Conference editions.</w:t>
      </w:r>
    </w:p>
    <w:p w14:paraId="6F63A8BE" w14:textId="77777777" w:rsidR="00CA4067" w:rsidRPr="00CA4067" w:rsidRDefault="00CA4067" w:rsidP="008A2F1A">
      <w:pPr>
        <w:spacing w:after="0" w:line="360" w:lineRule="auto"/>
        <w:ind w:firstLine="720"/>
        <w:jc w:val="both"/>
        <w:rPr>
          <w:rFonts w:ascii="Arial" w:hAnsi="Arial" w:cs="Arial"/>
          <w:szCs w:val="24"/>
        </w:rPr>
      </w:pPr>
    </w:p>
    <w:p w14:paraId="32FECE1C" w14:textId="6FA2997E" w:rsidR="00866994" w:rsidRPr="00CA4067" w:rsidRDefault="00CA4067" w:rsidP="008A2F1A">
      <w:pPr>
        <w:spacing w:after="0" w:line="360" w:lineRule="auto"/>
        <w:jc w:val="both"/>
        <w:rPr>
          <w:rFonts w:ascii="Arial" w:hAnsi="Arial" w:cs="Arial"/>
          <w:szCs w:val="24"/>
        </w:rPr>
      </w:pPr>
      <w:r w:rsidRPr="00CA4067">
        <w:rPr>
          <w:rFonts w:ascii="Arial" w:hAnsi="Arial" w:cs="Arial"/>
          <w:b/>
          <w:bCs/>
          <w:szCs w:val="24"/>
        </w:rPr>
        <w:t xml:space="preserve">                                                            </w:t>
      </w:r>
      <w:r w:rsidR="00866994" w:rsidRPr="00CA4067">
        <w:rPr>
          <w:rFonts w:ascii="Arial" w:hAnsi="Arial" w:cs="Arial"/>
          <w:b/>
          <w:bCs/>
          <w:szCs w:val="24"/>
        </w:rPr>
        <w:t xml:space="preserve"> Event Concept</w:t>
      </w:r>
    </w:p>
    <w:p w14:paraId="4EA007A1" w14:textId="752FB342" w:rsidR="00866994" w:rsidRPr="00CA4067" w:rsidRDefault="00866994" w:rsidP="008A2F1A">
      <w:pPr>
        <w:spacing w:after="0" w:line="360" w:lineRule="auto"/>
        <w:ind w:firstLine="720"/>
        <w:jc w:val="both"/>
        <w:rPr>
          <w:rFonts w:ascii="Arial" w:hAnsi="Arial" w:cs="Arial"/>
          <w:szCs w:val="24"/>
        </w:rPr>
      </w:pPr>
      <w:r w:rsidRPr="00CA4067">
        <w:rPr>
          <w:rFonts w:ascii="Arial" w:hAnsi="Arial" w:cs="Arial"/>
          <w:szCs w:val="24"/>
        </w:rPr>
        <w:t xml:space="preserve">The message and goal of The Green Horizon Conference are intertwined to produce a total experience that transcends conventional event frontiers. The main concept relates to sustainability in the MICE sector, which seeks to establish an authority </w:t>
      </w:r>
      <w:r w:rsidRPr="00CA4067">
        <w:rPr>
          <w:rFonts w:ascii="Arial" w:hAnsi="Arial" w:cs="Arial"/>
          <w:szCs w:val="24"/>
        </w:rPr>
        <w:lastRenderedPageBreak/>
        <w:t>in its field and change the mindset, which will cause positive actions to follow</w:t>
      </w:r>
      <w:r w:rsidR="00A35F34" w:rsidRPr="00CA4067">
        <w:rPr>
          <w:rFonts w:ascii="Arial" w:hAnsi="Arial" w:cs="Arial"/>
          <w:szCs w:val="24"/>
        </w:rPr>
        <w:t xml:space="preserve"> (Jiang &amp; BI, 2022)</w:t>
      </w:r>
      <w:r w:rsidRPr="00CA4067">
        <w:rPr>
          <w:rFonts w:ascii="Arial" w:hAnsi="Arial" w:cs="Arial"/>
          <w:szCs w:val="24"/>
        </w:rPr>
        <w:t>. The purpose is twofold: to train and involve stakeholders in sustainable eventology and to establish a community committed to improving sustainable practices in the MICE sector</w:t>
      </w:r>
      <w:r w:rsidR="00A35F34" w:rsidRPr="00CA4067">
        <w:rPr>
          <w:rFonts w:ascii="Arial" w:hAnsi="Arial" w:cs="Arial"/>
          <w:szCs w:val="24"/>
        </w:rPr>
        <w:t xml:space="preserve"> (</w:t>
      </w:r>
      <w:proofErr w:type="spellStart"/>
      <w:r w:rsidR="00A35F34" w:rsidRPr="00CA4067">
        <w:rPr>
          <w:rFonts w:ascii="Arial" w:hAnsi="Arial" w:cs="Arial"/>
          <w:szCs w:val="24"/>
        </w:rPr>
        <w:t>Tanoyo</w:t>
      </w:r>
      <w:proofErr w:type="spellEnd"/>
      <w:r w:rsidR="00A35F34" w:rsidRPr="00CA4067">
        <w:rPr>
          <w:rFonts w:ascii="Arial" w:hAnsi="Arial" w:cs="Arial"/>
          <w:szCs w:val="24"/>
        </w:rPr>
        <w:t xml:space="preserve"> &amp; </w:t>
      </w:r>
      <w:proofErr w:type="spellStart"/>
      <w:r w:rsidR="00A35F34" w:rsidRPr="00CA4067">
        <w:rPr>
          <w:rFonts w:ascii="Arial" w:hAnsi="Arial" w:cs="Arial"/>
          <w:szCs w:val="24"/>
        </w:rPr>
        <w:t>Harlim</w:t>
      </w:r>
      <w:proofErr w:type="spellEnd"/>
      <w:r w:rsidR="00A35F34" w:rsidRPr="00CA4067">
        <w:rPr>
          <w:rFonts w:ascii="Arial" w:hAnsi="Arial" w:cs="Arial"/>
          <w:szCs w:val="24"/>
        </w:rPr>
        <w:t>, 2022)</w:t>
      </w:r>
      <w:r w:rsidRPr="00CA4067">
        <w:rPr>
          <w:rFonts w:ascii="Arial" w:hAnsi="Arial" w:cs="Arial"/>
          <w:szCs w:val="24"/>
        </w:rPr>
        <w:t>.</w:t>
      </w:r>
    </w:p>
    <w:p w14:paraId="0E18BD54" w14:textId="41FCD11B" w:rsidR="00866994" w:rsidRPr="00CA4067" w:rsidRDefault="00866994" w:rsidP="008A2F1A">
      <w:pPr>
        <w:spacing w:after="0" w:line="360" w:lineRule="auto"/>
        <w:ind w:firstLine="720"/>
        <w:jc w:val="both"/>
        <w:rPr>
          <w:rFonts w:ascii="Arial" w:hAnsi="Arial" w:cs="Arial"/>
          <w:szCs w:val="24"/>
        </w:rPr>
      </w:pPr>
      <w:r w:rsidRPr="00CA4067">
        <w:rPr>
          <w:rFonts w:ascii="Arial" w:hAnsi="Arial" w:cs="Arial"/>
          <w:szCs w:val="24"/>
        </w:rPr>
        <w:t>As the delegates and guests delve into The Green Horizon Conference, they are guided on a solution-focused path towards awakening, understanding, and transformation. The sustainability theme begins in a well-specified schedule that gives a clue to its sustainability concept</w:t>
      </w:r>
      <w:r w:rsidR="00A35F34" w:rsidRPr="00CA4067">
        <w:rPr>
          <w:rFonts w:ascii="Arial" w:hAnsi="Arial" w:cs="Arial"/>
          <w:szCs w:val="24"/>
        </w:rPr>
        <w:t xml:space="preserve"> (Hoang et al., 2021)</w:t>
      </w:r>
      <w:r w:rsidRPr="00CA4067">
        <w:rPr>
          <w:rFonts w:ascii="Arial" w:hAnsi="Arial" w:cs="Arial"/>
          <w:szCs w:val="24"/>
        </w:rPr>
        <w:t>.</w:t>
      </w:r>
    </w:p>
    <w:p w14:paraId="0EA62F7F" w14:textId="1AEEC277" w:rsidR="00866994" w:rsidRPr="00CA4067" w:rsidRDefault="00866994" w:rsidP="008A2F1A">
      <w:pPr>
        <w:spacing w:after="0" w:line="360" w:lineRule="auto"/>
        <w:ind w:firstLine="720"/>
        <w:jc w:val="both"/>
        <w:rPr>
          <w:rFonts w:ascii="Arial" w:hAnsi="Arial" w:cs="Arial"/>
          <w:szCs w:val="24"/>
        </w:rPr>
      </w:pPr>
      <w:r w:rsidRPr="00CA4067">
        <w:rPr>
          <w:rFonts w:ascii="Arial" w:hAnsi="Arial" w:cs="Arial"/>
          <w:szCs w:val="24"/>
        </w:rPr>
        <w:t xml:space="preserve">The event continues with an illuminating line-up of keynote speeches and panel discussions led by preeminent people from the perspective of industry thought leaders, sustainability specialists, and professionals from the MICE labor segment. Different sessions focus on exploring the newest trends, innovations, technologies, and practices </w:t>
      </w:r>
      <w:r w:rsidR="00E50BFB" w:rsidRPr="00CA4067">
        <w:rPr>
          <w:rFonts w:ascii="Arial" w:hAnsi="Arial" w:cs="Arial"/>
          <w:szCs w:val="24"/>
        </w:rPr>
        <w:t xml:space="preserve">that are </w:t>
      </w:r>
      <w:r w:rsidRPr="00CA4067">
        <w:rPr>
          <w:rFonts w:ascii="Arial" w:hAnsi="Arial" w:cs="Arial"/>
          <w:szCs w:val="24"/>
        </w:rPr>
        <w:t>currently gaining popularity and have already been successfully implemented in other events.</w:t>
      </w:r>
    </w:p>
    <w:p w14:paraId="6FA6572B" w14:textId="54A717E9" w:rsidR="00866994" w:rsidRPr="00CA4067" w:rsidRDefault="00866994" w:rsidP="008A2F1A">
      <w:pPr>
        <w:spacing w:after="0" w:line="360" w:lineRule="auto"/>
        <w:ind w:firstLine="720"/>
        <w:jc w:val="both"/>
        <w:rPr>
          <w:rFonts w:ascii="Arial" w:hAnsi="Arial" w:cs="Arial"/>
          <w:szCs w:val="24"/>
        </w:rPr>
      </w:pPr>
      <w:r w:rsidRPr="00CA4067">
        <w:rPr>
          <w:rFonts w:ascii="Arial" w:hAnsi="Arial" w:cs="Arial"/>
          <w:szCs w:val="24"/>
        </w:rPr>
        <w:t>One of the distinctive features of the Green Horizon Conference is that it focuses on discussions, workshops, and networking sessions. These practice-based forms allow the participants to learn practical features, promoting group dynamics and sharing ideas</w:t>
      </w:r>
      <w:r w:rsidR="00A35F34" w:rsidRPr="00CA4067">
        <w:rPr>
          <w:rFonts w:ascii="Arial" w:hAnsi="Arial" w:cs="Arial"/>
          <w:szCs w:val="24"/>
        </w:rPr>
        <w:t xml:space="preserve"> (Fox et al., 2014)</w:t>
      </w:r>
      <w:r w:rsidRPr="00CA4067">
        <w:rPr>
          <w:rFonts w:ascii="Arial" w:hAnsi="Arial" w:cs="Arial"/>
          <w:szCs w:val="24"/>
        </w:rPr>
        <w:t>. The topics of workshops are as diverse as implementing green technologies into event planning and effective roll-out of waste minimization.</w:t>
      </w:r>
    </w:p>
    <w:p w14:paraId="319BF1A5" w14:textId="294D26D4" w:rsidR="00866994" w:rsidRPr="00CA4067" w:rsidRDefault="00866994" w:rsidP="008A2F1A">
      <w:pPr>
        <w:spacing w:after="0" w:line="360" w:lineRule="auto"/>
        <w:ind w:firstLine="720"/>
        <w:jc w:val="both"/>
        <w:rPr>
          <w:rFonts w:ascii="Arial" w:hAnsi="Arial" w:cs="Arial"/>
          <w:szCs w:val="24"/>
        </w:rPr>
      </w:pPr>
      <w:r w:rsidRPr="00CA4067">
        <w:rPr>
          <w:rFonts w:ascii="Arial" w:hAnsi="Arial" w:cs="Arial"/>
          <w:szCs w:val="24"/>
        </w:rPr>
        <w:t>The afternoon sessions shift the focus to case studies and success stories, showcasing real-world examples of sustainable events</w:t>
      </w:r>
      <w:r w:rsidR="00A35F34" w:rsidRPr="00CA4067">
        <w:rPr>
          <w:rFonts w:ascii="Arial" w:hAnsi="Arial" w:cs="Arial"/>
          <w:szCs w:val="24"/>
        </w:rPr>
        <w:t xml:space="preserve"> (Legrand et al., 2022)</w:t>
      </w:r>
      <w:r w:rsidRPr="00CA4067">
        <w:rPr>
          <w:rFonts w:ascii="Arial" w:hAnsi="Arial" w:cs="Arial"/>
          <w:szCs w:val="24"/>
        </w:rPr>
        <w:t>. This section is supposed to motivate and prove that including sustainability is a ‘duty’ and a source of strategic nature for event managers.</w:t>
      </w:r>
    </w:p>
    <w:p w14:paraId="76D4EAC2" w14:textId="0FD75D0C" w:rsidR="00E50BFB" w:rsidRPr="00CA4067" w:rsidRDefault="00E50BFB" w:rsidP="008A2F1A">
      <w:pPr>
        <w:spacing w:after="0" w:line="360" w:lineRule="auto"/>
        <w:ind w:firstLine="720"/>
        <w:jc w:val="both"/>
        <w:rPr>
          <w:rFonts w:ascii="Arial" w:hAnsi="Arial" w:cs="Arial"/>
          <w:szCs w:val="24"/>
        </w:rPr>
      </w:pPr>
      <w:r w:rsidRPr="00CA4067">
        <w:rPr>
          <w:rFonts w:ascii="Arial" w:hAnsi="Arial" w:cs="Arial"/>
          <w:szCs w:val="24"/>
        </w:rPr>
        <w:t>The evening of the event culminated with a sustainable gala dinner in a green building with local and organic food</w:t>
      </w:r>
      <w:r w:rsidR="00A35F34" w:rsidRPr="00CA4067">
        <w:rPr>
          <w:rFonts w:ascii="Arial" w:hAnsi="Arial" w:cs="Arial"/>
          <w:szCs w:val="24"/>
        </w:rPr>
        <w:t xml:space="preserve"> (Hazira et al., 2021)</w:t>
      </w:r>
      <w:r w:rsidRPr="00CA4067">
        <w:rPr>
          <w:rFonts w:ascii="Arial" w:hAnsi="Arial" w:cs="Arial"/>
          <w:szCs w:val="24"/>
        </w:rPr>
        <w:t>. Such a space promotes a sustainability message while equally providing room for networking in a relaxed atmosphere.</w:t>
      </w:r>
    </w:p>
    <w:p w14:paraId="613F0192" w14:textId="5DC6A3F4" w:rsidR="00E50BFB" w:rsidRDefault="00E50BFB" w:rsidP="008A2F1A">
      <w:pPr>
        <w:spacing w:after="0" w:line="360" w:lineRule="auto"/>
        <w:ind w:firstLine="720"/>
        <w:jc w:val="both"/>
        <w:rPr>
          <w:rFonts w:ascii="Arial" w:hAnsi="Arial" w:cs="Arial"/>
          <w:szCs w:val="24"/>
        </w:rPr>
      </w:pPr>
      <w:r w:rsidRPr="00CA4067">
        <w:rPr>
          <w:rFonts w:ascii="Arial" w:hAnsi="Arial" w:cs="Arial"/>
          <w:szCs w:val="24"/>
        </w:rPr>
        <w:t xml:space="preserve">The concept design of the </w:t>
      </w:r>
      <w:proofErr w:type="gramStart"/>
      <w:r w:rsidRPr="00CA4067">
        <w:rPr>
          <w:rFonts w:ascii="Arial" w:hAnsi="Arial" w:cs="Arial"/>
          <w:szCs w:val="24"/>
        </w:rPr>
        <w:t>concept which</w:t>
      </w:r>
      <w:proofErr w:type="gramEnd"/>
      <w:r w:rsidRPr="00CA4067">
        <w:rPr>
          <w:rFonts w:ascii="Arial" w:hAnsi="Arial" w:cs="Arial"/>
          <w:szCs w:val="24"/>
        </w:rPr>
        <w:t xml:space="preserve"> enables The Green Horizon Conference to be a deeper transforming experience that exceeds an arranged conference. It also symbolizes the call for action, the doors of opportunities, and restoring the MICE industry’s future through sustainability</w:t>
      </w:r>
      <w:r w:rsidR="00A35F34" w:rsidRPr="00CA4067">
        <w:rPr>
          <w:rFonts w:ascii="Arial" w:hAnsi="Arial" w:cs="Arial"/>
          <w:szCs w:val="24"/>
        </w:rPr>
        <w:t xml:space="preserve"> (Citra Birru et al., 2022)</w:t>
      </w:r>
      <w:r w:rsidRPr="00CA4067">
        <w:rPr>
          <w:rFonts w:ascii="Arial" w:hAnsi="Arial" w:cs="Arial"/>
          <w:szCs w:val="24"/>
        </w:rPr>
        <w:t>.</w:t>
      </w:r>
    </w:p>
    <w:p w14:paraId="492A7BDD" w14:textId="77777777" w:rsidR="00CA4067" w:rsidRPr="00CA4067" w:rsidRDefault="00CA4067" w:rsidP="008A2F1A">
      <w:pPr>
        <w:spacing w:after="0" w:line="360" w:lineRule="auto"/>
        <w:ind w:firstLine="720"/>
        <w:jc w:val="both"/>
        <w:rPr>
          <w:rFonts w:ascii="Arial" w:hAnsi="Arial" w:cs="Arial"/>
          <w:szCs w:val="24"/>
        </w:rPr>
      </w:pPr>
    </w:p>
    <w:p w14:paraId="56593CF2" w14:textId="0A85C871" w:rsidR="00E50BFB" w:rsidRDefault="00290705" w:rsidP="00290705">
      <w:pPr>
        <w:spacing w:after="0" w:line="360" w:lineRule="auto"/>
        <w:jc w:val="both"/>
        <w:rPr>
          <w:rFonts w:ascii="Arial" w:hAnsi="Arial" w:cs="Arial"/>
          <w:b/>
          <w:bCs/>
          <w:szCs w:val="24"/>
        </w:rPr>
      </w:pPr>
      <w:r>
        <w:rPr>
          <w:rFonts w:ascii="Arial" w:hAnsi="Arial" w:cs="Arial"/>
          <w:b/>
          <w:bCs/>
          <w:szCs w:val="24"/>
        </w:rPr>
        <w:t xml:space="preserve">                                                            </w:t>
      </w:r>
      <w:r w:rsidR="00E50BFB" w:rsidRPr="00CA4067">
        <w:rPr>
          <w:rFonts w:ascii="Arial" w:hAnsi="Arial" w:cs="Arial"/>
          <w:b/>
          <w:bCs/>
          <w:szCs w:val="24"/>
        </w:rPr>
        <w:t>Overarching Aim</w:t>
      </w:r>
    </w:p>
    <w:p w14:paraId="713CFBD4" w14:textId="77777777" w:rsidR="00CA4067" w:rsidRPr="00CA4067" w:rsidRDefault="00CA4067" w:rsidP="00290705">
      <w:pPr>
        <w:spacing w:after="0" w:line="360" w:lineRule="auto"/>
        <w:jc w:val="both"/>
        <w:rPr>
          <w:rFonts w:ascii="Arial" w:hAnsi="Arial" w:cs="Arial"/>
          <w:b/>
          <w:bCs/>
          <w:szCs w:val="24"/>
        </w:rPr>
      </w:pPr>
    </w:p>
    <w:p w14:paraId="388405DA" w14:textId="5685216D" w:rsidR="00E50BFB" w:rsidRDefault="00E50BFB" w:rsidP="00290705">
      <w:pPr>
        <w:spacing w:after="0" w:line="360" w:lineRule="auto"/>
        <w:ind w:firstLine="720"/>
        <w:jc w:val="both"/>
        <w:rPr>
          <w:rFonts w:ascii="Arial" w:hAnsi="Arial" w:cs="Arial"/>
          <w:szCs w:val="24"/>
        </w:rPr>
      </w:pPr>
      <w:r w:rsidRPr="00CA4067">
        <w:rPr>
          <w:rFonts w:ascii="Arial" w:hAnsi="Arial" w:cs="Arial"/>
          <w:szCs w:val="24"/>
        </w:rPr>
        <w:t>The core goal of The Green Horizon Conference is to drive a paradigm shift in the MICE industry where sustainability is positioned as a fundamental pillar of event management. The event attempts to spur the sharing of knowledge, incite collaboration, and encourage the widespread adoption of green practices, driving the event managers’ community to revolutionize the event management industry</w:t>
      </w:r>
      <w:r w:rsidR="00A35F34" w:rsidRPr="00CA4067">
        <w:rPr>
          <w:rFonts w:ascii="Arial" w:hAnsi="Arial" w:cs="Arial"/>
          <w:szCs w:val="24"/>
        </w:rPr>
        <w:t xml:space="preserve"> (Kim, 2021)</w:t>
      </w:r>
      <w:r w:rsidRPr="00CA4067">
        <w:rPr>
          <w:rFonts w:ascii="Arial" w:hAnsi="Arial" w:cs="Arial"/>
          <w:szCs w:val="24"/>
        </w:rPr>
        <w:t>.</w:t>
      </w:r>
    </w:p>
    <w:p w14:paraId="36483EDF" w14:textId="77777777" w:rsidR="00CA4067" w:rsidRPr="00CA4067" w:rsidRDefault="00CA4067" w:rsidP="00290705">
      <w:pPr>
        <w:spacing w:after="0" w:line="360" w:lineRule="auto"/>
        <w:ind w:firstLine="720"/>
        <w:jc w:val="both"/>
        <w:rPr>
          <w:rFonts w:ascii="Arial" w:hAnsi="Arial" w:cs="Arial"/>
          <w:szCs w:val="24"/>
        </w:rPr>
      </w:pPr>
    </w:p>
    <w:p w14:paraId="0A3C1069" w14:textId="0F22C3EA" w:rsidR="00E50BFB" w:rsidRPr="00CA4067" w:rsidRDefault="00BF4D1D" w:rsidP="00290705">
      <w:pPr>
        <w:spacing w:after="0" w:line="360" w:lineRule="auto"/>
        <w:jc w:val="both"/>
        <w:rPr>
          <w:rFonts w:ascii="Arial" w:hAnsi="Arial" w:cs="Arial"/>
          <w:b/>
          <w:bCs/>
          <w:szCs w:val="24"/>
        </w:rPr>
      </w:pPr>
      <w:r>
        <w:rPr>
          <w:rFonts w:cs="Times New Roman"/>
          <w:b/>
          <w:bCs/>
          <w:szCs w:val="24"/>
        </w:rPr>
        <w:t xml:space="preserve"> </w:t>
      </w:r>
      <w:bookmarkStart w:id="1" w:name="_Hlk159840009"/>
      <w:r w:rsidR="00E50BFB" w:rsidRPr="00CA4067">
        <w:rPr>
          <w:rFonts w:ascii="Arial" w:hAnsi="Arial" w:cs="Arial"/>
          <w:b/>
          <w:bCs/>
          <w:szCs w:val="24"/>
        </w:rPr>
        <w:t>SMART Objectives</w:t>
      </w:r>
    </w:p>
    <w:bookmarkEnd w:id="1"/>
    <w:p w14:paraId="7791722E" w14:textId="65E6AAB4" w:rsidR="0043638E" w:rsidRPr="00CA4067" w:rsidRDefault="0043638E" w:rsidP="00290705">
      <w:pPr>
        <w:pStyle w:val="ListParagraph"/>
        <w:numPr>
          <w:ilvl w:val="0"/>
          <w:numId w:val="1"/>
        </w:numPr>
        <w:spacing w:after="0" w:line="360" w:lineRule="auto"/>
        <w:ind w:left="270" w:hanging="270"/>
        <w:jc w:val="both"/>
        <w:rPr>
          <w:rFonts w:ascii="Arial" w:hAnsi="Arial" w:cs="Arial"/>
          <w:b/>
          <w:bCs/>
          <w:szCs w:val="24"/>
        </w:rPr>
      </w:pPr>
      <w:r w:rsidRPr="00CA4067">
        <w:rPr>
          <w:rFonts w:ascii="Arial" w:hAnsi="Arial" w:cs="Arial"/>
          <w:b/>
          <w:bCs/>
          <w:szCs w:val="24"/>
        </w:rPr>
        <w:t>Increase Awareness and Understanding</w:t>
      </w:r>
    </w:p>
    <w:p w14:paraId="7F1F1A98" w14:textId="471479CC" w:rsidR="00E50BFB" w:rsidRPr="00CA4067" w:rsidRDefault="00E50BFB" w:rsidP="00290705">
      <w:pPr>
        <w:spacing w:after="0" w:line="360" w:lineRule="auto"/>
        <w:jc w:val="both"/>
        <w:rPr>
          <w:rFonts w:ascii="Arial" w:hAnsi="Arial" w:cs="Arial"/>
          <w:szCs w:val="24"/>
        </w:rPr>
      </w:pPr>
      <w:r w:rsidRPr="00CA4067">
        <w:rPr>
          <w:rFonts w:ascii="Arial" w:hAnsi="Arial" w:cs="Arial"/>
          <w:szCs w:val="24"/>
        </w:rPr>
        <w:t>- Specific: In more than eighty percent of participants, the understanding of the idea of sustainable practice for conducting events is created.</w:t>
      </w:r>
    </w:p>
    <w:p w14:paraId="674C2603" w14:textId="2CC19433" w:rsidR="00E50BFB" w:rsidRPr="00CA4067" w:rsidRDefault="00E50BFB" w:rsidP="00290705">
      <w:pPr>
        <w:spacing w:after="0" w:line="360" w:lineRule="auto"/>
        <w:jc w:val="both"/>
        <w:rPr>
          <w:rFonts w:ascii="Arial" w:hAnsi="Arial" w:cs="Arial"/>
          <w:szCs w:val="24"/>
        </w:rPr>
      </w:pPr>
      <w:r w:rsidRPr="00CA4067">
        <w:rPr>
          <w:rFonts w:ascii="Arial" w:hAnsi="Arial" w:cs="Arial"/>
          <w:szCs w:val="24"/>
        </w:rPr>
        <w:t xml:space="preserve">- Measurable: Conduct </w:t>
      </w:r>
      <w:proofErr w:type="gramStart"/>
      <w:r w:rsidRPr="00CA4067">
        <w:rPr>
          <w:rFonts w:ascii="Arial" w:hAnsi="Arial" w:cs="Arial"/>
          <w:szCs w:val="24"/>
        </w:rPr>
        <w:t>pre</w:t>
      </w:r>
      <w:proofErr w:type="gramEnd"/>
      <w:r w:rsidRPr="00CA4067">
        <w:rPr>
          <w:rFonts w:ascii="Arial" w:hAnsi="Arial" w:cs="Arial"/>
          <w:szCs w:val="24"/>
        </w:rPr>
        <w:t xml:space="preserve"> and post-surveys to evaluate the knowledge gained.</w:t>
      </w:r>
    </w:p>
    <w:p w14:paraId="6F5B3766" w14:textId="77777777" w:rsidR="00E50BFB" w:rsidRPr="00CA4067" w:rsidRDefault="00E50BFB" w:rsidP="00290705">
      <w:pPr>
        <w:spacing w:after="0" w:line="360" w:lineRule="auto"/>
        <w:jc w:val="both"/>
        <w:rPr>
          <w:rFonts w:ascii="Arial" w:hAnsi="Arial" w:cs="Arial"/>
          <w:szCs w:val="24"/>
        </w:rPr>
      </w:pPr>
      <w:r w:rsidRPr="00CA4067">
        <w:rPr>
          <w:rFonts w:ascii="Arial" w:hAnsi="Arial" w:cs="Arial"/>
          <w:szCs w:val="24"/>
        </w:rPr>
        <w:t>- Achievable: Planning session and workshop in which different aspects of sustainability will be handled.</w:t>
      </w:r>
    </w:p>
    <w:p w14:paraId="19693CFE" w14:textId="4A1D7243" w:rsidR="00E50BFB" w:rsidRPr="00CA4067" w:rsidRDefault="00E50BFB" w:rsidP="00290705">
      <w:pPr>
        <w:spacing w:after="0" w:line="360" w:lineRule="auto"/>
        <w:jc w:val="both"/>
        <w:rPr>
          <w:rFonts w:ascii="Arial" w:hAnsi="Arial" w:cs="Arial"/>
          <w:szCs w:val="24"/>
        </w:rPr>
      </w:pPr>
      <w:r w:rsidRPr="00CA4067">
        <w:rPr>
          <w:rFonts w:ascii="Arial" w:hAnsi="Arial" w:cs="Arial"/>
          <w:szCs w:val="24"/>
        </w:rPr>
        <w:t xml:space="preserve">- Relevant: Aligned with the event’s objective, which is aimed at changing </w:t>
      </w:r>
      <w:proofErr w:type="gramStart"/>
      <w:r w:rsidRPr="00CA4067">
        <w:rPr>
          <w:rFonts w:ascii="Arial" w:hAnsi="Arial" w:cs="Arial"/>
          <w:szCs w:val="24"/>
        </w:rPr>
        <w:t>the business</w:t>
      </w:r>
      <w:proofErr w:type="gramEnd"/>
      <w:r w:rsidRPr="00CA4067">
        <w:rPr>
          <w:rFonts w:ascii="Arial" w:hAnsi="Arial" w:cs="Arial"/>
          <w:szCs w:val="24"/>
        </w:rPr>
        <w:t xml:space="preserve"> practice through education.</w:t>
      </w:r>
    </w:p>
    <w:p w14:paraId="75559657" w14:textId="77777777" w:rsidR="00E50BFB" w:rsidRPr="00CA4067" w:rsidRDefault="00E50BFB" w:rsidP="00290705">
      <w:pPr>
        <w:spacing w:after="0" w:line="360" w:lineRule="auto"/>
        <w:jc w:val="both"/>
        <w:rPr>
          <w:rFonts w:ascii="Arial" w:hAnsi="Arial" w:cs="Arial"/>
          <w:szCs w:val="24"/>
        </w:rPr>
      </w:pPr>
      <w:r w:rsidRPr="00CA4067">
        <w:rPr>
          <w:rFonts w:ascii="Arial" w:hAnsi="Arial" w:cs="Arial"/>
          <w:szCs w:val="24"/>
        </w:rPr>
        <w:t>- Time-bound: Awareness levels should be checked six months afterward to determine the progression after the occasion.</w:t>
      </w:r>
    </w:p>
    <w:p w14:paraId="058B2976" w14:textId="1CACCEAA" w:rsidR="0043638E" w:rsidRPr="00CA4067" w:rsidRDefault="0043638E" w:rsidP="00290705">
      <w:pPr>
        <w:pStyle w:val="ListParagraph"/>
        <w:numPr>
          <w:ilvl w:val="0"/>
          <w:numId w:val="1"/>
        </w:numPr>
        <w:spacing w:after="0" w:line="360" w:lineRule="auto"/>
        <w:ind w:left="270" w:hanging="270"/>
        <w:jc w:val="both"/>
        <w:rPr>
          <w:rFonts w:ascii="Arial" w:hAnsi="Arial" w:cs="Arial"/>
          <w:b/>
          <w:bCs/>
          <w:szCs w:val="24"/>
        </w:rPr>
      </w:pPr>
      <w:r w:rsidRPr="00CA4067">
        <w:rPr>
          <w:rFonts w:ascii="Arial" w:hAnsi="Arial" w:cs="Arial"/>
          <w:b/>
          <w:bCs/>
          <w:szCs w:val="24"/>
        </w:rPr>
        <w:t>Facilitate Networking and Collaboration</w:t>
      </w:r>
    </w:p>
    <w:p w14:paraId="16A85C03" w14:textId="77777777" w:rsidR="00E50BFB" w:rsidRPr="00CA4067" w:rsidRDefault="00E50BFB" w:rsidP="00290705">
      <w:pPr>
        <w:spacing w:after="0" w:line="360" w:lineRule="auto"/>
        <w:jc w:val="both"/>
        <w:rPr>
          <w:rFonts w:ascii="Arial" w:hAnsi="Arial" w:cs="Arial"/>
          <w:szCs w:val="24"/>
        </w:rPr>
      </w:pPr>
      <w:r w:rsidRPr="00CA4067">
        <w:rPr>
          <w:rFonts w:ascii="Arial" w:hAnsi="Arial" w:cs="Arial"/>
          <w:szCs w:val="24"/>
        </w:rPr>
        <w:t>- Specific: Enrich connections among the attendees by organizing structured networking sessions involving at least 70% connections.</w:t>
      </w:r>
    </w:p>
    <w:p w14:paraId="53DEA692" w14:textId="300E55CC" w:rsidR="00E50BFB" w:rsidRPr="00CA4067" w:rsidRDefault="00E50BFB" w:rsidP="00290705">
      <w:pPr>
        <w:spacing w:after="0" w:line="360" w:lineRule="auto"/>
        <w:jc w:val="both"/>
        <w:rPr>
          <w:rFonts w:ascii="Arial" w:hAnsi="Arial" w:cs="Arial"/>
          <w:szCs w:val="24"/>
        </w:rPr>
      </w:pPr>
      <w:r w:rsidRPr="00CA4067">
        <w:rPr>
          <w:rFonts w:ascii="Arial" w:hAnsi="Arial" w:cs="Arial"/>
          <w:szCs w:val="24"/>
        </w:rPr>
        <w:t>- Measurable: Monitor the number of collaborations or partnerships generated during the event.</w:t>
      </w:r>
    </w:p>
    <w:p w14:paraId="66220692" w14:textId="009B94A4" w:rsidR="00E50BFB" w:rsidRPr="00CA4067" w:rsidRDefault="00E50BFB" w:rsidP="00290705">
      <w:pPr>
        <w:spacing w:after="0" w:line="360" w:lineRule="auto"/>
        <w:jc w:val="both"/>
        <w:rPr>
          <w:rFonts w:ascii="Arial" w:hAnsi="Arial" w:cs="Arial"/>
          <w:szCs w:val="24"/>
        </w:rPr>
      </w:pPr>
      <w:r w:rsidRPr="00CA4067">
        <w:rPr>
          <w:rFonts w:ascii="Arial" w:hAnsi="Arial" w:cs="Arial"/>
          <w:szCs w:val="24"/>
        </w:rPr>
        <w:t>- Achievable: Generate a platform offering multiple networking channels, including workshops and interactive sessions.</w:t>
      </w:r>
    </w:p>
    <w:p w14:paraId="1B8396DB" w14:textId="30FE4BE7" w:rsidR="00E50BFB" w:rsidRPr="00CA4067" w:rsidRDefault="00E50BFB" w:rsidP="00290705">
      <w:pPr>
        <w:spacing w:after="0" w:line="360" w:lineRule="auto"/>
        <w:jc w:val="both"/>
        <w:rPr>
          <w:rFonts w:ascii="Arial" w:hAnsi="Arial" w:cs="Arial"/>
          <w:szCs w:val="24"/>
        </w:rPr>
      </w:pPr>
      <w:r w:rsidRPr="00CA4067">
        <w:rPr>
          <w:rFonts w:ascii="Arial" w:hAnsi="Arial" w:cs="Arial"/>
          <w:szCs w:val="24"/>
        </w:rPr>
        <w:t>- Relevant: Encourages team spirit from the very beginning of the commitment to being a group that serves change.</w:t>
      </w:r>
    </w:p>
    <w:p w14:paraId="223F1A7E" w14:textId="77777777" w:rsidR="00E50BFB" w:rsidRPr="00CA4067" w:rsidRDefault="00E50BFB" w:rsidP="00290705">
      <w:pPr>
        <w:spacing w:after="0" w:line="360" w:lineRule="auto"/>
        <w:jc w:val="both"/>
        <w:rPr>
          <w:rFonts w:ascii="Arial" w:hAnsi="Arial" w:cs="Arial"/>
          <w:szCs w:val="24"/>
        </w:rPr>
      </w:pPr>
      <w:r w:rsidRPr="00CA4067">
        <w:rPr>
          <w:rFonts w:ascii="Arial" w:hAnsi="Arial" w:cs="Arial"/>
          <w:szCs w:val="24"/>
        </w:rPr>
        <w:t>- Time-bound: Assess the performance of the networking activities after replenishing items almost three months after the event.</w:t>
      </w:r>
    </w:p>
    <w:p w14:paraId="06CC8405" w14:textId="7E6E7779" w:rsidR="00E50BFB" w:rsidRPr="00CA4067" w:rsidRDefault="0043638E" w:rsidP="008A2F1A">
      <w:pPr>
        <w:pStyle w:val="ListParagraph"/>
        <w:numPr>
          <w:ilvl w:val="0"/>
          <w:numId w:val="1"/>
        </w:numPr>
        <w:spacing w:after="0" w:line="360" w:lineRule="auto"/>
        <w:ind w:left="270" w:hanging="270"/>
        <w:jc w:val="both"/>
        <w:rPr>
          <w:rFonts w:ascii="Arial" w:hAnsi="Arial" w:cs="Arial"/>
          <w:b/>
          <w:bCs/>
          <w:szCs w:val="24"/>
        </w:rPr>
      </w:pPr>
      <w:r w:rsidRPr="00CA4067">
        <w:rPr>
          <w:rFonts w:ascii="Arial" w:hAnsi="Arial" w:cs="Arial"/>
          <w:b/>
          <w:bCs/>
          <w:szCs w:val="24"/>
        </w:rPr>
        <w:lastRenderedPageBreak/>
        <w:t>Inspire Sustainable Practices in Event Planning</w:t>
      </w:r>
    </w:p>
    <w:p w14:paraId="6EF15EAC" w14:textId="6CD9AA08" w:rsidR="00E50BFB" w:rsidRPr="00CA4067" w:rsidRDefault="00E50BFB" w:rsidP="008A2F1A">
      <w:pPr>
        <w:spacing w:after="0" w:line="360" w:lineRule="auto"/>
        <w:jc w:val="both"/>
        <w:rPr>
          <w:rFonts w:ascii="Arial" w:hAnsi="Arial" w:cs="Arial"/>
          <w:szCs w:val="24"/>
        </w:rPr>
      </w:pPr>
      <w:r w:rsidRPr="00CA4067">
        <w:rPr>
          <w:rFonts w:ascii="Arial" w:hAnsi="Arial" w:cs="Arial"/>
          <w:szCs w:val="24"/>
        </w:rPr>
        <w:t xml:space="preserve">- Specific: Ensure that more than half of the attendees speak </w:t>
      </w:r>
      <w:proofErr w:type="gramStart"/>
      <w:r w:rsidRPr="00CA4067">
        <w:rPr>
          <w:rFonts w:ascii="Arial" w:hAnsi="Arial" w:cs="Arial"/>
          <w:szCs w:val="24"/>
        </w:rPr>
        <w:t>out in</w:t>
      </w:r>
      <w:proofErr w:type="gramEnd"/>
      <w:r w:rsidRPr="00CA4067">
        <w:rPr>
          <w:rFonts w:ascii="Arial" w:hAnsi="Arial" w:cs="Arial"/>
          <w:szCs w:val="24"/>
        </w:rPr>
        <w:t xml:space="preserve"> 50% for future sustainable practices.</w:t>
      </w:r>
    </w:p>
    <w:p w14:paraId="3CC9E8CA" w14:textId="3050A0E7" w:rsidR="00E50BFB" w:rsidRPr="00CA4067" w:rsidRDefault="00E50BFB" w:rsidP="008A2F1A">
      <w:pPr>
        <w:spacing w:after="0" w:line="360" w:lineRule="auto"/>
        <w:jc w:val="both"/>
        <w:rPr>
          <w:rFonts w:ascii="Arial" w:hAnsi="Arial" w:cs="Arial"/>
          <w:szCs w:val="24"/>
        </w:rPr>
      </w:pPr>
      <w:r w:rsidRPr="00CA4067">
        <w:rPr>
          <w:rFonts w:ascii="Arial" w:hAnsi="Arial" w:cs="Arial"/>
          <w:szCs w:val="24"/>
        </w:rPr>
        <w:t>- Measurable: Work is devoted to collecting pledges and conducting post-event surveys that help track measures’ implementation.</w:t>
      </w:r>
    </w:p>
    <w:p w14:paraId="28F47469" w14:textId="23A18133" w:rsidR="00E50BFB" w:rsidRPr="00CA4067" w:rsidRDefault="00E50BFB" w:rsidP="008A2F1A">
      <w:pPr>
        <w:spacing w:after="0" w:line="360" w:lineRule="auto"/>
        <w:jc w:val="both"/>
        <w:rPr>
          <w:rFonts w:ascii="Arial" w:hAnsi="Arial" w:cs="Arial"/>
          <w:szCs w:val="24"/>
        </w:rPr>
      </w:pPr>
      <w:r w:rsidRPr="00CA4067">
        <w:rPr>
          <w:rFonts w:ascii="Arial" w:hAnsi="Arial" w:cs="Arial"/>
          <w:szCs w:val="24"/>
        </w:rPr>
        <w:t>- Achievable: Show case studies where people were successful and conducted workshops that simulated the incorporation of sustainability.</w:t>
      </w:r>
    </w:p>
    <w:p w14:paraId="4522B09E" w14:textId="00E5DA89" w:rsidR="00E50BFB" w:rsidRPr="00CA4067" w:rsidRDefault="00E50BFB" w:rsidP="008A2F1A">
      <w:pPr>
        <w:spacing w:after="0" w:line="360" w:lineRule="auto"/>
        <w:jc w:val="both"/>
        <w:rPr>
          <w:rFonts w:ascii="Arial" w:hAnsi="Arial" w:cs="Arial"/>
          <w:szCs w:val="24"/>
        </w:rPr>
      </w:pPr>
      <w:r w:rsidRPr="00CA4067">
        <w:rPr>
          <w:rFonts w:ascii="Arial" w:hAnsi="Arial" w:cs="Arial"/>
          <w:szCs w:val="24"/>
        </w:rPr>
        <w:t>- Relevant: It directly provides the desired support to integrate sustainability into the event planning process through direct links to the objective.</w:t>
      </w:r>
    </w:p>
    <w:p w14:paraId="5EDE7A62" w14:textId="77777777" w:rsidR="00E50BFB" w:rsidRPr="00CA4067" w:rsidRDefault="00E50BFB" w:rsidP="008A2F1A">
      <w:pPr>
        <w:spacing w:after="0" w:line="360" w:lineRule="auto"/>
        <w:jc w:val="both"/>
        <w:rPr>
          <w:rFonts w:ascii="Arial" w:hAnsi="Arial" w:cs="Arial"/>
          <w:szCs w:val="24"/>
        </w:rPr>
      </w:pPr>
      <w:r w:rsidRPr="00CA4067">
        <w:rPr>
          <w:rFonts w:ascii="Arial" w:hAnsi="Arial" w:cs="Arial"/>
          <w:szCs w:val="24"/>
        </w:rPr>
        <w:t>- Time-bound: Indicate the implementation of the sustainability practices regarding one of the events that took place within the previous year.</w:t>
      </w:r>
    </w:p>
    <w:p w14:paraId="4F98942D" w14:textId="747B53C1" w:rsidR="00E50BFB" w:rsidRDefault="00E50BFB" w:rsidP="008A2F1A">
      <w:pPr>
        <w:spacing w:after="0" w:line="360" w:lineRule="auto"/>
        <w:jc w:val="both"/>
        <w:rPr>
          <w:rFonts w:ascii="Arial" w:hAnsi="Arial" w:cs="Arial"/>
          <w:szCs w:val="24"/>
        </w:rPr>
      </w:pPr>
      <w:r w:rsidRPr="00CA4067">
        <w:rPr>
          <w:rFonts w:ascii="Arial" w:hAnsi="Arial" w:cs="Arial"/>
          <w:szCs w:val="24"/>
        </w:rPr>
        <w:t>Such SMART objectives of The Green Horizon Conference provide a concrete and measurable criterion of success in increasing the awareness, cooperation, and implementation of green practices so that this event promotes such adaptation in the MICE industry</w:t>
      </w:r>
      <w:r w:rsidR="00A35F34" w:rsidRPr="00CA4067">
        <w:rPr>
          <w:rFonts w:ascii="Arial" w:hAnsi="Arial" w:cs="Arial"/>
          <w:szCs w:val="24"/>
        </w:rPr>
        <w:t xml:space="preserve"> (Muhammad Saufi Anas et al., 2020)</w:t>
      </w:r>
      <w:r w:rsidRPr="00CA4067">
        <w:rPr>
          <w:rFonts w:ascii="Arial" w:hAnsi="Arial" w:cs="Arial"/>
          <w:szCs w:val="24"/>
        </w:rPr>
        <w:t>.</w:t>
      </w:r>
    </w:p>
    <w:p w14:paraId="71C06741" w14:textId="77777777" w:rsidR="00CA4067" w:rsidRPr="00CA4067" w:rsidRDefault="00CA4067" w:rsidP="008A2F1A">
      <w:pPr>
        <w:spacing w:after="0" w:line="360" w:lineRule="auto"/>
        <w:jc w:val="both"/>
        <w:rPr>
          <w:rFonts w:ascii="Arial" w:hAnsi="Arial" w:cs="Arial"/>
          <w:szCs w:val="24"/>
        </w:rPr>
      </w:pPr>
    </w:p>
    <w:p w14:paraId="6A7087FF" w14:textId="5E5723B6" w:rsidR="00E50BFB" w:rsidRDefault="00290705" w:rsidP="008A2F1A">
      <w:pPr>
        <w:spacing w:after="0" w:line="360" w:lineRule="auto"/>
        <w:jc w:val="both"/>
        <w:rPr>
          <w:rFonts w:ascii="Arial" w:hAnsi="Arial" w:cs="Arial"/>
          <w:b/>
          <w:bCs/>
          <w:szCs w:val="24"/>
        </w:rPr>
      </w:pPr>
      <w:r>
        <w:rPr>
          <w:rFonts w:ascii="Arial" w:hAnsi="Arial" w:cs="Arial"/>
          <w:b/>
          <w:bCs/>
          <w:szCs w:val="24"/>
        </w:rPr>
        <w:t xml:space="preserve">                                                        </w:t>
      </w:r>
      <w:r w:rsidR="00E50BFB" w:rsidRPr="00CA4067">
        <w:rPr>
          <w:rFonts w:ascii="Arial" w:hAnsi="Arial" w:cs="Arial"/>
          <w:b/>
          <w:bCs/>
          <w:szCs w:val="24"/>
        </w:rPr>
        <w:t>Event Operations</w:t>
      </w:r>
    </w:p>
    <w:p w14:paraId="5D151178" w14:textId="77777777" w:rsidR="00CA4067" w:rsidRPr="00CA4067" w:rsidRDefault="00CA4067" w:rsidP="008A2F1A">
      <w:pPr>
        <w:spacing w:after="0" w:line="360" w:lineRule="auto"/>
        <w:jc w:val="both"/>
        <w:rPr>
          <w:rFonts w:ascii="Arial" w:hAnsi="Arial" w:cs="Arial"/>
          <w:szCs w:val="24"/>
        </w:rPr>
      </w:pPr>
    </w:p>
    <w:p w14:paraId="41AEEB12" w14:textId="42AC7307" w:rsidR="00866994" w:rsidRPr="00CA4067" w:rsidRDefault="00E50BFB" w:rsidP="008A2F1A">
      <w:pPr>
        <w:spacing w:after="0" w:line="360" w:lineRule="auto"/>
        <w:ind w:firstLine="720"/>
        <w:jc w:val="both"/>
        <w:rPr>
          <w:rFonts w:ascii="Arial" w:hAnsi="Arial" w:cs="Arial"/>
          <w:szCs w:val="24"/>
        </w:rPr>
      </w:pPr>
      <w:r w:rsidRPr="00CA4067">
        <w:rPr>
          <w:rFonts w:ascii="Arial" w:hAnsi="Arial" w:cs="Arial"/>
          <w:szCs w:val="24"/>
        </w:rPr>
        <w:t xml:space="preserve">Effective performance at the Green Horizon Conference stems from a solid identification of key competencies and resources required for the smooth execution of the event by the beneficiary organization. </w:t>
      </w:r>
      <w:r w:rsidR="00866994" w:rsidRPr="00CA4067">
        <w:rPr>
          <w:rFonts w:ascii="Arial" w:hAnsi="Arial" w:cs="Arial"/>
          <w:szCs w:val="24"/>
        </w:rPr>
        <w:t>The required s</w:t>
      </w:r>
      <w:r w:rsidRPr="00CA4067">
        <w:rPr>
          <w:rFonts w:ascii="Arial" w:hAnsi="Arial" w:cs="Arial"/>
          <w:szCs w:val="24"/>
        </w:rPr>
        <w:t>kills comprise</w:t>
      </w:r>
      <w:r w:rsidR="00866994" w:rsidRPr="00CA4067">
        <w:rPr>
          <w:rFonts w:ascii="Arial" w:hAnsi="Arial" w:cs="Arial"/>
          <w:szCs w:val="24"/>
        </w:rPr>
        <w:t xml:space="preserve"> various capabilities, including event organization, logistic handling, and sustainability knowledge. Event planners need to understand how to hide all the elements in the event as part of addressing sustainability but must be quite very involved in ensuring how each element is organized into a grand event. Furthermore, </w:t>
      </w:r>
      <w:r w:rsidRPr="00CA4067">
        <w:rPr>
          <w:rFonts w:ascii="Arial" w:hAnsi="Arial" w:cs="Arial"/>
          <w:szCs w:val="24"/>
        </w:rPr>
        <w:t>implementing</w:t>
      </w:r>
      <w:r w:rsidR="00866994" w:rsidRPr="00CA4067">
        <w:rPr>
          <w:rFonts w:ascii="Arial" w:hAnsi="Arial" w:cs="Arial"/>
          <w:szCs w:val="24"/>
        </w:rPr>
        <w:t xml:space="preserve"> knowledge concerning the state of the art and technologies, waste reduction, and community engagement techniques is equally needed to reach those objectives.</w:t>
      </w:r>
    </w:p>
    <w:p w14:paraId="4833C75C" w14:textId="1001411B" w:rsidR="00866994" w:rsidRPr="00CA4067" w:rsidRDefault="00866994" w:rsidP="008A2F1A">
      <w:pPr>
        <w:spacing w:after="0" w:line="360" w:lineRule="auto"/>
        <w:ind w:firstLine="720"/>
        <w:jc w:val="both"/>
        <w:rPr>
          <w:rFonts w:ascii="Arial" w:hAnsi="Arial" w:cs="Arial"/>
          <w:szCs w:val="24"/>
        </w:rPr>
      </w:pPr>
      <w:r w:rsidRPr="00CA4067">
        <w:rPr>
          <w:rFonts w:ascii="Arial" w:hAnsi="Arial" w:cs="Arial"/>
          <w:szCs w:val="24"/>
        </w:rPr>
        <w:t xml:space="preserve">More importantly, the financial and event-management success of The Green Horizon Conference is highly dependent on the specific roles, duties, and supportive functions that concern the event management process. </w:t>
      </w:r>
      <w:r w:rsidR="00E50BFB" w:rsidRPr="00CA4067">
        <w:rPr>
          <w:rFonts w:ascii="Arial" w:hAnsi="Arial" w:cs="Arial"/>
          <w:szCs w:val="24"/>
        </w:rPr>
        <w:t xml:space="preserve">The logistics, venue management, and sustainability coordination practitioners are adequately concerned with </w:t>
      </w:r>
      <w:r w:rsidR="00E50BFB" w:rsidRPr="00CA4067">
        <w:rPr>
          <w:rFonts w:ascii="Arial" w:hAnsi="Arial" w:cs="Arial"/>
          <w:szCs w:val="24"/>
        </w:rPr>
        <w:lastRenderedPageBreak/>
        <w:t>the proportion and running of the occasion. The significant positions in this inventory are a Sustainability Coordinator, who leads the process of making the practices sustainable, and a Logistics Manager, who ensures the smooth running of activities at the event. The Venue Manager plays a substantial role in handling a negotiated agreement from the venue when it satisfies those sustainability standards and specific conference needs</w:t>
      </w:r>
      <w:r w:rsidR="00A35F34" w:rsidRPr="00CA4067">
        <w:rPr>
          <w:rFonts w:ascii="Arial" w:hAnsi="Arial" w:cs="Arial"/>
          <w:szCs w:val="24"/>
        </w:rPr>
        <w:t xml:space="preserve"> (Meredith et al., 2017)</w:t>
      </w:r>
      <w:r w:rsidR="00E50BFB" w:rsidRPr="00CA4067">
        <w:rPr>
          <w:rFonts w:ascii="Arial" w:hAnsi="Arial" w:cs="Arial"/>
          <w:szCs w:val="24"/>
        </w:rPr>
        <w:t>. In addition, the work of the Marketing and Communication team is to promote the event and its ‘sustainable mindset’ and let the attendees and stakeholders know about the event.</w:t>
      </w:r>
    </w:p>
    <w:p w14:paraId="36035E0C" w14:textId="72310955" w:rsidR="00E50BFB" w:rsidRDefault="00E50BFB" w:rsidP="008A2F1A">
      <w:pPr>
        <w:spacing w:after="0" w:line="360" w:lineRule="auto"/>
        <w:ind w:firstLine="720"/>
        <w:jc w:val="both"/>
        <w:rPr>
          <w:rFonts w:ascii="Arial" w:hAnsi="Arial" w:cs="Arial"/>
          <w:szCs w:val="24"/>
        </w:rPr>
      </w:pPr>
      <w:r w:rsidRPr="00CA4067">
        <w:rPr>
          <w:rFonts w:ascii="Arial" w:hAnsi="Arial" w:cs="Arial"/>
          <w:szCs w:val="24"/>
        </w:rPr>
        <w:t>An important aspect of event operations is hiring efficient staff members who are conversant with the intricacies of sustainable event management. Sustaining an engaged environment that promotes sustainable practices such as using green technology, reducing waste, and community pride requires qualified event staff. The entire operational team guarantees the smooth running of the event; this demonstrates the principles of sustainability and enables an impression on any attendee.</w:t>
      </w:r>
    </w:p>
    <w:p w14:paraId="29E0ED12" w14:textId="77777777" w:rsidR="00CA4067" w:rsidRPr="00CA4067" w:rsidRDefault="00CA4067" w:rsidP="008A2F1A">
      <w:pPr>
        <w:spacing w:after="0" w:line="360" w:lineRule="auto"/>
        <w:ind w:firstLine="720"/>
        <w:jc w:val="both"/>
        <w:rPr>
          <w:rFonts w:ascii="Arial" w:hAnsi="Arial" w:cs="Arial"/>
          <w:szCs w:val="24"/>
        </w:rPr>
      </w:pPr>
    </w:p>
    <w:p w14:paraId="3A3BB1E6" w14:textId="47DFCD16" w:rsidR="00E50BFB" w:rsidRDefault="00290705" w:rsidP="008A2F1A">
      <w:pPr>
        <w:spacing w:after="0" w:line="360" w:lineRule="auto"/>
        <w:jc w:val="both"/>
        <w:rPr>
          <w:rFonts w:ascii="Arial" w:hAnsi="Arial" w:cs="Arial"/>
          <w:b/>
          <w:bCs/>
          <w:szCs w:val="24"/>
        </w:rPr>
      </w:pPr>
      <w:r>
        <w:rPr>
          <w:rFonts w:ascii="Arial" w:hAnsi="Arial" w:cs="Arial"/>
          <w:b/>
          <w:bCs/>
          <w:szCs w:val="24"/>
        </w:rPr>
        <w:t xml:space="preserve">                                                             </w:t>
      </w:r>
      <w:r w:rsidR="00E50BFB" w:rsidRPr="00CA4067">
        <w:rPr>
          <w:rFonts w:ascii="Arial" w:hAnsi="Arial" w:cs="Arial"/>
          <w:b/>
          <w:bCs/>
          <w:szCs w:val="24"/>
        </w:rPr>
        <w:t>Event Budget</w:t>
      </w:r>
    </w:p>
    <w:p w14:paraId="2AB17CA3" w14:textId="77777777" w:rsidR="008A2F1A" w:rsidRPr="00CA4067" w:rsidRDefault="008A2F1A" w:rsidP="008A2F1A">
      <w:pPr>
        <w:spacing w:after="0" w:line="360" w:lineRule="auto"/>
        <w:jc w:val="both"/>
        <w:rPr>
          <w:rFonts w:ascii="Arial" w:hAnsi="Arial" w:cs="Arial"/>
          <w:b/>
          <w:bCs/>
          <w:szCs w:val="24"/>
        </w:rPr>
      </w:pPr>
    </w:p>
    <w:p w14:paraId="5B0B584B" w14:textId="77777777" w:rsidR="00E50BFB" w:rsidRPr="008A2F1A" w:rsidRDefault="00E50BFB" w:rsidP="008A2F1A">
      <w:pPr>
        <w:spacing w:after="0" w:line="360" w:lineRule="auto"/>
        <w:jc w:val="both"/>
        <w:rPr>
          <w:rFonts w:ascii="Arial" w:hAnsi="Arial" w:cs="Arial"/>
          <w:b/>
          <w:bCs/>
          <w:szCs w:val="24"/>
        </w:rPr>
      </w:pPr>
      <w:r w:rsidRPr="008A2F1A">
        <w:rPr>
          <w:rFonts w:ascii="Arial" w:hAnsi="Arial" w:cs="Arial"/>
          <w:b/>
          <w:bCs/>
          <w:szCs w:val="24"/>
        </w:rPr>
        <w:t>Breakdown of Income and Expenditure:</w:t>
      </w:r>
    </w:p>
    <w:p w14:paraId="7559C9C3" w14:textId="14617A75" w:rsidR="00866994" w:rsidRPr="008A2F1A" w:rsidRDefault="00E50BFB" w:rsidP="008A2F1A">
      <w:pPr>
        <w:spacing w:after="0" w:line="360" w:lineRule="auto"/>
        <w:ind w:firstLine="720"/>
        <w:jc w:val="both"/>
        <w:rPr>
          <w:rFonts w:ascii="Arial" w:hAnsi="Arial" w:cs="Arial"/>
          <w:szCs w:val="24"/>
        </w:rPr>
      </w:pPr>
      <w:r w:rsidRPr="008A2F1A">
        <w:rPr>
          <w:rFonts w:ascii="Arial" w:hAnsi="Arial" w:cs="Arial"/>
          <w:szCs w:val="24"/>
        </w:rPr>
        <w:t xml:space="preserve">Financial planning is critical to the success and sustainability of The Green Horizon Conference. The income and expenditure analysis </w:t>
      </w:r>
      <w:proofErr w:type="gramStart"/>
      <w:r w:rsidRPr="008A2F1A">
        <w:rPr>
          <w:rFonts w:ascii="Arial" w:hAnsi="Arial" w:cs="Arial"/>
          <w:szCs w:val="24"/>
        </w:rPr>
        <w:t>is</w:t>
      </w:r>
      <w:proofErr w:type="gramEnd"/>
      <w:r w:rsidRPr="008A2F1A">
        <w:rPr>
          <w:rFonts w:ascii="Arial" w:hAnsi="Arial" w:cs="Arial"/>
          <w:szCs w:val="24"/>
        </w:rPr>
        <w:t xml:space="preserve"> a vital component of the budget, which is designed to be debated within the organization and its limits to obtain a balanced budget in line with the event’s objectives. The following table provides a concise overview:</w:t>
      </w:r>
    </w:p>
    <w:p w14:paraId="109E2372" w14:textId="77777777" w:rsidR="00866994" w:rsidRPr="008A2F1A" w:rsidRDefault="00866994" w:rsidP="008A2F1A">
      <w:pPr>
        <w:spacing w:after="0" w:line="360" w:lineRule="auto"/>
        <w:jc w:val="both"/>
        <w:rPr>
          <w:rFonts w:ascii="Arial" w:hAnsi="Arial" w:cs="Arial"/>
          <w:szCs w:val="24"/>
        </w:rPr>
      </w:pPr>
    </w:p>
    <w:tbl>
      <w:tblPr>
        <w:tblStyle w:val="TableGrid"/>
        <w:tblW w:w="0" w:type="auto"/>
        <w:tblLook w:val="04A0" w:firstRow="1" w:lastRow="0" w:firstColumn="1" w:lastColumn="0" w:noHBand="0" w:noVBand="1"/>
      </w:tblPr>
      <w:tblGrid>
        <w:gridCol w:w="4675"/>
        <w:gridCol w:w="4675"/>
      </w:tblGrid>
      <w:tr w:rsidR="00A35F34" w:rsidRPr="008A2F1A" w14:paraId="304368E9" w14:textId="77777777" w:rsidTr="00A35F34">
        <w:tc>
          <w:tcPr>
            <w:tcW w:w="4675" w:type="dxa"/>
          </w:tcPr>
          <w:p w14:paraId="0536DB11" w14:textId="707456F5" w:rsidR="00A35F34" w:rsidRPr="008A2F1A" w:rsidRDefault="00A35F34" w:rsidP="008A2F1A">
            <w:pPr>
              <w:spacing w:line="360" w:lineRule="auto"/>
              <w:jc w:val="both"/>
              <w:rPr>
                <w:rFonts w:ascii="Arial" w:hAnsi="Arial" w:cs="Arial"/>
                <w:b/>
                <w:bCs/>
                <w:szCs w:val="24"/>
              </w:rPr>
            </w:pPr>
            <w:r w:rsidRPr="008A2F1A">
              <w:rPr>
                <w:rFonts w:ascii="Arial" w:hAnsi="Arial" w:cs="Arial"/>
                <w:b/>
                <w:bCs/>
                <w:szCs w:val="24"/>
              </w:rPr>
              <w:t xml:space="preserve">Expense Category        </w:t>
            </w:r>
          </w:p>
        </w:tc>
        <w:tc>
          <w:tcPr>
            <w:tcW w:w="4675" w:type="dxa"/>
          </w:tcPr>
          <w:p w14:paraId="247ED1CD" w14:textId="38B27DD0" w:rsidR="00A35F34" w:rsidRPr="008A2F1A" w:rsidRDefault="00A35F34" w:rsidP="008A2F1A">
            <w:pPr>
              <w:spacing w:line="360" w:lineRule="auto"/>
              <w:jc w:val="both"/>
              <w:rPr>
                <w:rFonts w:ascii="Arial" w:hAnsi="Arial" w:cs="Arial"/>
                <w:b/>
                <w:bCs/>
                <w:szCs w:val="24"/>
              </w:rPr>
            </w:pPr>
            <w:r w:rsidRPr="008A2F1A">
              <w:rPr>
                <w:rFonts w:ascii="Arial" w:hAnsi="Arial" w:cs="Arial"/>
                <w:b/>
                <w:bCs/>
                <w:szCs w:val="24"/>
              </w:rPr>
              <w:t>Amount (</w:t>
            </w:r>
            <w:proofErr w:type="gramStart"/>
            <w:r w:rsidRPr="008A2F1A">
              <w:rPr>
                <w:rFonts w:ascii="Arial" w:hAnsi="Arial" w:cs="Arial"/>
                <w:b/>
                <w:bCs/>
                <w:szCs w:val="24"/>
              </w:rPr>
              <w:t xml:space="preserve">$)   </w:t>
            </w:r>
            <w:proofErr w:type="gramEnd"/>
          </w:p>
        </w:tc>
      </w:tr>
      <w:tr w:rsidR="00A35F34" w:rsidRPr="008A2F1A" w14:paraId="57C38B89" w14:textId="77777777" w:rsidTr="00A35F34">
        <w:tc>
          <w:tcPr>
            <w:tcW w:w="4675" w:type="dxa"/>
          </w:tcPr>
          <w:p w14:paraId="251C7868" w14:textId="446C6057" w:rsidR="00A35F34" w:rsidRPr="008A2F1A" w:rsidRDefault="00A35F34" w:rsidP="008A2F1A">
            <w:pPr>
              <w:spacing w:line="360" w:lineRule="auto"/>
              <w:jc w:val="both"/>
              <w:rPr>
                <w:rFonts w:ascii="Arial" w:hAnsi="Arial" w:cs="Arial"/>
                <w:szCs w:val="24"/>
              </w:rPr>
            </w:pPr>
            <w:r w:rsidRPr="008A2F1A">
              <w:rPr>
                <w:rFonts w:ascii="Arial" w:hAnsi="Arial" w:cs="Arial"/>
                <w:szCs w:val="24"/>
              </w:rPr>
              <w:t>Venue Rental</w:t>
            </w:r>
          </w:p>
        </w:tc>
        <w:tc>
          <w:tcPr>
            <w:tcW w:w="4675" w:type="dxa"/>
          </w:tcPr>
          <w:p w14:paraId="5043E561" w14:textId="64DE8E4D" w:rsidR="00A35F34" w:rsidRPr="008A2F1A" w:rsidRDefault="00A35F34" w:rsidP="008A2F1A">
            <w:pPr>
              <w:spacing w:line="360" w:lineRule="auto"/>
              <w:jc w:val="both"/>
              <w:rPr>
                <w:rFonts w:ascii="Arial" w:hAnsi="Arial" w:cs="Arial"/>
                <w:szCs w:val="24"/>
              </w:rPr>
            </w:pPr>
            <w:r w:rsidRPr="008A2F1A">
              <w:rPr>
                <w:rFonts w:ascii="Arial" w:hAnsi="Arial" w:cs="Arial"/>
                <w:szCs w:val="24"/>
              </w:rPr>
              <w:t>25,000</w:t>
            </w:r>
          </w:p>
        </w:tc>
      </w:tr>
      <w:tr w:rsidR="00A35F34" w:rsidRPr="008A2F1A" w14:paraId="32A6FE38" w14:textId="77777777" w:rsidTr="00A35F34">
        <w:tc>
          <w:tcPr>
            <w:tcW w:w="4675" w:type="dxa"/>
          </w:tcPr>
          <w:p w14:paraId="6372DAC1" w14:textId="1B9A0552" w:rsidR="00A35F34" w:rsidRPr="008A2F1A" w:rsidRDefault="00A35F34" w:rsidP="008A2F1A">
            <w:pPr>
              <w:spacing w:line="360" w:lineRule="auto"/>
              <w:jc w:val="both"/>
              <w:rPr>
                <w:rFonts w:ascii="Arial" w:hAnsi="Arial" w:cs="Arial"/>
                <w:szCs w:val="24"/>
              </w:rPr>
            </w:pPr>
            <w:r w:rsidRPr="008A2F1A">
              <w:rPr>
                <w:rFonts w:ascii="Arial" w:hAnsi="Arial" w:cs="Arial"/>
                <w:szCs w:val="24"/>
              </w:rPr>
              <w:t>Staff Wages</w:t>
            </w:r>
          </w:p>
        </w:tc>
        <w:tc>
          <w:tcPr>
            <w:tcW w:w="4675" w:type="dxa"/>
          </w:tcPr>
          <w:p w14:paraId="483EF76D" w14:textId="289C84B2" w:rsidR="00A35F34" w:rsidRPr="008A2F1A" w:rsidRDefault="00A35F34" w:rsidP="008A2F1A">
            <w:pPr>
              <w:spacing w:line="360" w:lineRule="auto"/>
              <w:jc w:val="both"/>
              <w:rPr>
                <w:rFonts w:ascii="Arial" w:hAnsi="Arial" w:cs="Arial"/>
                <w:szCs w:val="24"/>
              </w:rPr>
            </w:pPr>
            <w:r w:rsidRPr="008A2F1A">
              <w:rPr>
                <w:rFonts w:ascii="Arial" w:hAnsi="Arial" w:cs="Arial"/>
                <w:szCs w:val="24"/>
              </w:rPr>
              <w:t>15,000</w:t>
            </w:r>
          </w:p>
        </w:tc>
      </w:tr>
      <w:tr w:rsidR="00A35F34" w:rsidRPr="008A2F1A" w14:paraId="5B238238" w14:textId="77777777" w:rsidTr="00A35F34">
        <w:tc>
          <w:tcPr>
            <w:tcW w:w="4675" w:type="dxa"/>
          </w:tcPr>
          <w:p w14:paraId="602690FA" w14:textId="1BC1F9F1" w:rsidR="00A35F34" w:rsidRPr="008A2F1A" w:rsidRDefault="00A35F34" w:rsidP="008A2F1A">
            <w:pPr>
              <w:spacing w:line="360" w:lineRule="auto"/>
              <w:jc w:val="both"/>
              <w:rPr>
                <w:rFonts w:ascii="Arial" w:hAnsi="Arial" w:cs="Arial"/>
                <w:szCs w:val="24"/>
              </w:rPr>
            </w:pPr>
            <w:r w:rsidRPr="008A2F1A">
              <w:rPr>
                <w:rFonts w:ascii="Arial" w:hAnsi="Arial" w:cs="Arial"/>
                <w:szCs w:val="24"/>
              </w:rPr>
              <w:t>Sustainable Amenities</w:t>
            </w:r>
          </w:p>
        </w:tc>
        <w:tc>
          <w:tcPr>
            <w:tcW w:w="4675" w:type="dxa"/>
          </w:tcPr>
          <w:p w14:paraId="4294A24F" w14:textId="782A8DF3" w:rsidR="00A35F34" w:rsidRPr="008A2F1A" w:rsidRDefault="00A35F34" w:rsidP="008A2F1A">
            <w:pPr>
              <w:spacing w:line="360" w:lineRule="auto"/>
              <w:jc w:val="both"/>
              <w:rPr>
                <w:rFonts w:ascii="Arial" w:hAnsi="Arial" w:cs="Arial"/>
                <w:szCs w:val="24"/>
              </w:rPr>
            </w:pPr>
            <w:r w:rsidRPr="008A2F1A">
              <w:rPr>
                <w:rFonts w:ascii="Arial" w:hAnsi="Arial" w:cs="Arial"/>
                <w:szCs w:val="24"/>
              </w:rPr>
              <w:t>10,000</w:t>
            </w:r>
          </w:p>
        </w:tc>
      </w:tr>
      <w:tr w:rsidR="00A35F34" w:rsidRPr="008A2F1A" w14:paraId="5ECFB6B5" w14:textId="77777777" w:rsidTr="00A35F34">
        <w:tc>
          <w:tcPr>
            <w:tcW w:w="4675" w:type="dxa"/>
          </w:tcPr>
          <w:p w14:paraId="3D84671C" w14:textId="0D26FF10" w:rsidR="00A35F34" w:rsidRPr="008A2F1A" w:rsidRDefault="00A35F34" w:rsidP="008A2F1A">
            <w:pPr>
              <w:spacing w:line="360" w:lineRule="auto"/>
              <w:jc w:val="both"/>
              <w:rPr>
                <w:rFonts w:ascii="Arial" w:hAnsi="Arial" w:cs="Arial"/>
                <w:szCs w:val="24"/>
              </w:rPr>
            </w:pPr>
            <w:r w:rsidRPr="008A2F1A">
              <w:rPr>
                <w:rFonts w:ascii="Arial" w:hAnsi="Arial" w:cs="Arial"/>
                <w:szCs w:val="24"/>
              </w:rPr>
              <w:t>Promotional Expenses</w:t>
            </w:r>
          </w:p>
        </w:tc>
        <w:tc>
          <w:tcPr>
            <w:tcW w:w="4675" w:type="dxa"/>
          </w:tcPr>
          <w:p w14:paraId="1B747C42" w14:textId="34F5158F" w:rsidR="00A35F34" w:rsidRPr="008A2F1A" w:rsidRDefault="00A35F34" w:rsidP="008A2F1A">
            <w:pPr>
              <w:spacing w:line="360" w:lineRule="auto"/>
              <w:jc w:val="both"/>
              <w:rPr>
                <w:rFonts w:ascii="Arial" w:hAnsi="Arial" w:cs="Arial"/>
                <w:szCs w:val="24"/>
              </w:rPr>
            </w:pPr>
            <w:r w:rsidRPr="008A2F1A">
              <w:rPr>
                <w:rFonts w:ascii="Arial" w:hAnsi="Arial" w:cs="Arial"/>
                <w:szCs w:val="24"/>
              </w:rPr>
              <w:t xml:space="preserve">8,000        </w:t>
            </w:r>
          </w:p>
        </w:tc>
      </w:tr>
      <w:tr w:rsidR="00A35F34" w:rsidRPr="008A2F1A" w14:paraId="2C1C8345" w14:textId="77777777" w:rsidTr="00A35F34">
        <w:tc>
          <w:tcPr>
            <w:tcW w:w="4675" w:type="dxa"/>
          </w:tcPr>
          <w:p w14:paraId="3631161C" w14:textId="4EC32E1F" w:rsidR="00A35F34" w:rsidRPr="008A2F1A" w:rsidRDefault="00A35F34" w:rsidP="008A2F1A">
            <w:pPr>
              <w:spacing w:line="360" w:lineRule="auto"/>
              <w:jc w:val="both"/>
              <w:rPr>
                <w:rFonts w:ascii="Arial" w:hAnsi="Arial" w:cs="Arial"/>
                <w:szCs w:val="24"/>
              </w:rPr>
            </w:pPr>
            <w:r w:rsidRPr="008A2F1A">
              <w:rPr>
                <w:rFonts w:ascii="Arial" w:hAnsi="Arial" w:cs="Arial"/>
                <w:szCs w:val="24"/>
              </w:rPr>
              <w:t>Miscellaneous</w:t>
            </w:r>
          </w:p>
        </w:tc>
        <w:tc>
          <w:tcPr>
            <w:tcW w:w="4675" w:type="dxa"/>
          </w:tcPr>
          <w:p w14:paraId="142A0C09" w14:textId="24CA8DFF" w:rsidR="00A35F34" w:rsidRPr="008A2F1A" w:rsidRDefault="00A35F34" w:rsidP="008A2F1A">
            <w:pPr>
              <w:spacing w:line="360" w:lineRule="auto"/>
              <w:jc w:val="both"/>
              <w:rPr>
                <w:rFonts w:ascii="Arial" w:hAnsi="Arial" w:cs="Arial"/>
                <w:szCs w:val="24"/>
              </w:rPr>
            </w:pPr>
            <w:r w:rsidRPr="008A2F1A">
              <w:rPr>
                <w:rFonts w:ascii="Arial" w:hAnsi="Arial" w:cs="Arial"/>
                <w:szCs w:val="24"/>
              </w:rPr>
              <w:t>5,000</w:t>
            </w:r>
          </w:p>
        </w:tc>
      </w:tr>
      <w:tr w:rsidR="00A35F34" w:rsidRPr="008A2F1A" w14:paraId="3BCC5DF4" w14:textId="77777777" w:rsidTr="00A35F34">
        <w:tc>
          <w:tcPr>
            <w:tcW w:w="4675" w:type="dxa"/>
          </w:tcPr>
          <w:p w14:paraId="5120E318" w14:textId="10817AAB" w:rsidR="00A35F34" w:rsidRPr="008A2F1A" w:rsidRDefault="00A35F34" w:rsidP="008A2F1A">
            <w:pPr>
              <w:spacing w:line="360" w:lineRule="auto"/>
              <w:jc w:val="both"/>
              <w:rPr>
                <w:rFonts w:ascii="Arial" w:hAnsi="Arial" w:cs="Arial"/>
                <w:szCs w:val="24"/>
              </w:rPr>
            </w:pPr>
            <w:r w:rsidRPr="008A2F1A">
              <w:rPr>
                <w:rFonts w:ascii="Arial" w:hAnsi="Arial" w:cs="Arial"/>
                <w:szCs w:val="24"/>
              </w:rPr>
              <w:t>Total Expenditure</w:t>
            </w:r>
          </w:p>
        </w:tc>
        <w:tc>
          <w:tcPr>
            <w:tcW w:w="4675" w:type="dxa"/>
          </w:tcPr>
          <w:p w14:paraId="75B4FFF5" w14:textId="780FB20C" w:rsidR="00A35F34" w:rsidRPr="008A2F1A" w:rsidRDefault="00A35F34" w:rsidP="008A2F1A">
            <w:pPr>
              <w:spacing w:line="360" w:lineRule="auto"/>
              <w:jc w:val="both"/>
              <w:rPr>
                <w:rFonts w:ascii="Arial" w:hAnsi="Arial" w:cs="Arial"/>
                <w:szCs w:val="24"/>
              </w:rPr>
            </w:pPr>
            <w:r w:rsidRPr="008A2F1A">
              <w:rPr>
                <w:rFonts w:ascii="Arial" w:hAnsi="Arial" w:cs="Arial"/>
                <w:szCs w:val="24"/>
              </w:rPr>
              <w:t>63,000</w:t>
            </w:r>
          </w:p>
        </w:tc>
      </w:tr>
      <w:tr w:rsidR="00A35F34" w:rsidRPr="008A2F1A" w14:paraId="48A181CE" w14:textId="77777777" w:rsidTr="00A35F34">
        <w:tc>
          <w:tcPr>
            <w:tcW w:w="4675" w:type="dxa"/>
          </w:tcPr>
          <w:p w14:paraId="4ED6BF00" w14:textId="77777777" w:rsidR="00A35F34" w:rsidRPr="008A2F1A" w:rsidRDefault="00A35F34" w:rsidP="008A2F1A">
            <w:pPr>
              <w:spacing w:line="360" w:lineRule="auto"/>
              <w:jc w:val="both"/>
              <w:rPr>
                <w:rFonts w:ascii="Arial" w:hAnsi="Arial" w:cs="Arial"/>
                <w:szCs w:val="24"/>
              </w:rPr>
            </w:pPr>
          </w:p>
        </w:tc>
        <w:tc>
          <w:tcPr>
            <w:tcW w:w="4675" w:type="dxa"/>
          </w:tcPr>
          <w:p w14:paraId="1F6A35DF" w14:textId="77777777" w:rsidR="00A35F34" w:rsidRPr="008A2F1A" w:rsidRDefault="00A35F34" w:rsidP="008A2F1A">
            <w:pPr>
              <w:spacing w:line="360" w:lineRule="auto"/>
              <w:jc w:val="both"/>
              <w:rPr>
                <w:rFonts w:ascii="Arial" w:hAnsi="Arial" w:cs="Arial"/>
                <w:szCs w:val="24"/>
              </w:rPr>
            </w:pPr>
          </w:p>
        </w:tc>
      </w:tr>
      <w:tr w:rsidR="00A35F34" w:rsidRPr="008A2F1A" w14:paraId="02F22D0B" w14:textId="77777777" w:rsidTr="00A35F34">
        <w:tc>
          <w:tcPr>
            <w:tcW w:w="4675" w:type="dxa"/>
          </w:tcPr>
          <w:p w14:paraId="43EB5E2A" w14:textId="1FA26EDD" w:rsidR="00A35F34" w:rsidRPr="008A2F1A" w:rsidRDefault="00A35F34" w:rsidP="008A2F1A">
            <w:pPr>
              <w:spacing w:line="360" w:lineRule="auto"/>
              <w:jc w:val="both"/>
              <w:rPr>
                <w:rFonts w:ascii="Arial" w:hAnsi="Arial" w:cs="Arial"/>
                <w:b/>
                <w:bCs/>
                <w:szCs w:val="24"/>
              </w:rPr>
            </w:pPr>
            <w:r w:rsidRPr="008A2F1A">
              <w:rPr>
                <w:rFonts w:ascii="Arial" w:hAnsi="Arial" w:cs="Arial"/>
                <w:b/>
                <w:bCs/>
                <w:szCs w:val="24"/>
              </w:rPr>
              <w:lastRenderedPageBreak/>
              <w:t>Income Source</w:t>
            </w:r>
          </w:p>
        </w:tc>
        <w:tc>
          <w:tcPr>
            <w:tcW w:w="4675" w:type="dxa"/>
          </w:tcPr>
          <w:p w14:paraId="37884CAC" w14:textId="5916C49E" w:rsidR="00A35F34" w:rsidRPr="008A2F1A" w:rsidRDefault="00A35F34" w:rsidP="008A2F1A">
            <w:pPr>
              <w:spacing w:line="360" w:lineRule="auto"/>
              <w:jc w:val="both"/>
              <w:rPr>
                <w:rFonts w:ascii="Arial" w:hAnsi="Arial" w:cs="Arial"/>
                <w:b/>
                <w:bCs/>
                <w:szCs w:val="24"/>
              </w:rPr>
            </w:pPr>
            <w:r w:rsidRPr="008A2F1A">
              <w:rPr>
                <w:rFonts w:ascii="Arial" w:hAnsi="Arial" w:cs="Arial"/>
                <w:b/>
                <w:bCs/>
                <w:szCs w:val="24"/>
              </w:rPr>
              <w:t>Amount ($)</w:t>
            </w:r>
          </w:p>
        </w:tc>
      </w:tr>
      <w:tr w:rsidR="00A35F34" w:rsidRPr="008A2F1A" w14:paraId="49B0C625" w14:textId="77777777" w:rsidTr="00A35F34">
        <w:tc>
          <w:tcPr>
            <w:tcW w:w="4675" w:type="dxa"/>
          </w:tcPr>
          <w:p w14:paraId="7EC883B7" w14:textId="21986B18" w:rsidR="00A35F34" w:rsidRPr="008A2F1A" w:rsidRDefault="00A35F34" w:rsidP="008A2F1A">
            <w:pPr>
              <w:spacing w:line="360" w:lineRule="auto"/>
              <w:jc w:val="both"/>
              <w:rPr>
                <w:rFonts w:ascii="Arial" w:hAnsi="Arial" w:cs="Arial"/>
                <w:szCs w:val="24"/>
              </w:rPr>
            </w:pPr>
            <w:r w:rsidRPr="008A2F1A">
              <w:rPr>
                <w:rFonts w:ascii="Arial" w:hAnsi="Arial" w:cs="Arial"/>
                <w:szCs w:val="24"/>
              </w:rPr>
              <w:t>Ticket Sales</w:t>
            </w:r>
          </w:p>
        </w:tc>
        <w:tc>
          <w:tcPr>
            <w:tcW w:w="4675" w:type="dxa"/>
          </w:tcPr>
          <w:p w14:paraId="6D720182" w14:textId="16D8075F" w:rsidR="00A35F34" w:rsidRPr="008A2F1A" w:rsidRDefault="00A35F34" w:rsidP="008A2F1A">
            <w:pPr>
              <w:spacing w:line="360" w:lineRule="auto"/>
              <w:jc w:val="both"/>
              <w:rPr>
                <w:rFonts w:ascii="Arial" w:hAnsi="Arial" w:cs="Arial"/>
                <w:szCs w:val="24"/>
              </w:rPr>
            </w:pPr>
            <w:r w:rsidRPr="008A2F1A">
              <w:rPr>
                <w:rFonts w:ascii="Arial" w:hAnsi="Arial" w:cs="Arial"/>
                <w:szCs w:val="24"/>
              </w:rPr>
              <w:t xml:space="preserve">40,000       </w:t>
            </w:r>
          </w:p>
        </w:tc>
      </w:tr>
      <w:tr w:rsidR="00A35F34" w:rsidRPr="008A2F1A" w14:paraId="361424A4" w14:textId="77777777" w:rsidTr="00A35F34">
        <w:tc>
          <w:tcPr>
            <w:tcW w:w="4675" w:type="dxa"/>
          </w:tcPr>
          <w:p w14:paraId="4A7C3DFC" w14:textId="49C38FCA" w:rsidR="00A35F34" w:rsidRPr="008A2F1A" w:rsidRDefault="00A35F34" w:rsidP="008A2F1A">
            <w:pPr>
              <w:spacing w:line="360" w:lineRule="auto"/>
              <w:jc w:val="both"/>
              <w:rPr>
                <w:rFonts w:ascii="Arial" w:hAnsi="Arial" w:cs="Arial"/>
                <w:szCs w:val="24"/>
              </w:rPr>
            </w:pPr>
            <w:r w:rsidRPr="008A2F1A">
              <w:rPr>
                <w:rFonts w:ascii="Arial" w:hAnsi="Arial" w:cs="Arial"/>
                <w:szCs w:val="24"/>
              </w:rPr>
              <w:t>Merchandise Sales</w:t>
            </w:r>
          </w:p>
        </w:tc>
        <w:tc>
          <w:tcPr>
            <w:tcW w:w="4675" w:type="dxa"/>
          </w:tcPr>
          <w:p w14:paraId="1B62BDB2" w14:textId="37BB8F54" w:rsidR="00A35F34" w:rsidRPr="008A2F1A" w:rsidRDefault="00A35F34" w:rsidP="008A2F1A">
            <w:pPr>
              <w:spacing w:line="360" w:lineRule="auto"/>
              <w:jc w:val="both"/>
              <w:rPr>
                <w:rFonts w:ascii="Arial" w:hAnsi="Arial" w:cs="Arial"/>
                <w:szCs w:val="24"/>
              </w:rPr>
            </w:pPr>
            <w:r w:rsidRPr="008A2F1A">
              <w:rPr>
                <w:rFonts w:ascii="Arial" w:hAnsi="Arial" w:cs="Arial"/>
                <w:szCs w:val="24"/>
              </w:rPr>
              <w:t>7,000</w:t>
            </w:r>
          </w:p>
        </w:tc>
      </w:tr>
      <w:tr w:rsidR="00A35F34" w:rsidRPr="008A2F1A" w14:paraId="369DC8B9" w14:textId="77777777" w:rsidTr="00A35F34">
        <w:tc>
          <w:tcPr>
            <w:tcW w:w="4675" w:type="dxa"/>
          </w:tcPr>
          <w:p w14:paraId="0C3697C1" w14:textId="5E2A36EC" w:rsidR="00A35F34" w:rsidRPr="008A2F1A" w:rsidRDefault="00A35F34" w:rsidP="008A2F1A">
            <w:pPr>
              <w:spacing w:line="360" w:lineRule="auto"/>
              <w:jc w:val="both"/>
              <w:rPr>
                <w:rFonts w:ascii="Arial" w:hAnsi="Arial" w:cs="Arial"/>
                <w:szCs w:val="24"/>
              </w:rPr>
            </w:pPr>
            <w:r w:rsidRPr="008A2F1A">
              <w:rPr>
                <w:rFonts w:ascii="Arial" w:hAnsi="Arial" w:cs="Arial"/>
                <w:szCs w:val="24"/>
              </w:rPr>
              <w:t>Sponsorships</w:t>
            </w:r>
          </w:p>
        </w:tc>
        <w:tc>
          <w:tcPr>
            <w:tcW w:w="4675" w:type="dxa"/>
          </w:tcPr>
          <w:p w14:paraId="25688AB3" w14:textId="6D9864C4" w:rsidR="00A35F34" w:rsidRPr="008A2F1A" w:rsidRDefault="00A35F34" w:rsidP="008A2F1A">
            <w:pPr>
              <w:spacing w:line="360" w:lineRule="auto"/>
              <w:jc w:val="both"/>
              <w:rPr>
                <w:rFonts w:ascii="Arial" w:hAnsi="Arial" w:cs="Arial"/>
                <w:szCs w:val="24"/>
              </w:rPr>
            </w:pPr>
            <w:r w:rsidRPr="008A2F1A">
              <w:rPr>
                <w:rFonts w:ascii="Arial" w:hAnsi="Arial" w:cs="Arial"/>
                <w:szCs w:val="24"/>
              </w:rPr>
              <w:t>20,000</w:t>
            </w:r>
          </w:p>
        </w:tc>
      </w:tr>
      <w:tr w:rsidR="00A35F34" w:rsidRPr="008A2F1A" w14:paraId="232C195F" w14:textId="77777777" w:rsidTr="00A35F34">
        <w:tc>
          <w:tcPr>
            <w:tcW w:w="4675" w:type="dxa"/>
          </w:tcPr>
          <w:p w14:paraId="0BCC29E9" w14:textId="3763112F" w:rsidR="00A35F34" w:rsidRPr="008A2F1A" w:rsidRDefault="00A35F34" w:rsidP="008A2F1A">
            <w:pPr>
              <w:spacing w:line="360" w:lineRule="auto"/>
              <w:jc w:val="both"/>
              <w:rPr>
                <w:rFonts w:ascii="Arial" w:hAnsi="Arial" w:cs="Arial"/>
                <w:szCs w:val="24"/>
              </w:rPr>
            </w:pPr>
            <w:r w:rsidRPr="008A2F1A">
              <w:rPr>
                <w:rFonts w:ascii="Arial" w:hAnsi="Arial" w:cs="Arial"/>
                <w:szCs w:val="24"/>
              </w:rPr>
              <w:t xml:space="preserve">Total Income            </w:t>
            </w:r>
          </w:p>
        </w:tc>
        <w:tc>
          <w:tcPr>
            <w:tcW w:w="4675" w:type="dxa"/>
          </w:tcPr>
          <w:p w14:paraId="32708F09" w14:textId="6D41929E" w:rsidR="00A35F34" w:rsidRPr="008A2F1A" w:rsidRDefault="00A35F34" w:rsidP="008A2F1A">
            <w:pPr>
              <w:spacing w:line="360" w:lineRule="auto"/>
              <w:jc w:val="both"/>
              <w:rPr>
                <w:rFonts w:ascii="Arial" w:hAnsi="Arial" w:cs="Arial"/>
                <w:szCs w:val="24"/>
              </w:rPr>
            </w:pPr>
            <w:r w:rsidRPr="008A2F1A">
              <w:rPr>
                <w:rFonts w:ascii="Arial" w:hAnsi="Arial" w:cs="Arial"/>
                <w:szCs w:val="24"/>
              </w:rPr>
              <w:t xml:space="preserve">67,000       </w:t>
            </w:r>
          </w:p>
        </w:tc>
      </w:tr>
    </w:tbl>
    <w:p w14:paraId="1F96089E" w14:textId="77777777" w:rsidR="00A35F34" w:rsidRDefault="00A35F34" w:rsidP="008A2F1A">
      <w:pPr>
        <w:spacing w:after="0" w:line="360" w:lineRule="auto"/>
        <w:jc w:val="both"/>
        <w:rPr>
          <w:rFonts w:ascii="Arial" w:hAnsi="Arial" w:cs="Arial"/>
          <w:szCs w:val="24"/>
        </w:rPr>
      </w:pPr>
    </w:p>
    <w:p w14:paraId="1004A90A" w14:textId="77777777" w:rsidR="008A2F1A" w:rsidRPr="008A2F1A" w:rsidRDefault="008A2F1A" w:rsidP="008A2F1A">
      <w:pPr>
        <w:spacing w:after="0" w:line="360" w:lineRule="auto"/>
        <w:jc w:val="both"/>
        <w:rPr>
          <w:rFonts w:ascii="Arial" w:hAnsi="Arial" w:cs="Arial"/>
          <w:szCs w:val="24"/>
        </w:rPr>
      </w:pPr>
    </w:p>
    <w:p w14:paraId="71158800" w14:textId="77777777" w:rsidR="00866994" w:rsidRPr="008A2F1A" w:rsidRDefault="00866994" w:rsidP="008A2F1A">
      <w:pPr>
        <w:spacing w:after="0" w:line="360" w:lineRule="auto"/>
        <w:jc w:val="both"/>
        <w:rPr>
          <w:rFonts w:ascii="Arial" w:hAnsi="Arial" w:cs="Arial"/>
          <w:b/>
          <w:bCs/>
          <w:szCs w:val="24"/>
        </w:rPr>
      </w:pPr>
      <w:r w:rsidRPr="008A2F1A">
        <w:rPr>
          <w:rFonts w:ascii="Arial" w:hAnsi="Arial" w:cs="Arial"/>
          <w:b/>
          <w:bCs/>
          <w:szCs w:val="24"/>
        </w:rPr>
        <w:t xml:space="preserve">Costs Associated with </w:t>
      </w:r>
      <w:bookmarkStart w:id="2" w:name="_Hlk159840139"/>
      <w:r w:rsidRPr="008A2F1A">
        <w:rPr>
          <w:rFonts w:ascii="Arial" w:hAnsi="Arial" w:cs="Arial"/>
          <w:b/>
          <w:bCs/>
          <w:szCs w:val="24"/>
        </w:rPr>
        <w:t>The Green Horizon Conference</w:t>
      </w:r>
      <w:bookmarkEnd w:id="2"/>
      <w:r w:rsidRPr="008A2F1A">
        <w:rPr>
          <w:rFonts w:ascii="Arial" w:hAnsi="Arial" w:cs="Arial"/>
          <w:b/>
          <w:bCs/>
          <w:szCs w:val="24"/>
        </w:rPr>
        <w:t>:</w:t>
      </w:r>
    </w:p>
    <w:p w14:paraId="518ECB81" w14:textId="73DD3AD5" w:rsidR="00866994" w:rsidRDefault="00E50BFB" w:rsidP="008A2F1A">
      <w:pPr>
        <w:spacing w:after="0" w:line="360" w:lineRule="auto"/>
        <w:ind w:firstLine="720"/>
        <w:jc w:val="both"/>
        <w:rPr>
          <w:rFonts w:ascii="Arial" w:hAnsi="Arial" w:cs="Arial"/>
          <w:szCs w:val="24"/>
        </w:rPr>
      </w:pPr>
      <w:r w:rsidRPr="008A2F1A">
        <w:rPr>
          <w:rFonts w:ascii="Arial" w:hAnsi="Arial" w:cs="Arial"/>
          <w:szCs w:val="24"/>
        </w:rPr>
        <w:t xml:space="preserve">A large part of the budget is </w:t>
      </w:r>
      <w:proofErr w:type="spellStart"/>
      <w:r w:rsidRPr="008A2F1A">
        <w:rPr>
          <w:rFonts w:ascii="Arial" w:hAnsi="Arial" w:cs="Arial"/>
          <w:szCs w:val="24"/>
        </w:rPr>
        <w:t>retending</w:t>
      </w:r>
      <w:proofErr w:type="spellEnd"/>
      <w:r w:rsidRPr="008A2F1A">
        <w:rPr>
          <w:rFonts w:ascii="Arial" w:hAnsi="Arial" w:cs="Arial"/>
          <w:szCs w:val="24"/>
        </w:rPr>
        <w:t xml:space="preserve"> to the venue’s rent to provide a proper and fixable space that fits the theme of the event. The staff wages refer to the specialized workforce that needs to carry out event operations effectively, including sustainability coordinators, logistics managers, and venue liaisons</w:t>
      </w:r>
      <w:r w:rsidR="00A35F34" w:rsidRPr="008A2F1A">
        <w:rPr>
          <w:rFonts w:ascii="Arial" w:hAnsi="Arial" w:cs="Arial"/>
          <w:szCs w:val="24"/>
        </w:rPr>
        <w:t xml:space="preserve"> (O’Toole, 2010)</w:t>
      </w:r>
      <w:r w:rsidRPr="008A2F1A">
        <w:rPr>
          <w:rFonts w:ascii="Arial" w:hAnsi="Arial" w:cs="Arial"/>
          <w:szCs w:val="24"/>
        </w:rPr>
        <w:t>. Sustainable amenities are ecological solutions, green technologies, or waste reduction measures featured in the event. The promotional costs are divided into marketing collateral, digital outreach, and communication strategies. Miscellaneous costs refer to contingency costs that prefer flexibility in the budget</w:t>
      </w:r>
      <w:r w:rsidR="00A35F34" w:rsidRPr="008A2F1A">
        <w:rPr>
          <w:rFonts w:ascii="Arial" w:hAnsi="Arial" w:cs="Arial"/>
          <w:szCs w:val="24"/>
        </w:rPr>
        <w:t xml:space="preserve"> (Salman et al., 2023)</w:t>
      </w:r>
      <w:r w:rsidRPr="008A2F1A">
        <w:rPr>
          <w:rFonts w:ascii="Arial" w:hAnsi="Arial" w:cs="Arial"/>
          <w:szCs w:val="24"/>
        </w:rPr>
        <w:t>.</w:t>
      </w:r>
    </w:p>
    <w:p w14:paraId="281C261E" w14:textId="77777777" w:rsidR="008A2F1A" w:rsidRPr="008A2F1A" w:rsidRDefault="008A2F1A" w:rsidP="008A2F1A">
      <w:pPr>
        <w:spacing w:after="0" w:line="360" w:lineRule="auto"/>
        <w:ind w:firstLine="720"/>
        <w:jc w:val="both"/>
        <w:rPr>
          <w:rFonts w:ascii="Arial" w:hAnsi="Arial" w:cs="Arial"/>
          <w:szCs w:val="24"/>
        </w:rPr>
      </w:pPr>
    </w:p>
    <w:p w14:paraId="2697BBD8" w14:textId="1D7D1E85" w:rsidR="00866994" w:rsidRPr="008A2F1A" w:rsidRDefault="00866994" w:rsidP="008A2F1A">
      <w:pPr>
        <w:spacing w:after="0" w:line="360" w:lineRule="auto"/>
        <w:jc w:val="both"/>
        <w:rPr>
          <w:rFonts w:ascii="Arial" w:hAnsi="Arial" w:cs="Arial"/>
          <w:szCs w:val="24"/>
        </w:rPr>
      </w:pPr>
      <w:r w:rsidRPr="008A2F1A">
        <w:rPr>
          <w:rFonts w:ascii="Arial" w:hAnsi="Arial" w:cs="Arial"/>
          <w:b/>
          <w:bCs/>
          <w:szCs w:val="24"/>
        </w:rPr>
        <w:t>Funding Sources and Income Generation Strategies:</w:t>
      </w:r>
    </w:p>
    <w:p w14:paraId="21C5BC39" w14:textId="45254A6F" w:rsidR="00E50BFB" w:rsidRDefault="00E50BFB" w:rsidP="008A2F1A">
      <w:pPr>
        <w:spacing w:after="0" w:line="360" w:lineRule="auto"/>
        <w:ind w:firstLine="720"/>
        <w:jc w:val="both"/>
        <w:rPr>
          <w:rFonts w:ascii="Arial" w:hAnsi="Arial" w:cs="Arial"/>
          <w:szCs w:val="24"/>
        </w:rPr>
      </w:pPr>
      <w:r w:rsidRPr="008A2F1A">
        <w:rPr>
          <w:rFonts w:ascii="Arial" w:hAnsi="Arial" w:cs="Arial"/>
          <w:szCs w:val="24"/>
        </w:rPr>
        <w:t>Various sources of funding and revenue streams guarantee the sustainability of The Green Horizon Conference. Local businesses and organizations that sponsor specific parts of the event are at the center of sponsorships. Partnering with sustainability organizations boosts funding and harmonizes with the event’s narrative. Sustainable-oriented governmental and non-profit organizations also offer grants as an alternative funding option. There are various access levels for attendees generated by the ticket sales, ensuring inclusive participation. Sustainable event souvenirs are sold through merchandise sales. The combination of these revenue sources offsets costs and enhances the event’s sustainability narrative.</w:t>
      </w:r>
    </w:p>
    <w:p w14:paraId="71C1613D" w14:textId="77777777" w:rsidR="00290705" w:rsidRDefault="00290705" w:rsidP="008A2F1A">
      <w:pPr>
        <w:spacing w:after="0" w:line="360" w:lineRule="auto"/>
        <w:ind w:firstLine="720"/>
        <w:jc w:val="both"/>
        <w:rPr>
          <w:rFonts w:ascii="Arial" w:hAnsi="Arial" w:cs="Arial"/>
          <w:szCs w:val="24"/>
        </w:rPr>
      </w:pPr>
    </w:p>
    <w:p w14:paraId="2CF920AD" w14:textId="77777777" w:rsidR="00290705" w:rsidRDefault="00290705" w:rsidP="008A2F1A">
      <w:pPr>
        <w:spacing w:after="0" w:line="360" w:lineRule="auto"/>
        <w:ind w:firstLine="720"/>
        <w:jc w:val="both"/>
        <w:rPr>
          <w:rFonts w:ascii="Arial" w:hAnsi="Arial" w:cs="Arial"/>
          <w:szCs w:val="24"/>
        </w:rPr>
      </w:pPr>
    </w:p>
    <w:p w14:paraId="53267EC7" w14:textId="77777777" w:rsidR="00290705" w:rsidRDefault="00290705" w:rsidP="008A2F1A">
      <w:pPr>
        <w:spacing w:after="0" w:line="360" w:lineRule="auto"/>
        <w:ind w:firstLine="720"/>
        <w:jc w:val="both"/>
        <w:rPr>
          <w:rFonts w:ascii="Arial" w:hAnsi="Arial" w:cs="Arial"/>
          <w:szCs w:val="24"/>
        </w:rPr>
      </w:pPr>
    </w:p>
    <w:p w14:paraId="568A469F" w14:textId="77777777" w:rsidR="008A2F1A" w:rsidRPr="008A2F1A" w:rsidRDefault="008A2F1A" w:rsidP="008A2F1A">
      <w:pPr>
        <w:spacing w:after="0" w:line="360" w:lineRule="auto"/>
        <w:ind w:firstLine="720"/>
        <w:jc w:val="both"/>
        <w:rPr>
          <w:rFonts w:ascii="Arial" w:hAnsi="Arial" w:cs="Arial"/>
          <w:szCs w:val="24"/>
        </w:rPr>
      </w:pPr>
    </w:p>
    <w:p w14:paraId="39D28F0E" w14:textId="23A4B3F9" w:rsidR="00E50BFB" w:rsidRDefault="00290705" w:rsidP="008A2F1A">
      <w:pPr>
        <w:spacing w:after="0" w:line="360" w:lineRule="auto"/>
        <w:jc w:val="both"/>
        <w:rPr>
          <w:rFonts w:ascii="Arial" w:hAnsi="Arial" w:cs="Arial"/>
          <w:b/>
          <w:bCs/>
          <w:szCs w:val="24"/>
        </w:rPr>
      </w:pPr>
      <w:r>
        <w:rPr>
          <w:rFonts w:ascii="Arial" w:hAnsi="Arial" w:cs="Arial"/>
          <w:b/>
          <w:bCs/>
          <w:szCs w:val="24"/>
        </w:rPr>
        <w:lastRenderedPageBreak/>
        <w:t xml:space="preserve">                                               </w:t>
      </w:r>
      <w:r w:rsidR="00E50BFB" w:rsidRPr="008A2F1A">
        <w:rPr>
          <w:rFonts w:ascii="Arial" w:hAnsi="Arial" w:cs="Arial"/>
          <w:b/>
          <w:bCs/>
          <w:szCs w:val="24"/>
        </w:rPr>
        <w:t>Industry Trends/Impacts</w:t>
      </w:r>
    </w:p>
    <w:p w14:paraId="1869A8F0" w14:textId="77777777" w:rsidR="008A2F1A" w:rsidRPr="008A2F1A" w:rsidRDefault="008A2F1A" w:rsidP="008A2F1A">
      <w:pPr>
        <w:spacing w:after="0" w:line="360" w:lineRule="auto"/>
        <w:jc w:val="both"/>
        <w:rPr>
          <w:rFonts w:ascii="Arial" w:hAnsi="Arial" w:cs="Arial"/>
          <w:b/>
          <w:bCs/>
          <w:szCs w:val="24"/>
        </w:rPr>
      </w:pPr>
    </w:p>
    <w:p w14:paraId="625C03B2" w14:textId="5AA4BF40" w:rsidR="00E50BFB" w:rsidRPr="008A2F1A" w:rsidRDefault="00E50BFB" w:rsidP="008A2F1A">
      <w:pPr>
        <w:spacing w:after="0" w:line="360" w:lineRule="auto"/>
        <w:ind w:firstLine="720"/>
        <w:jc w:val="both"/>
        <w:rPr>
          <w:rFonts w:ascii="Arial" w:hAnsi="Arial" w:cs="Arial"/>
          <w:szCs w:val="24"/>
        </w:rPr>
      </w:pPr>
      <w:r w:rsidRPr="008A2F1A">
        <w:rPr>
          <w:rFonts w:ascii="Arial" w:hAnsi="Arial" w:cs="Arial"/>
          <w:szCs w:val="24"/>
        </w:rPr>
        <w:t xml:space="preserve">Like the rest of the world, the meetings and events industry </w:t>
      </w:r>
      <w:proofErr w:type="gramStart"/>
      <w:r w:rsidRPr="008A2F1A">
        <w:rPr>
          <w:rFonts w:ascii="Arial" w:hAnsi="Arial" w:cs="Arial"/>
          <w:szCs w:val="24"/>
        </w:rPr>
        <w:t>is</w:t>
      </w:r>
      <w:proofErr w:type="gramEnd"/>
      <w:r w:rsidRPr="008A2F1A">
        <w:rPr>
          <w:rFonts w:ascii="Arial" w:hAnsi="Arial" w:cs="Arial"/>
          <w:szCs w:val="24"/>
        </w:rPr>
        <w:t xml:space="preserve"> dynamic and responsive to societal dynamics, technological innovation, and global issues. Several aspects have emerged that change the way events are structured and handled. Sustainability is on the gain with a focus on sustainable practices, reduction of wastage, and common interest. A hybrid event combines aspects of personal, online, and virtual activities, which means that all market segments are allowed. Technological integrations such as AR and VR are changing the world of events by offering innovative interactive spaces for the participants.</w:t>
      </w:r>
    </w:p>
    <w:p w14:paraId="43B77CDD" w14:textId="6140AE7B" w:rsidR="00E50BFB" w:rsidRPr="008A2F1A" w:rsidRDefault="00E50BFB" w:rsidP="008A2F1A">
      <w:pPr>
        <w:spacing w:after="0" w:line="360" w:lineRule="auto"/>
        <w:ind w:firstLine="720"/>
        <w:jc w:val="both"/>
        <w:rPr>
          <w:rFonts w:ascii="Arial" w:hAnsi="Arial" w:cs="Arial"/>
          <w:szCs w:val="24"/>
        </w:rPr>
      </w:pPr>
      <w:r w:rsidRPr="008A2F1A">
        <w:rPr>
          <w:rFonts w:ascii="Arial" w:hAnsi="Arial" w:cs="Arial"/>
          <w:szCs w:val="24"/>
        </w:rPr>
        <w:t xml:space="preserve">The approach an industry like </w:t>
      </w:r>
      <w:proofErr w:type="gramStart"/>
      <w:r w:rsidRPr="008A2F1A">
        <w:rPr>
          <w:rFonts w:ascii="Arial" w:hAnsi="Arial" w:cs="Arial"/>
          <w:szCs w:val="24"/>
        </w:rPr>
        <w:t>this follows</w:t>
      </w:r>
      <w:proofErr w:type="gramEnd"/>
      <w:r w:rsidRPr="008A2F1A">
        <w:rPr>
          <w:rFonts w:ascii="Arial" w:hAnsi="Arial" w:cs="Arial"/>
          <w:szCs w:val="24"/>
        </w:rPr>
        <w:t xml:space="preserve"> is illustrated by the Green Horizon Conference, driven by the current trends it faces regarding sustainability. It is most advisable that the event is totally in sync with the increasing sensitivities and the high focus on environmentally friendly solutions brought about by the heightened awareness. This sense of corporate responsibility that permeates the event management industry highlights a focus on the sustainable provision of facilities, green technologies, and waste minimization. The bimodal character of the Green Horizon Conference, which combines the setting and virtual elements, follows from the quickness tendency of the prevalence of the adaptive event formats. This process leads to inclusivity as many people can attend, not only the residents, and reach out to other countries worldwide.</w:t>
      </w:r>
    </w:p>
    <w:p w14:paraId="75059C37" w14:textId="59B5A960" w:rsidR="00E50BFB" w:rsidRPr="008A2F1A" w:rsidRDefault="00E50BFB" w:rsidP="008A2F1A">
      <w:pPr>
        <w:spacing w:after="0" w:line="360" w:lineRule="auto"/>
        <w:ind w:firstLine="720"/>
        <w:jc w:val="both"/>
        <w:rPr>
          <w:rFonts w:ascii="Arial" w:hAnsi="Arial" w:cs="Arial"/>
          <w:szCs w:val="24"/>
        </w:rPr>
      </w:pPr>
      <w:r w:rsidRPr="008A2F1A">
        <w:rPr>
          <w:rFonts w:ascii="Arial" w:hAnsi="Arial" w:cs="Arial"/>
          <w:szCs w:val="24"/>
        </w:rPr>
        <w:t xml:space="preserve">Moreover, </w:t>
      </w:r>
      <w:proofErr w:type="gramStart"/>
      <w:r w:rsidRPr="008A2F1A">
        <w:rPr>
          <w:rFonts w:ascii="Arial" w:hAnsi="Arial" w:cs="Arial"/>
          <w:szCs w:val="24"/>
        </w:rPr>
        <w:t>outlined</w:t>
      </w:r>
      <w:proofErr w:type="gramEnd"/>
      <w:r w:rsidRPr="008A2F1A">
        <w:rPr>
          <w:rFonts w:ascii="Arial" w:hAnsi="Arial" w:cs="Arial"/>
          <w:szCs w:val="24"/>
        </w:rPr>
        <w:t xml:space="preserve"> practices are not only part of the technological integration of The Green Horizon Conference. With the help of augmented reality (AR), participants are engaged in offering interactive aspects that provide information and motivation. The event actively answers the developing innovativeness and reveals the inclination to hold the </w:t>
      </w:r>
      <w:proofErr w:type="gramStart"/>
      <w:r w:rsidRPr="008A2F1A">
        <w:rPr>
          <w:rFonts w:ascii="Arial" w:hAnsi="Arial" w:cs="Arial"/>
          <w:szCs w:val="24"/>
        </w:rPr>
        <w:t>leader</w:t>
      </w:r>
      <w:proofErr w:type="gramEnd"/>
      <w:r w:rsidRPr="008A2F1A">
        <w:rPr>
          <w:rFonts w:ascii="Arial" w:hAnsi="Arial" w:cs="Arial"/>
          <w:szCs w:val="24"/>
        </w:rPr>
        <w:t xml:space="preserve"> position in the market</w:t>
      </w:r>
      <w:r w:rsidR="00A35F34" w:rsidRPr="008A2F1A">
        <w:rPr>
          <w:rFonts w:ascii="Arial" w:hAnsi="Arial" w:cs="Arial"/>
          <w:szCs w:val="24"/>
        </w:rPr>
        <w:t xml:space="preserve"> (Head, 2022)</w:t>
      </w:r>
      <w:r w:rsidRPr="008A2F1A">
        <w:rPr>
          <w:rFonts w:ascii="Arial" w:hAnsi="Arial" w:cs="Arial"/>
          <w:szCs w:val="24"/>
        </w:rPr>
        <w:t>.</w:t>
      </w:r>
    </w:p>
    <w:p w14:paraId="02E152DF" w14:textId="4AA6BF86" w:rsidR="00E50BFB" w:rsidRPr="008A2F1A" w:rsidRDefault="00E50BFB" w:rsidP="008A2F1A">
      <w:pPr>
        <w:spacing w:after="0" w:line="360" w:lineRule="auto"/>
        <w:ind w:firstLine="720"/>
        <w:jc w:val="both"/>
        <w:rPr>
          <w:rFonts w:ascii="Arial" w:hAnsi="Arial" w:cs="Arial"/>
          <w:szCs w:val="24"/>
        </w:rPr>
      </w:pPr>
      <w:r w:rsidRPr="008A2F1A">
        <w:rPr>
          <w:rFonts w:ascii="Arial" w:hAnsi="Arial" w:cs="Arial"/>
          <w:szCs w:val="24"/>
        </w:rPr>
        <w:t>The conference does not only acknowledge the trends in the industry but fully embraces and implements them in its structure</w:t>
      </w:r>
      <w:r w:rsidR="00A35F34" w:rsidRPr="008A2F1A">
        <w:rPr>
          <w:rFonts w:ascii="Arial" w:hAnsi="Arial" w:cs="Arial"/>
          <w:szCs w:val="24"/>
        </w:rPr>
        <w:t xml:space="preserve"> (Rogers &amp; Wynn-Moylan, 2022)</w:t>
      </w:r>
      <w:r w:rsidRPr="008A2F1A">
        <w:rPr>
          <w:rFonts w:ascii="Arial" w:hAnsi="Arial" w:cs="Arial"/>
          <w:szCs w:val="24"/>
        </w:rPr>
        <w:t>. As such, the event leads the field on sustainable processes, hybrid formats, and innovation in treating all sectors with technology. This plan, set with the currents of the industry, ensures the continued relevancy of the conference’s green hour ideal as a guiding light in the dynamic world environment of global conferences and events.</w:t>
      </w:r>
    </w:p>
    <w:p w14:paraId="1934D83B" w14:textId="4C2199EA" w:rsidR="00E50BFB" w:rsidRDefault="00290705" w:rsidP="008A2F1A">
      <w:pPr>
        <w:spacing w:after="0" w:line="360" w:lineRule="auto"/>
        <w:jc w:val="both"/>
        <w:rPr>
          <w:rFonts w:ascii="Arial" w:hAnsi="Arial" w:cs="Arial"/>
          <w:b/>
          <w:bCs/>
          <w:szCs w:val="24"/>
        </w:rPr>
      </w:pPr>
      <w:r>
        <w:rPr>
          <w:rFonts w:ascii="Arial" w:hAnsi="Arial" w:cs="Arial"/>
          <w:b/>
          <w:bCs/>
          <w:szCs w:val="24"/>
        </w:rPr>
        <w:lastRenderedPageBreak/>
        <w:t xml:space="preserve">                                             </w:t>
      </w:r>
      <w:r w:rsidR="00E50BFB" w:rsidRPr="008A2F1A">
        <w:rPr>
          <w:rFonts w:ascii="Arial" w:hAnsi="Arial" w:cs="Arial"/>
          <w:b/>
          <w:bCs/>
          <w:szCs w:val="24"/>
        </w:rPr>
        <w:t>Broader Cultural Considerations</w:t>
      </w:r>
    </w:p>
    <w:p w14:paraId="03B4DC89" w14:textId="77777777" w:rsidR="008A2F1A" w:rsidRPr="008A2F1A" w:rsidRDefault="008A2F1A" w:rsidP="008A2F1A">
      <w:pPr>
        <w:spacing w:after="0" w:line="360" w:lineRule="auto"/>
        <w:jc w:val="both"/>
        <w:rPr>
          <w:rFonts w:ascii="Arial" w:hAnsi="Arial" w:cs="Arial"/>
          <w:b/>
          <w:bCs/>
          <w:szCs w:val="24"/>
        </w:rPr>
      </w:pPr>
    </w:p>
    <w:p w14:paraId="02427F40" w14:textId="61C32791" w:rsidR="00866994" w:rsidRPr="008A2F1A" w:rsidRDefault="00E50BFB" w:rsidP="008A2F1A">
      <w:pPr>
        <w:spacing w:after="0" w:line="360" w:lineRule="auto"/>
        <w:ind w:firstLine="720"/>
        <w:jc w:val="both"/>
        <w:rPr>
          <w:rFonts w:ascii="Arial" w:hAnsi="Arial" w:cs="Arial"/>
          <w:szCs w:val="24"/>
        </w:rPr>
      </w:pPr>
      <w:r w:rsidRPr="008A2F1A">
        <w:rPr>
          <w:rFonts w:ascii="Arial" w:hAnsi="Arial" w:cs="Arial"/>
          <w:szCs w:val="24"/>
        </w:rPr>
        <w:t>The theme of the Green Horizon Conference exists on the international stage of sustainability; however, the conference must take note of the local culture of its host location, Dubai. A combination of tradition and modernity shapes a community’s norms, expectations, and forms of communication, a culture characteristic of Dubai. The culture of Dubai is rich and glorious. Nonetheless, adequate awareness and respect for local cultures are key to creating a favorable work environment and the event’s potential impact on participants and stakeholders.</w:t>
      </w:r>
    </w:p>
    <w:p w14:paraId="4C185E37" w14:textId="77777777" w:rsidR="00866994" w:rsidRPr="008A2F1A" w:rsidRDefault="00866994" w:rsidP="008A2F1A">
      <w:pPr>
        <w:spacing w:after="0" w:line="360" w:lineRule="auto"/>
        <w:jc w:val="both"/>
        <w:rPr>
          <w:rFonts w:ascii="Arial" w:hAnsi="Arial" w:cs="Arial"/>
          <w:szCs w:val="24"/>
        </w:rPr>
      </w:pPr>
      <w:r w:rsidRPr="008A2F1A">
        <w:rPr>
          <w:rFonts w:ascii="Arial" w:hAnsi="Arial" w:cs="Arial"/>
          <w:szCs w:val="24"/>
        </w:rPr>
        <w:t>Situational Considerations:</w:t>
      </w:r>
    </w:p>
    <w:p w14:paraId="1A0B8549" w14:textId="7972EC69" w:rsidR="00E50BFB" w:rsidRPr="008A2F1A" w:rsidRDefault="00E50BFB" w:rsidP="008A2F1A">
      <w:pPr>
        <w:spacing w:after="0" w:line="360" w:lineRule="auto"/>
        <w:ind w:firstLine="720"/>
        <w:jc w:val="both"/>
        <w:rPr>
          <w:rFonts w:ascii="Arial" w:hAnsi="Arial" w:cs="Arial"/>
          <w:szCs w:val="24"/>
        </w:rPr>
      </w:pPr>
      <w:r w:rsidRPr="008A2F1A">
        <w:rPr>
          <w:rFonts w:ascii="Arial" w:hAnsi="Arial" w:cs="Arial"/>
          <w:szCs w:val="24"/>
        </w:rPr>
        <w:t>Dubai’s business climate, economic activity, as well as greening initiatives significantly impact the planning and implementation of the Green Horizon Conference. Combining the world-class and environmentally friendly facilities with the cosmopolitan local population allows the festival to thrive in an inspiring cultural setting. On the other hand, the weather or seasonal shifts in Dubai should be considered when building a viable strategy to ensure that an ideal attendee is observed.</w:t>
      </w:r>
    </w:p>
    <w:p w14:paraId="0C3180F7" w14:textId="3F9A0241" w:rsidR="00E50BFB" w:rsidRPr="008A2F1A" w:rsidRDefault="00E50BFB" w:rsidP="008A2F1A">
      <w:pPr>
        <w:spacing w:after="0" w:line="360" w:lineRule="auto"/>
        <w:ind w:firstLine="720"/>
        <w:jc w:val="both"/>
        <w:rPr>
          <w:rFonts w:ascii="Arial" w:hAnsi="Arial" w:cs="Arial"/>
          <w:szCs w:val="24"/>
        </w:rPr>
      </w:pPr>
      <w:r w:rsidRPr="008A2F1A">
        <w:rPr>
          <w:rFonts w:ascii="Arial" w:hAnsi="Arial" w:cs="Arial"/>
          <w:szCs w:val="24"/>
        </w:rPr>
        <w:t>Many cultural and situational factors must be considered in planning these activities, as demonstrated by the case of the Green Horizon conference. Suppose the event is to be admired by the local members. In that case, there is a need to understand and respect the cultural subtlety associated with Dubai, thus admiring the event positively by the local members. The inclusion is introduced by creating tailored communication strategies, event content, and engagement formats to match cultural expectations to the participant experience.</w:t>
      </w:r>
    </w:p>
    <w:p w14:paraId="1705C36F" w14:textId="622C6701" w:rsidR="00A35F34" w:rsidRPr="008A2F1A" w:rsidRDefault="00E50BFB" w:rsidP="008A2F1A">
      <w:pPr>
        <w:spacing w:after="0" w:line="360" w:lineRule="auto"/>
        <w:ind w:firstLine="720"/>
        <w:jc w:val="both"/>
        <w:rPr>
          <w:rFonts w:ascii="Arial" w:hAnsi="Arial" w:cs="Arial"/>
          <w:szCs w:val="24"/>
        </w:rPr>
      </w:pPr>
      <w:r w:rsidRPr="008A2F1A">
        <w:rPr>
          <w:rFonts w:ascii="Arial" w:hAnsi="Arial" w:cs="Arial"/>
          <w:szCs w:val="24"/>
        </w:rPr>
        <w:t>However, situational determinants such as commitment to sustainability and innovation in Dubai also play an important role in defining the event story. Exploiting the environmental observing infrastructure, The Green Horizon Conference Also includes the weather elements involving considerable inclination of the outdoor aspects of the event as per the direction that is supposed to have high levels of comfort and involvement.</w:t>
      </w:r>
    </w:p>
    <w:p w14:paraId="7327D315" w14:textId="77777777" w:rsidR="008A2F1A" w:rsidRDefault="008A2F1A" w:rsidP="008A2F1A">
      <w:pPr>
        <w:spacing w:line="360" w:lineRule="auto"/>
        <w:jc w:val="both"/>
        <w:rPr>
          <w:rFonts w:cs="Times New Roman"/>
          <w:szCs w:val="24"/>
        </w:rPr>
      </w:pPr>
      <w:bookmarkStart w:id="3" w:name="_Toc159839835"/>
    </w:p>
    <w:p w14:paraId="118E7068" w14:textId="77777777" w:rsidR="008A2F1A" w:rsidRDefault="008A2F1A" w:rsidP="008A2F1A">
      <w:pPr>
        <w:spacing w:line="360" w:lineRule="auto"/>
        <w:jc w:val="both"/>
        <w:rPr>
          <w:rFonts w:cs="Times New Roman"/>
          <w:szCs w:val="24"/>
        </w:rPr>
      </w:pPr>
    </w:p>
    <w:p w14:paraId="2F0A233F" w14:textId="59D9BF58" w:rsidR="00A35F34" w:rsidRPr="008A2F1A" w:rsidRDefault="00A35F34" w:rsidP="008A2F1A">
      <w:pPr>
        <w:spacing w:line="360" w:lineRule="auto"/>
        <w:jc w:val="both"/>
        <w:rPr>
          <w:rFonts w:ascii="Arial" w:hAnsi="Arial" w:cs="Arial"/>
          <w:szCs w:val="24"/>
        </w:rPr>
      </w:pPr>
      <w:r w:rsidRPr="008A2F1A">
        <w:rPr>
          <w:rFonts w:ascii="Arial" w:eastAsia="Times New Roman" w:hAnsi="Arial" w:cs="Arial"/>
          <w:b/>
          <w:bCs/>
          <w:kern w:val="36"/>
          <w:szCs w:val="24"/>
          <w:lang w:val="en-GB" w:eastAsia="en-GB"/>
          <w14:ligatures w14:val="none"/>
        </w:rPr>
        <w:lastRenderedPageBreak/>
        <w:t>References</w:t>
      </w:r>
      <w:bookmarkEnd w:id="3"/>
    </w:p>
    <w:p w14:paraId="32F70446" w14:textId="42540092" w:rsidR="00A35F34" w:rsidRPr="008A2F1A" w:rsidRDefault="00A35F34" w:rsidP="008A2F1A">
      <w:pPr>
        <w:spacing w:after="0" w:line="360" w:lineRule="auto"/>
        <w:ind w:left="720" w:hanging="720"/>
        <w:jc w:val="both"/>
        <w:rPr>
          <w:rFonts w:ascii="Arial" w:eastAsia="Times New Roman" w:hAnsi="Arial" w:cs="Arial"/>
          <w:kern w:val="0"/>
          <w:szCs w:val="24"/>
          <w:lang w:val="en-GB" w:eastAsia="en-GB"/>
          <w14:ligatures w14:val="none"/>
        </w:rPr>
      </w:pPr>
      <w:proofErr w:type="spellStart"/>
      <w:r w:rsidRPr="008A2F1A">
        <w:rPr>
          <w:rFonts w:ascii="Arial" w:eastAsia="Times New Roman" w:hAnsi="Arial" w:cs="Arial"/>
          <w:kern w:val="0"/>
          <w:szCs w:val="24"/>
          <w:lang w:val="en-GB" w:eastAsia="en-GB"/>
          <w14:ligatures w14:val="none"/>
        </w:rPr>
        <w:t>Aghlmand</w:t>
      </w:r>
      <w:proofErr w:type="spellEnd"/>
      <w:r w:rsidRPr="008A2F1A">
        <w:rPr>
          <w:rFonts w:ascii="Arial" w:eastAsia="Times New Roman" w:hAnsi="Arial" w:cs="Arial"/>
          <w:kern w:val="0"/>
          <w:szCs w:val="24"/>
          <w:lang w:val="en-GB" w:eastAsia="en-GB"/>
          <w14:ligatures w14:val="none"/>
        </w:rPr>
        <w:t xml:space="preserve">, R., </w:t>
      </w:r>
      <w:proofErr w:type="spellStart"/>
      <w:r w:rsidRPr="008A2F1A">
        <w:rPr>
          <w:rFonts w:ascii="Arial" w:eastAsia="Times New Roman" w:hAnsi="Arial" w:cs="Arial"/>
          <w:kern w:val="0"/>
          <w:szCs w:val="24"/>
          <w:lang w:val="en-GB" w:eastAsia="en-GB"/>
          <w14:ligatures w14:val="none"/>
        </w:rPr>
        <w:t>Gheibi</w:t>
      </w:r>
      <w:proofErr w:type="spellEnd"/>
      <w:r w:rsidRPr="008A2F1A">
        <w:rPr>
          <w:rFonts w:ascii="Arial" w:eastAsia="Times New Roman" w:hAnsi="Arial" w:cs="Arial"/>
          <w:kern w:val="0"/>
          <w:szCs w:val="24"/>
          <w:lang w:val="en-GB" w:eastAsia="en-GB"/>
          <w14:ligatures w14:val="none"/>
        </w:rPr>
        <w:t xml:space="preserve">, M., </w:t>
      </w:r>
      <w:proofErr w:type="spellStart"/>
      <w:r w:rsidRPr="008A2F1A">
        <w:rPr>
          <w:rFonts w:ascii="Arial" w:eastAsia="Times New Roman" w:hAnsi="Arial" w:cs="Arial"/>
          <w:kern w:val="0"/>
          <w:szCs w:val="24"/>
          <w:lang w:val="en-GB" w:eastAsia="en-GB"/>
          <w14:ligatures w14:val="none"/>
        </w:rPr>
        <w:t>Takhtravan</w:t>
      </w:r>
      <w:proofErr w:type="spellEnd"/>
      <w:r w:rsidRPr="008A2F1A">
        <w:rPr>
          <w:rFonts w:ascii="Arial" w:eastAsia="Times New Roman" w:hAnsi="Arial" w:cs="Arial"/>
          <w:kern w:val="0"/>
          <w:szCs w:val="24"/>
          <w:lang w:val="en-GB" w:eastAsia="en-GB"/>
          <w14:ligatures w14:val="none"/>
        </w:rPr>
        <w:t xml:space="preserve">, A., &amp; Kian, Z. (2022). Implementation of green marketing frameworks based on conceptual system designing by integration of PESTLE, classical Delphi and MCDM </w:t>
      </w:r>
      <w:proofErr w:type="spellStart"/>
      <w:r w:rsidRPr="008A2F1A">
        <w:rPr>
          <w:rFonts w:ascii="Arial" w:eastAsia="Times New Roman" w:hAnsi="Arial" w:cs="Arial"/>
          <w:kern w:val="0"/>
          <w:szCs w:val="24"/>
          <w:lang w:val="en-GB" w:eastAsia="en-GB"/>
          <w14:ligatures w14:val="none"/>
        </w:rPr>
        <w:t>modeling</w:t>
      </w:r>
      <w:proofErr w:type="spellEnd"/>
      <w:r w:rsidRPr="008A2F1A">
        <w:rPr>
          <w:rFonts w:ascii="Arial" w:eastAsia="Times New Roman" w:hAnsi="Arial" w:cs="Arial"/>
          <w:kern w:val="0"/>
          <w:szCs w:val="24"/>
          <w:lang w:val="en-GB" w:eastAsia="en-GB"/>
          <w14:ligatures w14:val="none"/>
        </w:rPr>
        <w:t xml:space="preserve">. </w:t>
      </w:r>
      <w:r w:rsidRPr="008A2F1A">
        <w:rPr>
          <w:rFonts w:ascii="Arial" w:eastAsia="Times New Roman" w:hAnsi="Arial" w:cs="Arial"/>
          <w:i/>
          <w:iCs/>
          <w:kern w:val="0"/>
          <w:szCs w:val="24"/>
          <w:lang w:val="en-GB" w:eastAsia="en-GB"/>
          <w14:ligatures w14:val="none"/>
        </w:rPr>
        <w:t>SN Business &amp; Economics</w:t>
      </w:r>
      <w:r w:rsidRPr="008A2F1A">
        <w:rPr>
          <w:rFonts w:ascii="Arial" w:eastAsia="Times New Roman" w:hAnsi="Arial" w:cs="Arial"/>
          <w:kern w:val="0"/>
          <w:szCs w:val="24"/>
          <w:lang w:val="en-GB" w:eastAsia="en-GB"/>
          <w14:ligatures w14:val="none"/>
        </w:rPr>
        <w:t xml:space="preserve">, </w:t>
      </w:r>
      <w:r w:rsidRPr="008A2F1A">
        <w:rPr>
          <w:rFonts w:ascii="Arial" w:eastAsia="Times New Roman" w:hAnsi="Arial" w:cs="Arial"/>
          <w:i/>
          <w:iCs/>
          <w:kern w:val="0"/>
          <w:szCs w:val="24"/>
          <w:lang w:val="en-GB" w:eastAsia="en-GB"/>
          <w14:ligatures w14:val="none"/>
        </w:rPr>
        <w:t>2</w:t>
      </w:r>
      <w:r w:rsidRPr="008A2F1A">
        <w:rPr>
          <w:rFonts w:ascii="Arial" w:eastAsia="Times New Roman" w:hAnsi="Arial" w:cs="Arial"/>
          <w:kern w:val="0"/>
          <w:szCs w:val="24"/>
          <w:lang w:val="en-GB" w:eastAsia="en-GB"/>
          <w14:ligatures w14:val="none"/>
        </w:rPr>
        <w:t xml:space="preserve">(8). </w:t>
      </w:r>
      <w:hyperlink r:id="rId8" w:history="1">
        <w:r w:rsidR="00290705" w:rsidRPr="004E75CE">
          <w:rPr>
            <w:rStyle w:val="Hyperlink"/>
            <w:rFonts w:ascii="Arial" w:eastAsia="Times New Roman" w:hAnsi="Arial" w:cs="Arial"/>
            <w:kern w:val="0"/>
            <w:szCs w:val="24"/>
            <w:lang w:val="en-GB" w:eastAsia="en-GB"/>
            <w14:ligatures w14:val="none"/>
          </w:rPr>
          <w:t>https://doi.org/10.1007/s43546-022-00273-8</w:t>
        </w:r>
      </w:hyperlink>
      <w:r w:rsidR="00290705">
        <w:rPr>
          <w:rFonts w:ascii="Arial" w:eastAsia="Times New Roman" w:hAnsi="Arial" w:cs="Arial"/>
          <w:kern w:val="0"/>
          <w:szCs w:val="24"/>
          <w:lang w:val="en-GB" w:eastAsia="en-GB"/>
          <w14:ligatures w14:val="none"/>
        </w:rPr>
        <w:t xml:space="preserve">. </w:t>
      </w:r>
    </w:p>
    <w:p w14:paraId="496BC9D8" w14:textId="0E9D6F14" w:rsidR="00A35F34" w:rsidRPr="008A2F1A" w:rsidRDefault="00A35F34" w:rsidP="008A2F1A">
      <w:pPr>
        <w:spacing w:after="0" w:line="360" w:lineRule="auto"/>
        <w:ind w:left="720" w:hanging="720"/>
        <w:jc w:val="both"/>
        <w:rPr>
          <w:rFonts w:ascii="Arial" w:eastAsia="Times New Roman" w:hAnsi="Arial" w:cs="Arial"/>
          <w:kern w:val="0"/>
          <w:szCs w:val="24"/>
          <w:lang w:val="en-GB" w:eastAsia="en-GB"/>
          <w14:ligatures w14:val="none"/>
        </w:rPr>
      </w:pPr>
      <w:r w:rsidRPr="008A2F1A">
        <w:rPr>
          <w:rFonts w:ascii="Arial" w:eastAsia="Times New Roman" w:hAnsi="Arial" w:cs="Arial"/>
          <w:kern w:val="0"/>
          <w:szCs w:val="24"/>
          <w:lang w:val="en-GB" w:eastAsia="en-GB"/>
          <w14:ligatures w14:val="none"/>
        </w:rPr>
        <w:t xml:space="preserve">Citra Birru, A., </w:t>
      </w:r>
      <w:proofErr w:type="spellStart"/>
      <w:r w:rsidRPr="008A2F1A">
        <w:rPr>
          <w:rFonts w:ascii="Arial" w:eastAsia="Times New Roman" w:hAnsi="Arial" w:cs="Arial"/>
          <w:kern w:val="0"/>
          <w:szCs w:val="24"/>
          <w:lang w:val="en-GB" w:eastAsia="en-GB"/>
          <w14:ligatures w14:val="none"/>
        </w:rPr>
        <w:t>Sudarmiatin</w:t>
      </w:r>
      <w:proofErr w:type="spellEnd"/>
      <w:r w:rsidRPr="008A2F1A">
        <w:rPr>
          <w:rFonts w:ascii="Arial" w:eastAsia="Times New Roman" w:hAnsi="Arial" w:cs="Arial"/>
          <w:kern w:val="0"/>
          <w:szCs w:val="24"/>
          <w:lang w:val="en-GB" w:eastAsia="en-GB"/>
          <w14:ligatures w14:val="none"/>
        </w:rPr>
        <w:t xml:space="preserve">, S., &amp; Hermawan, A. (2022). Competitive Strategies in The Lodging Service </w:t>
      </w:r>
      <w:proofErr w:type="gramStart"/>
      <w:r w:rsidRPr="008A2F1A">
        <w:rPr>
          <w:rFonts w:ascii="Arial" w:eastAsia="Times New Roman" w:hAnsi="Arial" w:cs="Arial"/>
          <w:kern w:val="0"/>
          <w:szCs w:val="24"/>
          <w:lang w:val="en-GB" w:eastAsia="en-GB"/>
          <w14:ligatures w14:val="none"/>
        </w:rPr>
        <w:t>Sector :</w:t>
      </w:r>
      <w:proofErr w:type="gramEnd"/>
      <w:r w:rsidRPr="008A2F1A">
        <w:rPr>
          <w:rFonts w:ascii="Arial" w:eastAsia="Times New Roman" w:hAnsi="Arial" w:cs="Arial"/>
          <w:kern w:val="0"/>
          <w:szCs w:val="24"/>
          <w:lang w:val="en-GB" w:eastAsia="en-GB"/>
          <w14:ligatures w14:val="none"/>
        </w:rPr>
        <w:t xml:space="preserve"> Five Porter Analyses And Case Study SWOT Analysis. </w:t>
      </w:r>
      <w:r w:rsidRPr="008A2F1A">
        <w:rPr>
          <w:rFonts w:ascii="Arial" w:eastAsia="Times New Roman" w:hAnsi="Arial" w:cs="Arial"/>
          <w:i/>
          <w:iCs/>
          <w:kern w:val="0"/>
          <w:szCs w:val="24"/>
          <w:lang w:val="en-GB" w:eastAsia="en-GB"/>
          <w14:ligatures w14:val="none"/>
        </w:rPr>
        <w:t>Journal of Business and Management Review</w:t>
      </w:r>
      <w:r w:rsidRPr="008A2F1A">
        <w:rPr>
          <w:rFonts w:ascii="Arial" w:eastAsia="Times New Roman" w:hAnsi="Arial" w:cs="Arial"/>
          <w:kern w:val="0"/>
          <w:szCs w:val="24"/>
          <w:lang w:val="en-GB" w:eastAsia="en-GB"/>
          <w14:ligatures w14:val="none"/>
        </w:rPr>
        <w:t xml:space="preserve">, </w:t>
      </w:r>
      <w:r w:rsidRPr="008A2F1A">
        <w:rPr>
          <w:rFonts w:ascii="Arial" w:eastAsia="Times New Roman" w:hAnsi="Arial" w:cs="Arial"/>
          <w:i/>
          <w:iCs/>
          <w:kern w:val="0"/>
          <w:szCs w:val="24"/>
          <w:lang w:val="en-GB" w:eastAsia="en-GB"/>
          <w14:ligatures w14:val="none"/>
        </w:rPr>
        <w:t>3</w:t>
      </w:r>
      <w:r w:rsidRPr="008A2F1A">
        <w:rPr>
          <w:rFonts w:ascii="Arial" w:eastAsia="Times New Roman" w:hAnsi="Arial" w:cs="Arial"/>
          <w:kern w:val="0"/>
          <w:szCs w:val="24"/>
          <w:lang w:val="en-GB" w:eastAsia="en-GB"/>
          <w14:ligatures w14:val="none"/>
        </w:rPr>
        <w:t xml:space="preserve">(1), 001-017. </w:t>
      </w:r>
      <w:hyperlink r:id="rId9" w:history="1">
        <w:r w:rsidR="00290705" w:rsidRPr="004E75CE">
          <w:rPr>
            <w:rStyle w:val="Hyperlink"/>
            <w:rFonts w:ascii="Arial" w:eastAsia="Times New Roman" w:hAnsi="Arial" w:cs="Arial"/>
            <w:kern w:val="0"/>
            <w:szCs w:val="24"/>
            <w:lang w:val="en-GB" w:eastAsia="en-GB"/>
            <w14:ligatures w14:val="none"/>
          </w:rPr>
          <w:t>https://doi.org/10.47153/jbmr31.2732022</w:t>
        </w:r>
      </w:hyperlink>
      <w:r w:rsidR="00290705">
        <w:rPr>
          <w:rFonts w:ascii="Arial" w:eastAsia="Times New Roman" w:hAnsi="Arial" w:cs="Arial"/>
          <w:kern w:val="0"/>
          <w:szCs w:val="24"/>
          <w:lang w:val="en-GB" w:eastAsia="en-GB"/>
          <w14:ligatures w14:val="none"/>
        </w:rPr>
        <w:t xml:space="preserve">. </w:t>
      </w:r>
    </w:p>
    <w:p w14:paraId="472B4A32" w14:textId="76FC9B20" w:rsidR="00A35F34" w:rsidRPr="008A2F1A" w:rsidRDefault="00A35F34" w:rsidP="008A2F1A">
      <w:pPr>
        <w:spacing w:after="0" w:line="360" w:lineRule="auto"/>
        <w:ind w:left="720" w:hanging="720"/>
        <w:jc w:val="both"/>
        <w:rPr>
          <w:rFonts w:ascii="Arial" w:eastAsia="Times New Roman" w:hAnsi="Arial" w:cs="Arial"/>
          <w:kern w:val="0"/>
          <w:szCs w:val="24"/>
          <w:lang w:val="en-GB" w:eastAsia="en-GB"/>
          <w14:ligatures w14:val="none"/>
        </w:rPr>
      </w:pPr>
      <w:r w:rsidRPr="008A2F1A">
        <w:rPr>
          <w:rFonts w:ascii="Arial" w:eastAsia="Times New Roman" w:hAnsi="Arial" w:cs="Arial"/>
          <w:kern w:val="0"/>
          <w:szCs w:val="24"/>
          <w:lang w:val="en-GB" w:eastAsia="en-GB"/>
          <w14:ligatures w14:val="none"/>
        </w:rPr>
        <w:t xml:space="preserve">Fox, D., Gouthro, M. B., </w:t>
      </w:r>
      <w:proofErr w:type="spellStart"/>
      <w:r w:rsidRPr="008A2F1A">
        <w:rPr>
          <w:rFonts w:ascii="Arial" w:eastAsia="Times New Roman" w:hAnsi="Arial" w:cs="Arial"/>
          <w:kern w:val="0"/>
          <w:szCs w:val="24"/>
          <w:lang w:val="en-GB" w:eastAsia="en-GB"/>
          <w14:ligatures w14:val="none"/>
        </w:rPr>
        <w:t>Morakabati</w:t>
      </w:r>
      <w:proofErr w:type="spellEnd"/>
      <w:r w:rsidRPr="008A2F1A">
        <w:rPr>
          <w:rFonts w:ascii="Arial" w:eastAsia="Times New Roman" w:hAnsi="Arial" w:cs="Arial"/>
          <w:kern w:val="0"/>
          <w:szCs w:val="24"/>
          <w:lang w:val="en-GB" w:eastAsia="en-GB"/>
          <w14:ligatures w14:val="none"/>
        </w:rPr>
        <w:t xml:space="preserve">, Y., &amp; </w:t>
      </w:r>
      <w:proofErr w:type="spellStart"/>
      <w:r w:rsidRPr="008A2F1A">
        <w:rPr>
          <w:rFonts w:ascii="Arial" w:eastAsia="Times New Roman" w:hAnsi="Arial" w:cs="Arial"/>
          <w:kern w:val="0"/>
          <w:szCs w:val="24"/>
          <w:lang w:val="en-GB" w:eastAsia="en-GB"/>
          <w14:ligatures w14:val="none"/>
        </w:rPr>
        <w:t>Brackstone</w:t>
      </w:r>
      <w:proofErr w:type="spellEnd"/>
      <w:r w:rsidRPr="008A2F1A">
        <w:rPr>
          <w:rFonts w:ascii="Arial" w:eastAsia="Times New Roman" w:hAnsi="Arial" w:cs="Arial"/>
          <w:kern w:val="0"/>
          <w:szCs w:val="24"/>
          <w:lang w:val="en-GB" w:eastAsia="en-GB"/>
          <w14:ligatures w14:val="none"/>
        </w:rPr>
        <w:t xml:space="preserve">, J. (2014). Doing Events Research: From Theory to Practice. In </w:t>
      </w:r>
      <w:r w:rsidRPr="008A2F1A">
        <w:rPr>
          <w:rFonts w:ascii="Arial" w:eastAsia="Times New Roman" w:hAnsi="Arial" w:cs="Arial"/>
          <w:i/>
          <w:iCs/>
          <w:kern w:val="0"/>
          <w:szCs w:val="24"/>
          <w:lang w:val="en-GB" w:eastAsia="en-GB"/>
          <w14:ligatures w14:val="none"/>
        </w:rPr>
        <w:t>Google Books</w:t>
      </w:r>
      <w:r w:rsidRPr="008A2F1A">
        <w:rPr>
          <w:rFonts w:ascii="Arial" w:eastAsia="Times New Roman" w:hAnsi="Arial" w:cs="Arial"/>
          <w:kern w:val="0"/>
          <w:szCs w:val="24"/>
          <w:lang w:val="en-GB" w:eastAsia="en-GB"/>
          <w14:ligatures w14:val="none"/>
        </w:rPr>
        <w:t xml:space="preserve">. Routledge. </w:t>
      </w:r>
      <w:hyperlink r:id="rId10" w:history="1">
        <w:r w:rsidR="00290705" w:rsidRPr="004E75CE">
          <w:rPr>
            <w:rStyle w:val="Hyperlink"/>
            <w:rFonts w:ascii="Arial" w:eastAsia="Times New Roman" w:hAnsi="Arial" w:cs="Arial"/>
            <w:kern w:val="0"/>
            <w:szCs w:val="24"/>
            <w:lang w:val="en-GB" w:eastAsia="en-GB"/>
            <w14:ligatures w14:val="none"/>
          </w:rPr>
          <w:t>https://books.google.com/books?hl=en&amp;lr=&amp;id=JDVEAwAAQBAJ&amp;oi=fnd&amp;pg=PP1&amp;dq=Fox</w:t>
        </w:r>
      </w:hyperlink>
      <w:r w:rsidR="00290705">
        <w:rPr>
          <w:rFonts w:ascii="Arial" w:eastAsia="Times New Roman" w:hAnsi="Arial" w:cs="Arial"/>
          <w:kern w:val="0"/>
          <w:szCs w:val="24"/>
          <w:lang w:val="en-GB" w:eastAsia="en-GB"/>
          <w14:ligatures w14:val="none"/>
        </w:rPr>
        <w:t xml:space="preserve">. </w:t>
      </w:r>
    </w:p>
    <w:p w14:paraId="62CA3B20" w14:textId="77777777" w:rsidR="00A35F34" w:rsidRPr="008A2F1A" w:rsidRDefault="00A35F34" w:rsidP="008A2F1A">
      <w:pPr>
        <w:spacing w:after="0" w:line="360" w:lineRule="auto"/>
        <w:ind w:left="720" w:hanging="720"/>
        <w:jc w:val="both"/>
        <w:rPr>
          <w:rFonts w:ascii="Arial" w:eastAsia="Times New Roman" w:hAnsi="Arial" w:cs="Arial"/>
          <w:kern w:val="0"/>
          <w:szCs w:val="24"/>
          <w:lang w:val="en-GB" w:eastAsia="en-GB"/>
          <w14:ligatures w14:val="none"/>
        </w:rPr>
      </w:pPr>
      <w:r w:rsidRPr="008A2F1A">
        <w:rPr>
          <w:rFonts w:ascii="Arial" w:eastAsia="Times New Roman" w:hAnsi="Arial" w:cs="Arial"/>
          <w:kern w:val="0"/>
          <w:szCs w:val="24"/>
          <w:lang w:val="en-GB" w:eastAsia="en-GB"/>
          <w14:ligatures w14:val="none"/>
        </w:rPr>
        <w:t xml:space="preserve">Getz, D., &amp; Page, S. J. (2016). </w:t>
      </w:r>
      <w:r w:rsidRPr="008A2F1A">
        <w:rPr>
          <w:rFonts w:ascii="Arial" w:eastAsia="Times New Roman" w:hAnsi="Arial" w:cs="Arial"/>
          <w:i/>
          <w:iCs/>
          <w:kern w:val="0"/>
          <w:szCs w:val="24"/>
          <w:lang w:val="en-GB" w:eastAsia="en-GB"/>
          <w14:ligatures w14:val="none"/>
        </w:rPr>
        <w:t xml:space="preserve">Event studies: Theory, </w:t>
      </w:r>
      <w:proofErr w:type="gramStart"/>
      <w:r w:rsidRPr="008A2F1A">
        <w:rPr>
          <w:rFonts w:ascii="Arial" w:eastAsia="Times New Roman" w:hAnsi="Arial" w:cs="Arial"/>
          <w:i/>
          <w:iCs/>
          <w:kern w:val="0"/>
          <w:szCs w:val="24"/>
          <w:lang w:val="en-GB" w:eastAsia="en-GB"/>
          <w14:ligatures w14:val="none"/>
        </w:rPr>
        <w:t>research</w:t>
      </w:r>
      <w:proofErr w:type="gramEnd"/>
      <w:r w:rsidRPr="008A2F1A">
        <w:rPr>
          <w:rFonts w:ascii="Arial" w:eastAsia="Times New Roman" w:hAnsi="Arial" w:cs="Arial"/>
          <w:i/>
          <w:iCs/>
          <w:kern w:val="0"/>
          <w:szCs w:val="24"/>
          <w:lang w:val="en-GB" w:eastAsia="en-GB"/>
          <w14:ligatures w14:val="none"/>
        </w:rPr>
        <w:t xml:space="preserve"> and policy for planned events.</w:t>
      </w:r>
      <w:r w:rsidRPr="008A2F1A">
        <w:rPr>
          <w:rFonts w:ascii="Arial" w:eastAsia="Times New Roman" w:hAnsi="Arial" w:cs="Arial"/>
          <w:kern w:val="0"/>
          <w:szCs w:val="24"/>
          <w:lang w:val="en-GB" w:eastAsia="en-GB"/>
          <w14:ligatures w14:val="none"/>
        </w:rPr>
        <w:t xml:space="preserve"> Routledge.</w:t>
      </w:r>
    </w:p>
    <w:p w14:paraId="034B2819" w14:textId="7AF2A5DF" w:rsidR="00A35F34" w:rsidRPr="008A2F1A" w:rsidRDefault="00A35F34" w:rsidP="008A2F1A">
      <w:pPr>
        <w:spacing w:after="0" w:line="360" w:lineRule="auto"/>
        <w:ind w:left="720" w:hanging="720"/>
        <w:jc w:val="both"/>
        <w:rPr>
          <w:rFonts w:ascii="Arial" w:eastAsia="Times New Roman" w:hAnsi="Arial" w:cs="Arial"/>
          <w:kern w:val="0"/>
          <w:szCs w:val="24"/>
          <w:lang w:val="en-GB" w:eastAsia="en-GB"/>
          <w14:ligatures w14:val="none"/>
        </w:rPr>
      </w:pPr>
      <w:r w:rsidRPr="008A2F1A">
        <w:rPr>
          <w:rFonts w:ascii="Arial" w:eastAsia="Times New Roman" w:hAnsi="Arial" w:cs="Arial"/>
          <w:kern w:val="0"/>
          <w:szCs w:val="24"/>
          <w:lang w:val="en-GB" w:eastAsia="en-GB"/>
          <w14:ligatures w14:val="none"/>
        </w:rPr>
        <w:t xml:space="preserve">Hazira, M. N., </w:t>
      </w:r>
      <w:proofErr w:type="spellStart"/>
      <w:r w:rsidRPr="008A2F1A">
        <w:rPr>
          <w:rFonts w:ascii="Arial" w:eastAsia="Times New Roman" w:hAnsi="Arial" w:cs="Arial"/>
          <w:kern w:val="0"/>
          <w:szCs w:val="24"/>
          <w:lang w:val="en-GB" w:eastAsia="en-GB"/>
          <w14:ligatures w14:val="none"/>
        </w:rPr>
        <w:t>Alagas</w:t>
      </w:r>
      <w:proofErr w:type="spellEnd"/>
      <w:r w:rsidRPr="008A2F1A">
        <w:rPr>
          <w:rFonts w:ascii="Arial" w:eastAsia="Times New Roman" w:hAnsi="Arial" w:cs="Arial"/>
          <w:kern w:val="0"/>
          <w:szCs w:val="24"/>
          <w:lang w:val="en-GB" w:eastAsia="en-GB"/>
          <w14:ligatures w14:val="none"/>
        </w:rPr>
        <w:t xml:space="preserve">, E. N., Amin, M., </w:t>
      </w:r>
      <w:proofErr w:type="spellStart"/>
      <w:r w:rsidRPr="008A2F1A">
        <w:rPr>
          <w:rFonts w:ascii="Arial" w:eastAsia="Times New Roman" w:hAnsi="Arial" w:cs="Arial"/>
          <w:kern w:val="0"/>
          <w:szCs w:val="24"/>
          <w:lang w:val="en-GB" w:eastAsia="en-GB"/>
          <w14:ligatures w14:val="none"/>
        </w:rPr>
        <w:t>Zamzuri</w:t>
      </w:r>
      <w:proofErr w:type="spellEnd"/>
      <w:r w:rsidRPr="008A2F1A">
        <w:rPr>
          <w:rFonts w:ascii="Arial" w:eastAsia="Times New Roman" w:hAnsi="Arial" w:cs="Arial"/>
          <w:kern w:val="0"/>
          <w:szCs w:val="24"/>
          <w:lang w:val="en-GB" w:eastAsia="en-GB"/>
          <w14:ligatures w14:val="none"/>
        </w:rPr>
        <w:t xml:space="preserve">, N. H., &amp; </w:t>
      </w:r>
      <w:proofErr w:type="spellStart"/>
      <w:r w:rsidRPr="008A2F1A">
        <w:rPr>
          <w:rFonts w:ascii="Arial" w:eastAsia="Times New Roman" w:hAnsi="Arial" w:cs="Arial"/>
          <w:kern w:val="0"/>
          <w:szCs w:val="24"/>
          <w:lang w:val="en-GB" w:eastAsia="en-GB"/>
          <w14:ligatures w14:val="none"/>
        </w:rPr>
        <w:t>Zairul</w:t>
      </w:r>
      <w:proofErr w:type="spellEnd"/>
      <w:r w:rsidRPr="008A2F1A">
        <w:rPr>
          <w:rFonts w:ascii="Arial" w:eastAsia="Times New Roman" w:hAnsi="Arial" w:cs="Arial"/>
          <w:kern w:val="0"/>
          <w:szCs w:val="24"/>
          <w:lang w:val="en-GB" w:eastAsia="en-GB"/>
          <w14:ligatures w14:val="none"/>
        </w:rPr>
        <w:t xml:space="preserve">, M. M. (2021). The best practice of marketing strategies for the Malaysian business event industry from experts’ perspective. </w:t>
      </w:r>
      <w:r w:rsidRPr="008A2F1A">
        <w:rPr>
          <w:rFonts w:ascii="Arial" w:eastAsia="Times New Roman" w:hAnsi="Arial" w:cs="Arial"/>
          <w:i/>
          <w:iCs/>
          <w:kern w:val="0"/>
          <w:szCs w:val="24"/>
          <w:lang w:val="en-GB" w:eastAsia="en-GB"/>
          <w14:ligatures w14:val="none"/>
        </w:rPr>
        <w:t>Journal of Hospitality and Tourism Insights</w:t>
      </w:r>
      <w:r w:rsidRPr="008A2F1A">
        <w:rPr>
          <w:rFonts w:ascii="Arial" w:eastAsia="Times New Roman" w:hAnsi="Arial" w:cs="Arial"/>
          <w:kern w:val="0"/>
          <w:szCs w:val="24"/>
          <w:lang w:val="en-GB" w:eastAsia="en-GB"/>
          <w14:ligatures w14:val="none"/>
        </w:rPr>
        <w:t xml:space="preserve">, </w:t>
      </w:r>
      <w:r w:rsidRPr="008A2F1A">
        <w:rPr>
          <w:rFonts w:ascii="Arial" w:eastAsia="Times New Roman" w:hAnsi="Arial" w:cs="Arial"/>
          <w:i/>
          <w:iCs/>
          <w:kern w:val="0"/>
          <w:szCs w:val="24"/>
          <w:lang w:val="en-GB" w:eastAsia="en-GB"/>
          <w14:ligatures w14:val="none"/>
        </w:rPr>
        <w:t>ahead-of-print</w:t>
      </w:r>
      <w:r w:rsidRPr="008A2F1A">
        <w:rPr>
          <w:rFonts w:ascii="Arial" w:eastAsia="Times New Roman" w:hAnsi="Arial" w:cs="Arial"/>
          <w:kern w:val="0"/>
          <w:szCs w:val="24"/>
          <w:lang w:val="en-GB" w:eastAsia="en-GB"/>
          <w14:ligatures w14:val="none"/>
        </w:rPr>
        <w:t xml:space="preserve">(ahead-of-print). </w:t>
      </w:r>
      <w:hyperlink r:id="rId11" w:history="1">
        <w:r w:rsidR="00290705" w:rsidRPr="004E75CE">
          <w:rPr>
            <w:rStyle w:val="Hyperlink"/>
            <w:rFonts w:ascii="Arial" w:eastAsia="Times New Roman" w:hAnsi="Arial" w:cs="Arial"/>
            <w:kern w:val="0"/>
            <w:szCs w:val="24"/>
            <w:lang w:val="en-GB" w:eastAsia="en-GB"/>
            <w14:ligatures w14:val="none"/>
          </w:rPr>
          <w:t>https://doi.org/10.1108/jhti-09-2020-0178</w:t>
        </w:r>
      </w:hyperlink>
      <w:r w:rsidR="00290705">
        <w:rPr>
          <w:rFonts w:ascii="Arial" w:eastAsia="Times New Roman" w:hAnsi="Arial" w:cs="Arial"/>
          <w:kern w:val="0"/>
          <w:szCs w:val="24"/>
          <w:lang w:val="en-GB" w:eastAsia="en-GB"/>
          <w14:ligatures w14:val="none"/>
        </w:rPr>
        <w:t xml:space="preserve">. </w:t>
      </w:r>
    </w:p>
    <w:p w14:paraId="754E0904" w14:textId="77777777" w:rsidR="00A35F34" w:rsidRPr="008A2F1A" w:rsidRDefault="00A35F34" w:rsidP="008A2F1A">
      <w:pPr>
        <w:spacing w:after="0" w:line="360" w:lineRule="auto"/>
        <w:ind w:left="720" w:hanging="720"/>
        <w:jc w:val="both"/>
        <w:rPr>
          <w:rFonts w:ascii="Arial" w:eastAsia="Times New Roman" w:hAnsi="Arial" w:cs="Arial"/>
          <w:kern w:val="0"/>
          <w:szCs w:val="24"/>
          <w:lang w:val="en-GB" w:eastAsia="en-GB"/>
          <w14:ligatures w14:val="none"/>
        </w:rPr>
      </w:pPr>
      <w:r w:rsidRPr="008A2F1A">
        <w:rPr>
          <w:rFonts w:ascii="Arial" w:eastAsia="Times New Roman" w:hAnsi="Arial" w:cs="Arial"/>
          <w:kern w:val="0"/>
          <w:szCs w:val="24"/>
          <w:lang w:val="en-GB" w:eastAsia="en-GB"/>
          <w14:ligatures w14:val="none"/>
        </w:rPr>
        <w:t xml:space="preserve">Head, B. W. (2022). </w:t>
      </w:r>
      <w:r w:rsidRPr="008A2F1A">
        <w:rPr>
          <w:rFonts w:ascii="Arial" w:eastAsia="Times New Roman" w:hAnsi="Arial" w:cs="Arial"/>
          <w:i/>
          <w:iCs/>
          <w:kern w:val="0"/>
          <w:szCs w:val="24"/>
          <w:lang w:val="en-GB" w:eastAsia="en-GB"/>
          <w14:ligatures w14:val="none"/>
        </w:rPr>
        <w:t xml:space="preserve">Wicked Problems in Public </w:t>
      </w:r>
      <w:proofErr w:type="gramStart"/>
      <w:r w:rsidRPr="008A2F1A">
        <w:rPr>
          <w:rFonts w:ascii="Arial" w:eastAsia="Times New Roman" w:hAnsi="Arial" w:cs="Arial"/>
          <w:i/>
          <w:iCs/>
          <w:kern w:val="0"/>
          <w:szCs w:val="24"/>
          <w:lang w:val="en-GB" w:eastAsia="en-GB"/>
          <w14:ligatures w14:val="none"/>
        </w:rPr>
        <w:t>Policy :</w:t>
      </w:r>
      <w:proofErr w:type="gramEnd"/>
      <w:r w:rsidRPr="008A2F1A">
        <w:rPr>
          <w:rFonts w:ascii="Arial" w:eastAsia="Times New Roman" w:hAnsi="Arial" w:cs="Arial"/>
          <w:i/>
          <w:iCs/>
          <w:kern w:val="0"/>
          <w:szCs w:val="24"/>
          <w:lang w:val="en-GB" w:eastAsia="en-GB"/>
          <w14:ligatures w14:val="none"/>
        </w:rPr>
        <w:t xml:space="preserve"> Understanding and Responding to Complex Challenges.</w:t>
      </w:r>
      <w:r w:rsidRPr="008A2F1A">
        <w:rPr>
          <w:rFonts w:ascii="Arial" w:eastAsia="Times New Roman" w:hAnsi="Arial" w:cs="Arial"/>
          <w:kern w:val="0"/>
          <w:szCs w:val="24"/>
          <w:lang w:val="en-GB" w:eastAsia="en-GB"/>
          <w14:ligatures w14:val="none"/>
        </w:rPr>
        <w:t xml:space="preserve"> Springer International Publishing Ag.</w:t>
      </w:r>
    </w:p>
    <w:p w14:paraId="4DBCD8AA" w14:textId="68FD25B4" w:rsidR="00A35F34" w:rsidRPr="008A2F1A" w:rsidRDefault="00A35F34" w:rsidP="008A2F1A">
      <w:pPr>
        <w:spacing w:after="0" w:line="360" w:lineRule="auto"/>
        <w:ind w:left="720" w:hanging="720"/>
        <w:jc w:val="both"/>
        <w:rPr>
          <w:rFonts w:ascii="Arial" w:eastAsia="Times New Roman" w:hAnsi="Arial" w:cs="Arial"/>
          <w:kern w:val="0"/>
          <w:szCs w:val="24"/>
          <w:lang w:val="en-GB" w:eastAsia="en-GB"/>
          <w14:ligatures w14:val="none"/>
        </w:rPr>
      </w:pPr>
      <w:r w:rsidRPr="008A2F1A">
        <w:rPr>
          <w:rFonts w:ascii="Arial" w:eastAsia="Times New Roman" w:hAnsi="Arial" w:cs="Arial"/>
          <w:kern w:val="0"/>
          <w:szCs w:val="24"/>
          <w:lang w:val="en-GB" w:eastAsia="en-GB"/>
          <w14:ligatures w14:val="none"/>
        </w:rPr>
        <w:t xml:space="preserve">Hoang, A. T., Pham, V. V., &amp; Nguyen, X. P. (2021). Integrating renewable sources into energy system for smart city as a sagacious strategy towards clean and sustainable process. </w:t>
      </w:r>
      <w:r w:rsidRPr="008A2F1A">
        <w:rPr>
          <w:rFonts w:ascii="Arial" w:eastAsia="Times New Roman" w:hAnsi="Arial" w:cs="Arial"/>
          <w:i/>
          <w:iCs/>
          <w:kern w:val="0"/>
          <w:szCs w:val="24"/>
          <w:lang w:val="en-GB" w:eastAsia="en-GB"/>
          <w14:ligatures w14:val="none"/>
        </w:rPr>
        <w:t>Journal of Cleaner Production</w:t>
      </w:r>
      <w:r w:rsidRPr="008A2F1A">
        <w:rPr>
          <w:rFonts w:ascii="Arial" w:eastAsia="Times New Roman" w:hAnsi="Arial" w:cs="Arial"/>
          <w:kern w:val="0"/>
          <w:szCs w:val="24"/>
          <w:lang w:val="en-GB" w:eastAsia="en-GB"/>
          <w14:ligatures w14:val="none"/>
        </w:rPr>
        <w:t xml:space="preserve">, </w:t>
      </w:r>
      <w:r w:rsidRPr="008A2F1A">
        <w:rPr>
          <w:rFonts w:ascii="Arial" w:eastAsia="Times New Roman" w:hAnsi="Arial" w:cs="Arial"/>
          <w:i/>
          <w:iCs/>
          <w:kern w:val="0"/>
          <w:szCs w:val="24"/>
          <w:lang w:val="en-GB" w:eastAsia="en-GB"/>
          <w14:ligatures w14:val="none"/>
        </w:rPr>
        <w:t>305</w:t>
      </w:r>
      <w:r w:rsidRPr="008A2F1A">
        <w:rPr>
          <w:rFonts w:ascii="Arial" w:eastAsia="Times New Roman" w:hAnsi="Arial" w:cs="Arial"/>
          <w:kern w:val="0"/>
          <w:szCs w:val="24"/>
          <w:lang w:val="en-GB" w:eastAsia="en-GB"/>
          <w14:ligatures w14:val="none"/>
        </w:rPr>
        <w:t xml:space="preserve">, 127161. </w:t>
      </w:r>
      <w:hyperlink r:id="rId12" w:history="1">
        <w:r w:rsidR="00290705" w:rsidRPr="004E75CE">
          <w:rPr>
            <w:rStyle w:val="Hyperlink"/>
            <w:rFonts w:ascii="Arial" w:eastAsia="Times New Roman" w:hAnsi="Arial" w:cs="Arial"/>
            <w:kern w:val="0"/>
            <w:szCs w:val="24"/>
            <w:lang w:val="en-GB" w:eastAsia="en-GB"/>
            <w14:ligatures w14:val="none"/>
          </w:rPr>
          <w:t>https://doi.org/10.1016/j.jclepro.2021.127161</w:t>
        </w:r>
      </w:hyperlink>
      <w:r w:rsidR="00290705">
        <w:rPr>
          <w:rFonts w:ascii="Arial" w:eastAsia="Times New Roman" w:hAnsi="Arial" w:cs="Arial"/>
          <w:kern w:val="0"/>
          <w:szCs w:val="24"/>
          <w:lang w:val="en-GB" w:eastAsia="en-GB"/>
          <w14:ligatures w14:val="none"/>
        </w:rPr>
        <w:t xml:space="preserve">. </w:t>
      </w:r>
    </w:p>
    <w:p w14:paraId="60D0C60D" w14:textId="08F6FB86" w:rsidR="00A35F34" w:rsidRPr="008A2F1A" w:rsidRDefault="00A35F34" w:rsidP="008A2F1A">
      <w:pPr>
        <w:spacing w:after="0" w:line="360" w:lineRule="auto"/>
        <w:ind w:left="720" w:hanging="720"/>
        <w:jc w:val="both"/>
        <w:rPr>
          <w:rFonts w:ascii="Arial" w:eastAsia="Times New Roman" w:hAnsi="Arial" w:cs="Arial"/>
          <w:kern w:val="0"/>
          <w:szCs w:val="24"/>
          <w:lang w:val="en-GB" w:eastAsia="en-GB"/>
          <w14:ligatures w14:val="none"/>
        </w:rPr>
      </w:pPr>
      <w:r w:rsidRPr="008A2F1A">
        <w:rPr>
          <w:rFonts w:ascii="Arial" w:eastAsia="Times New Roman" w:hAnsi="Arial" w:cs="Arial"/>
          <w:kern w:val="0"/>
          <w:szCs w:val="24"/>
          <w:lang w:val="en-GB" w:eastAsia="en-GB"/>
          <w14:ligatures w14:val="none"/>
        </w:rPr>
        <w:t xml:space="preserve">Jiang, H., &amp; BI, C. (2022). A Study of Strategic Planning of MICE Tourism in Khon Kaen based on SWOT Analysis. </w:t>
      </w:r>
      <w:proofErr w:type="spellStart"/>
      <w:r w:rsidRPr="008A2F1A">
        <w:rPr>
          <w:rFonts w:ascii="Arial" w:eastAsia="Times New Roman" w:hAnsi="Arial" w:cs="Arial"/>
          <w:i/>
          <w:iCs/>
          <w:kern w:val="0"/>
          <w:szCs w:val="24"/>
          <w:lang w:val="en-GB" w:eastAsia="en-GB"/>
          <w14:ligatures w14:val="none"/>
        </w:rPr>
        <w:t>Technium</w:t>
      </w:r>
      <w:proofErr w:type="spellEnd"/>
      <w:r w:rsidRPr="008A2F1A">
        <w:rPr>
          <w:rFonts w:ascii="Arial" w:eastAsia="Times New Roman" w:hAnsi="Arial" w:cs="Arial"/>
          <w:i/>
          <w:iCs/>
          <w:kern w:val="0"/>
          <w:szCs w:val="24"/>
          <w:lang w:val="en-GB" w:eastAsia="en-GB"/>
          <w14:ligatures w14:val="none"/>
        </w:rPr>
        <w:t xml:space="preserve"> Social Sciences Journal</w:t>
      </w:r>
      <w:r w:rsidRPr="008A2F1A">
        <w:rPr>
          <w:rFonts w:ascii="Arial" w:eastAsia="Times New Roman" w:hAnsi="Arial" w:cs="Arial"/>
          <w:kern w:val="0"/>
          <w:szCs w:val="24"/>
          <w:lang w:val="en-GB" w:eastAsia="en-GB"/>
          <w14:ligatures w14:val="none"/>
        </w:rPr>
        <w:t xml:space="preserve">, </w:t>
      </w:r>
      <w:r w:rsidRPr="008A2F1A">
        <w:rPr>
          <w:rFonts w:ascii="Arial" w:eastAsia="Times New Roman" w:hAnsi="Arial" w:cs="Arial"/>
          <w:i/>
          <w:iCs/>
          <w:kern w:val="0"/>
          <w:szCs w:val="24"/>
          <w:lang w:val="en-GB" w:eastAsia="en-GB"/>
          <w14:ligatures w14:val="none"/>
        </w:rPr>
        <w:t>38</w:t>
      </w:r>
      <w:r w:rsidRPr="008A2F1A">
        <w:rPr>
          <w:rFonts w:ascii="Arial" w:eastAsia="Times New Roman" w:hAnsi="Arial" w:cs="Arial"/>
          <w:kern w:val="0"/>
          <w:szCs w:val="24"/>
          <w:lang w:val="en-GB" w:eastAsia="en-GB"/>
          <w14:ligatures w14:val="none"/>
        </w:rPr>
        <w:t xml:space="preserve">, 493–501. </w:t>
      </w:r>
      <w:hyperlink r:id="rId13" w:history="1">
        <w:r w:rsidR="00290705" w:rsidRPr="004E75CE">
          <w:rPr>
            <w:rStyle w:val="Hyperlink"/>
            <w:rFonts w:ascii="Arial" w:eastAsia="Times New Roman" w:hAnsi="Arial" w:cs="Arial"/>
            <w:kern w:val="0"/>
            <w:szCs w:val="24"/>
            <w:lang w:val="en-GB" w:eastAsia="en-GB"/>
            <w14:ligatures w14:val="none"/>
          </w:rPr>
          <w:t>https://doi.org/10.47577/tssj.v38i1.7882</w:t>
        </w:r>
      </w:hyperlink>
      <w:r w:rsidR="00290705">
        <w:rPr>
          <w:rFonts w:ascii="Arial" w:eastAsia="Times New Roman" w:hAnsi="Arial" w:cs="Arial"/>
          <w:kern w:val="0"/>
          <w:szCs w:val="24"/>
          <w:lang w:val="en-GB" w:eastAsia="en-GB"/>
          <w14:ligatures w14:val="none"/>
        </w:rPr>
        <w:t xml:space="preserve">. </w:t>
      </w:r>
    </w:p>
    <w:p w14:paraId="444AC7D3" w14:textId="3135A245" w:rsidR="00A35F34" w:rsidRPr="008A2F1A" w:rsidRDefault="00A35F34" w:rsidP="008A2F1A">
      <w:pPr>
        <w:spacing w:after="0" w:line="360" w:lineRule="auto"/>
        <w:ind w:left="720" w:hanging="720"/>
        <w:jc w:val="both"/>
        <w:rPr>
          <w:rFonts w:ascii="Arial" w:eastAsia="Times New Roman" w:hAnsi="Arial" w:cs="Arial"/>
          <w:kern w:val="0"/>
          <w:szCs w:val="24"/>
          <w:lang w:val="en-GB" w:eastAsia="en-GB"/>
          <w14:ligatures w14:val="none"/>
        </w:rPr>
      </w:pPr>
      <w:r w:rsidRPr="008A2F1A">
        <w:rPr>
          <w:rFonts w:ascii="Arial" w:eastAsia="Times New Roman" w:hAnsi="Arial" w:cs="Arial"/>
          <w:kern w:val="0"/>
          <w:szCs w:val="24"/>
          <w:lang w:val="en-GB" w:eastAsia="en-GB"/>
          <w14:ligatures w14:val="none"/>
        </w:rPr>
        <w:t xml:space="preserve">Kim, Y. (2021). Crisis Management Strategy for the Korean MICE Industry Using SWOT-AHP-TOWS Analysis. </w:t>
      </w:r>
      <w:r w:rsidRPr="008A2F1A">
        <w:rPr>
          <w:rFonts w:ascii="Arial" w:eastAsia="Times New Roman" w:hAnsi="Arial" w:cs="Arial"/>
          <w:i/>
          <w:iCs/>
          <w:kern w:val="0"/>
          <w:szCs w:val="24"/>
          <w:lang w:val="en-GB" w:eastAsia="en-GB"/>
          <w14:ligatures w14:val="none"/>
        </w:rPr>
        <w:t>Journal of Korea Trade</w:t>
      </w:r>
      <w:r w:rsidRPr="008A2F1A">
        <w:rPr>
          <w:rFonts w:ascii="Arial" w:eastAsia="Times New Roman" w:hAnsi="Arial" w:cs="Arial"/>
          <w:kern w:val="0"/>
          <w:szCs w:val="24"/>
          <w:lang w:val="en-GB" w:eastAsia="en-GB"/>
          <w14:ligatures w14:val="none"/>
        </w:rPr>
        <w:t xml:space="preserve">, </w:t>
      </w:r>
      <w:r w:rsidRPr="008A2F1A">
        <w:rPr>
          <w:rFonts w:ascii="Arial" w:eastAsia="Times New Roman" w:hAnsi="Arial" w:cs="Arial"/>
          <w:i/>
          <w:iCs/>
          <w:kern w:val="0"/>
          <w:szCs w:val="24"/>
          <w:lang w:val="en-GB" w:eastAsia="en-GB"/>
          <w14:ligatures w14:val="none"/>
        </w:rPr>
        <w:t>25</w:t>
      </w:r>
      <w:r w:rsidRPr="008A2F1A">
        <w:rPr>
          <w:rFonts w:ascii="Arial" w:eastAsia="Times New Roman" w:hAnsi="Arial" w:cs="Arial"/>
          <w:kern w:val="0"/>
          <w:szCs w:val="24"/>
          <w:lang w:val="en-GB" w:eastAsia="en-GB"/>
          <w14:ligatures w14:val="none"/>
        </w:rPr>
        <w:t xml:space="preserve">(6), 34–56. </w:t>
      </w:r>
      <w:hyperlink r:id="rId14" w:history="1">
        <w:r w:rsidR="00290705" w:rsidRPr="004E75CE">
          <w:rPr>
            <w:rStyle w:val="Hyperlink"/>
            <w:rFonts w:ascii="Arial" w:eastAsia="Times New Roman" w:hAnsi="Arial" w:cs="Arial"/>
            <w:kern w:val="0"/>
            <w:szCs w:val="24"/>
            <w:lang w:val="en-GB" w:eastAsia="en-GB"/>
            <w14:ligatures w14:val="none"/>
          </w:rPr>
          <w:t>https://doi.org/10.35611/jkt.2021.25.6.34</w:t>
        </w:r>
      </w:hyperlink>
      <w:r w:rsidR="00290705">
        <w:rPr>
          <w:rFonts w:ascii="Arial" w:eastAsia="Times New Roman" w:hAnsi="Arial" w:cs="Arial"/>
          <w:kern w:val="0"/>
          <w:szCs w:val="24"/>
          <w:lang w:val="en-GB" w:eastAsia="en-GB"/>
          <w14:ligatures w14:val="none"/>
        </w:rPr>
        <w:t xml:space="preserve">. </w:t>
      </w:r>
    </w:p>
    <w:p w14:paraId="03E0C119" w14:textId="583B1AAE" w:rsidR="00A35F34" w:rsidRPr="008A2F1A" w:rsidRDefault="00A35F34" w:rsidP="008A2F1A">
      <w:pPr>
        <w:spacing w:after="0" w:line="360" w:lineRule="auto"/>
        <w:ind w:left="720" w:hanging="720"/>
        <w:jc w:val="both"/>
        <w:rPr>
          <w:rFonts w:ascii="Arial" w:eastAsia="Times New Roman" w:hAnsi="Arial" w:cs="Arial"/>
          <w:kern w:val="0"/>
          <w:szCs w:val="24"/>
          <w:lang w:val="en-GB" w:eastAsia="en-GB"/>
          <w14:ligatures w14:val="none"/>
        </w:rPr>
      </w:pPr>
      <w:proofErr w:type="spellStart"/>
      <w:r w:rsidRPr="008A2F1A">
        <w:rPr>
          <w:rFonts w:ascii="Arial" w:eastAsia="Times New Roman" w:hAnsi="Arial" w:cs="Arial"/>
          <w:kern w:val="0"/>
          <w:szCs w:val="24"/>
          <w:lang w:val="en-GB" w:eastAsia="en-GB"/>
          <w14:ligatures w14:val="none"/>
        </w:rPr>
        <w:lastRenderedPageBreak/>
        <w:t>Kumarasiri</w:t>
      </w:r>
      <w:proofErr w:type="spellEnd"/>
      <w:r w:rsidRPr="008A2F1A">
        <w:rPr>
          <w:rFonts w:ascii="Arial" w:eastAsia="Times New Roman" w:hAnsi="Arial" w:cs="Arial"/>
          <w:kern w:val="0"/>
          <w:szCs w:val="24"/>
          <w:lang w:val="en-GB" w:eastAsia="en-GB"/>
          <w14:ligatures w14:val="none"/>
        </w:rPr>
        <w:t xml:space="preserve">, B., &amp; Dissanayake, P. (2020). Barriers to implementing waste-to-energy projects in Sri Lanka: a PESTEL analysis. </w:t>
      </w:r>
      <w:r w:rsidRPr="008A2F1A">
        <w:rPr>
          <w:rFonts w:ascii="Arial" w:eastAsia="Times New Roman" w:hAnsi="Arial" w:cs="Arial"/>
          <w:i/>
          <w:iCs/>
          <w:kern w:val="0"/>
          <w:szCs w:val="24"/>
          <w:lang w:val="en-GB" w:eastAsia="en-GB"/>
          <w14:ligatures w14:val="none"/>
        </w:rPr>
        <w:t>Built Environment Project and Asset Management</w:t>
      </w:r>
      <w:r w:rsidRPr="008A2F1A">
        <w:rPr>
          <w:rFonts w:ascii="Arial" w:eastAsia="Times New Roman" w:hAnsi="Arial" w:cs="Arial"/>
          <w:kern w:val="0"/>
          <w:szCs w:val="24"/>
          <w:lang w:val="en-GB" w:eastAsia="en-GB"/>
          <w14:ligatures w14:val="none"/>
        </w:rPr>
        <w:t xml:space="preserve">, </w:t>
      </w:r>
      <w:r w:rsidRPr="008A2F1A">
        <w:rPr>
          <w:rFonts w:ascii="Arial" w:eastAsia="Times New Roman" w:hAnsi="Arial" w:cs="Arial"/>
          <w:i/>
          <w:iCs/>
          <w:kern w:val="0"/>
          <w:szCs w:val="24"/>
          <w:lang w:val="en-GB" w:eastAsia="en-GB"/>
          <w14:ligatures w14:val="none"/>
        </w:rPr>
        <w:t>ahead-of-print</w:t>
      </w:r>
      <w:r w:rsidRPr="008A2F1A">
        <w:rPr>
          <w:rFonts w:ascii="Arial" w:eastAsia="Times New Roman" w:hAnsi="Arial" w:cs="Arial"/>
          <w:kern w:val="0"/>
          <w:szCs w:val="24"/>
          <w:lang w:val="en-GB" w:eastAsia="en-GB"/>
          <w14:ligatures w14:val="none"/>
        </w:rPr>
        <w:t xml:space="preserve">(ahead-of-print). </w:t>
      </w:r>
      <w:hyperlink r:id="rId15" w:history="1">
        <w:r w:rsidR="00290705" w:rsidRPr="004E75CE">
          <w:rPr>
            <w:rStyle w:val="Hyperlink"/>
            <w:rFonts w:ascii="Arial" w:eastAsia="Times New Roman" w:hAnsi="Arial" w:cs="Arial"/>
            <w:kern w:val="0"/>
            <w:szCs w:val="24"/>
            <w:lang w:val="en-GB" w:eastAsia="en-GB"/>
            <w14:ligatures w14:val="none"/>
          </w:rPr>
          <w:t>https://doi.org/10.1108/bepam-03-2020-0051</w:t>
        </w:r>
      </w:hyperlink>
      <w:r w:rsidR="00290705">
        <w:rPr>
          <w:rFonts w:ascii="Arial" w:eastAsia="Times New Roman" w:hAnsi="Arial" w:cs="Arial"/>
          <w:kern w:val="0"/>
          <w:szCs w:val="24"/>
          <w:lang w:val="en-GB" w:eastAsia="en-GB"/>
          <w14:ligatures w14:val="none"/>
        </w:rPr>
        <w:t xml:space="preserve">. </w:t>
      </w:r>
    </w:p>
    <w:p w14:paraId="605C8E95" w14:textId="537E5D9B" w:rsidR="00A35F34" w:rsidRPr="008A2F1A" w:rsidRDefault="00A35F34" w:rsidP="008A2F1A">
      <w:pPr>
        <w:spacing w:after="0" w:line="360" w:lineRule="auto"/>
        <w:ind w:left="720" w:hanging="720"/>
        <w:jc w:val="both"/>
        <w:rPr>
          <w:rFonts w:ascii="Arial" w:eastAsia="Times New Roman" w:hAnsi="Arial" w:cs="Arial"/>
          <w:kern w:val="0"/>
          <w:szCs w:val="24"/>
          <w:lang w:val="en-GB" w:eastAsia="en-GB"/>
          <w14:ligatures w14:val="none"/>
        </w:rPr>
      </w:pPr>
      <w:r w:rsidRPr="008A2F1A">
        <w:rPr>
          <w:rFonts w:ascii="Arial" w:eastAsia="Times New Roman" w:hAnsi="Arial" w:cs="Arial"/>
          <w:kern w:val="0"/>
          <w:szCs w:val="24"/>
          <w:lang w:val="en-GB" w:eastAsia="en-GB"/>
          <w14:ligatures w14:val="none"/>
        </w:rPr>
        <w:t xml:space="preserve">Legrand, W., Chen, J. S., &amp; </w:t>
      </w:r>
      <w:proofErr w:type="spellStart"/>
      <w:r w:rsidRPr="008A2F1A">
        <w:rPr>
          <w:rFonts w:ascii="Arial" w:eastAsia="Times New Roman" w:hAnsi="Arial" w:cs="Arial"/>
          <w:kern w:val="0"/>
          <w:szCs w:val="24"/>
          <w:lang w:val="en-GB" w:eastAsia="en-GB"/>
          <w14:ligatures w14:val="none"/>
        </w:rPr>
        <w:t>Laeis</w:t>
      </w:r>
      <w:proofErr w:type="spellEnd"/>
      <w:r w:rsidRPr="008A2F1A">
        <w:rPr>
          <w:rFonts w:ascii="Arial" w:eastAsia="Times New Roman" w:hAnsi="Arial" w:cs="Arial"/>
          <w:kern w:val="0"/>
          <w:szCs w:val="24"/>
          <w:lang w:val="en-GB" w:eastAsia="en-GB"/>
          <w14:ligatures w14:val="none"/>
        </w:rPr>
        <w:t xml:space="preserve">, G. C. M. (2022). Sustainability in the Hospitality Industry: Principles of Sustainable Operations. In </w:t>
      </w:r>
      <w:r w:rsidRPr="008A2F1A">
        <w:rPr>
          <w:rFonts w:ascii="Arial" w:eastAsia="Times New Roman" w:hAnsi="Arial" w:cs="Arial"/>
          <w:i/>
          <w:iCs/>
          <w:kern w:val="0"/>
          <w:szCs w:val="24"/>
          <w:lang w:val="en-GB" w:eastAsia="en-GB"/>
          <w14:ligatures w14:val="none"/>
        </w:rPr>
        <w:t>Google Books</w:t>
      </w:r>
      <w:r w:rsidRPr="008A2F1A">
        <w:rPr>
          <w:rFonts w:ascii="Arial" w:eastAsia="Times New Roman" w:hAnsi="Arial" w:cs="Arial"/>
          <w:kern w:val="0"/>
          <w:szCs w:val="24"/>
          <w:lang w:val="en-GB" w:eastAsia="en-GB"/>
          <w14:ligatures w14:val="none"/>
        </w:rPr>
        <w:t xml:space="preserve">. Taylor &amp; Francis. </w:t>
      </w:r>
      <w:hyperlink r:id="rId16" w:history="1">
        <w:r w:rsidR="00290705" w:rsidRPr="004E75CE">
          <w:rPr>
            <w:rStyle w:val="Hyperlink"/>
            <w:rFonts w:ascii="Arial" w:eastAsia="Times New Roman" w:hAnsi="Arial" w:cs="Arial"/>
            <w:kern w:val="0"/>
            <w:szCs w:val="24"/>
            <w:lang w:val="en-GB" w:eastAsia="en-GB"/>
            <w14:ligatures w14:val="none"/>
          </w:rPr>
          <w:t>https://books.google.com/books?hl=en&amp;lr=&amp;id=NWJ6EAAAQBAJ&amp;oi=fnd&amp;pg=PT19&amp;dq=ustainability+in+hospitality</w:t>
        </w:r>
      </w:hyperlink>
      <w:r w:rsidR="00290705">
        <w:rPr>
          <w:rFonts w:ascii="Arial" w:eastAsia="Times New Roman" w:hAnsi="Arial" w:cs="Arial"/>
          <w:kern w:val="0"/>
          <w:szCs w:val="24"/>
          <w:lang w:val="en-GB" w:eastAsia="en-GB"/>
          <w14:ligatures w14:val="none"/>
        </w:rPr>
        <w:t xml:space="preserve">. </w:t>
      </w:r>
    </w:p>
    <w:p w14:paraId="59D6D44D" w14:textId="3AC0E6FC" w:rsidR="00A35F34" w:rsidRPr="008A2F1A" w:rsidRDefault="00A35F34" w:rsidP="008A2F1A">
      <w:pPr>
        <w:spacing w:after="0" w:line="360" w:lineRule="auto"/>
        <w:ind w:left="720" w:hanging="720"/>
        <w:jc w:val="both"/>
        <w:rPr>
          <w:rFonts w:ascii="Arial" w:eastAsia="Times New Roman" w:hAnsi="Arial" w:cs="Arial"/>
          <w:kern w:val="0"/>
          <w:szCs w:val="24"/>
          <w:lang w:val="en-GB" w:eastAsia="en-GB"/>
          <w14:ligatures w14:val="none"/>
        </w:rPr>
      </w:pPr>
      <w:r w:rsidRPr="008A2F1A">
        <w:rPr>
          <w:rFonts w:ascii="Arial" w:eastAsia="Times New Roman" w:hAnsi="Arial" w:cs="Arial"/>
          <w:kern w:val="0"/>
          <w:szCs w:val="24"/>
          <w:lang w:val="en-GB" w:eastAsia="en-GB"/>
          <w14:ligatures w14:val="none"/>
        </w:rPr>
        <w:t xml:space="preserve">Meredith, J. R., Shafer, S. M., &amp; Jr, S. J. M. (2017). Project Management: A Strategic Managerial Approach. In </w:t>
      </w:r>
      <w:r w:rsidRPr="008A2F1A">
        <w:rPr>
          <w:rFonts w:ascii="Arial" w:eastAsia="Times New Roman" w:hAnsi="Arial" w:cs="Arial"/>
          <w:i/>
          <w:iCs/>
          <w:kern w:val="0"/>
          <w:szCs w:val="24"/>
          <w:lang w:val="en-GB" w:eastAsia="en-GB"/>
          <w14:ligatures w14:val="none"/>
        </w:rPr>
        <w:t>Google Books</w:t>
      </w:r>
      <w:r w:rsidRPr="008A2F1A">
        <w:rPr>
          <w:rFonts w:ascii="Arial" w:eastAsia="Times New Roman" w:hAnsi="Arial" w:cs="Arial"/>
          <w:kern w:val="0"/>
          <w:szCs w:val="24"/>
          <w:lang w:val="en-GB" w:eastAsia="en-GB"/>
          <w14:ligatures w14:val="none"/>
        </w:rPr>
        <w:t xml:space="preserve">. John Wiley &amp; Sons. </w:t>
      </w:r>
      <w:hyperlink r:id="rId17" w:history="1">
        <w:r w:rsidR="00290705" w:rsidRPr="004E75CE">
          <w:rPr>
            <w:rStyle w:val="Hyperlink"/>
            <w:rFonts w:ascii="Arial" w:eastAsia="Times New Roman" w:hAnsi="Arial" w:cs="Arial"/>
            <w:kern w:val="0"/>
            <w:szCs w:val="24"/>
            <w:lang w:val="en-GB" w:eastAsia="en-GB"/>
            <w14:ligatures w14:val="none"/>
          </w:rPr>
          <w:t>https://books.google.com/books?hl=en&amp;lr=&amp;id=ipZXDwAAQBAJ&amp;oi=fnd&amp;pg=PR5&amp;dq=Meredith</w:t>
        </w:r>
      </w:hyperlink>
      <w:r w:rsidR="00290705">
        <w:rPr>
          <w:rFonts w:ascii="Arial" w:eastAsia="Times New Roman" w:hAnsi="Arial" w:cs="Arial"/>
          <w:kern w:val="0"/>
          <w:szCs w:val="24"/>
          <w:lang w:val="en-GB" w:eastAsia="en-GB"/>
          <w14:ligatures w14:val="none"/>
        </w:rPr>
        <w:t xml:space="preserve">. </w:t>
      </w:r>
    </w:p>
    <w:p w14:paraId="219B7693" w14:textId="42274C91" w:rsidR="00A35F34" w:rsidRPr="008A2F1A" w:rsidRDefault="00A35F34" w:rsidP="008A2F1A">
      <w:pPr>
        <w:spacing w:after="0" w:line="360" w:lineRule="auto"/>
        <w:ind w:left="720" w:hanging="720"/>
        <w:jc w:val="both"/>
        <w:rPr>
          <w:rFonts w:ascii="Arial" w:eastAsia="Times New Roman" w:hAnsi="Arial" w:cs="Arial"/>
          <w:kern w:val="0"/>
          <w:szCs w:val="24"/>
          <w:lang w:val="en-GB" w:eastAsia="en-GB"/>
          <w14:ligatures w14:val="none"/>
        </w:rPr>
      </w:pPr>
      <w:r w:rsidRPr="008A2F1A">
        <w:rPr>
          <w:rFonts w:ascii="Arial" w:eastAsia="Times New Roman" w:hAnsi="Arial" w:cs="Arial"/>
          <w:kern w:val="0"/>
          <w:szCs w:val="24"/>
          <w:lang w:val="en-GB" w:eastAsia="en-GB"/>
          <w14:ligatures w14:val="none"/>
        </w:rPr>
        <w:t xml:space="preserve">Mishra, D. K., </w:t>
      </w:r>
      <w:proofErr w:type="spellStart"/>
      <w:r w:rsidRPr="008A2F1A">
        <w:rPr>
          <w:rFonts w:ascii="Arial" w:eastAsia="Times New Roman" w:hAnsi="Arial" w:cs="Arial"/>
          <w:kern w:val="0"/>
          <w:szCs w:val="24"/>
          <w:lang w:val="en-GB" w:eastAsia="en-GB"/>
          <w14:ligatures w14:val="none"/>
        </w:rPr>
        <w:t>Ghadi</w:t>
      </w:r>
      <w:proofErr w:type="spellEnd"/>
      <w:r w:rsidRPr="008A2F1A">
        <w:rPr>
          <w:rFonts w:ascii="Arial" w:eastAsia="Times New Roman" w:hAnsi="Arial" w:cs="Arial"/>
          <w:kern w:val="0"/>
          <w:szCs w:val="24"/>
          <w:lang w:val="en-GB" w:eastAsia="en-GB"/>
          <w14:ligatures w14:val="none"/>
        </w:rPr>
        <w:t xml:space="preserve">, M. J., </w:t>
      </w:r>
      <w:proofErr w:type="spellStart"/>
      <w:r w:rsidRPr="008A2F1A">
        <w:rPr>
          <w:rFonts w:ascii="Arial" w:eastAsia="Times New Roman" w:hAnsi="Arial" w:cs="Arial"/>
          <w:kern w:val="0"/>
          <w:szCs w:val="24"/>
          <w:lang w:val="en-GB" w:eastAsia="en-GB"/>
          <w14:ligatures w14:val="none"/>
        </w:rPr>
        <w:t>Azizivahed</w:t>
      </w:r>
      <w:proofErr w:type="spellEnd"/>
      <w:r w:rsidRPr="008A2F1A">
        <w:rPr>
          <w:rFonts w:ascii="Arial" w:eastAsia="Times New Roman" w:hAnsi="Arial" w:cs="Arial"/>
          <w:kern w:val="0"/>
          <w:szCs w:val="24"/>
          <w:lang w:val="en-GB" w:eastAsia="en-GB"/>
          <w14:ligatures w14:val="none"/>
        </w:rPr>
        <w:t xml:space="preserve">, A., Li, L., &amp; Zhang, J. (2021). A review on resilience studies in active distribution systems. </w:t>
      </w:r>
      <w:r w:rsidRPr="008A2F1A">
        <w:rPr>
          <w:rFonts w:ascii="Arial" w:eastAsia="Times New Roman" w:hAnsi="Arial" w:cs="Arial"/>
          <w:i/>
          <w:iCs/>
          <w:kern w:val="0"/>
          <w:szCs w:val="24"/>
          <w:lang w:val="en-GB" w:eastAsia="en-GB"/>
          <w14:ligatures w14:val="none"/>
        </w:rPr>
        <w:t>Renewable and Sustainable Energy Reviews</w:t>
      </w:r>
      <w:r w:rsidRPr="008A2F1A">
        <w:rPr>
          <w:rFonts w:ascii="Arial" w:eastAsia="Times New Roman" w:hAnsi="Arial" w:cs="Arial"/>
          <w:kern w:val="0"/>
          <w:szCs w:val="24"/>
          <w:lang w:val="en-GB" w:eastAsia="en-GB"/>
          <w14:ligatures w14:val="none"/>
        </w:rPr>
        <w:t xml:space="preserve">, </w:t>
      </w:r>
      <w:r w:rsidRPr="008A2F1A">
        <w:rPr>
          <w:rFonts w:ascii="Arial" w:eastAsia="Times New Roman" w:hAnsi="Arial" w:cs="Arial"/>
          <w:i/>
          <w:iCs/>
          <w:kern w:val="0"/>
          <w:szCs w:val="24"/>
          <w:lang w:val="en-GB" w:eastAsia="en-GB"/>
          <w14:ligatures w14:val="none"/>
        </w:rPr>
        <w:t>135</w:t>
      </w:r>
      <w:r w:rsidRPr="008A2F1A">
        <w:rPr>
          <w:rFonts w:ascii="Arial" w:eastAsia="Times New Roman" w:hAnsi="Arial" w:cs="Arial"/>
          <w:kern w:val="0"/>
          <w:szCs w:val="24"/>
          <w:lang w:val="en-GB" w:eastAsia="en-GB"/>
          <w14:ligatures w14:val="none"/>
        </w:rPr>
        <w:t xml:space="preserve">, 110201. </w:t>
      </w:r>
      <w:hyperlink r:id="rId18" w:history="1">
        <w:r w:rsidR="00290705" w:rsidRPr="004E75CE">
          <w:rPr>
            <w:rStyle w:val="Hyperlink"/>
            <w:rFonts w:ascii="Arial" w:eastAsia="Times New Roman" w:hAnsi="Arial" w:cs="Arial"/>
            <w:kern w:val="0"/>
            <w:szCs w:val="24"/>
            <w:lang w:val="en-GB" w:eastAsia="en-GB"/>
            <w14:ligatures w14:val="none"/>
          </w:rPr>
          <w:t>https://doi.org/10.1016/j.rser.2020.110201</w:t>
        </w:r>
      </w:hyperlink>
      <w:r w:rsidR="00290705">
        <w:rPr>
          <w:rFonts w:ascii="Arial" w:eastAsia="Times New Roman" w:hAnsi="Arial" w:cs="Arial"/>
          <w:kern w:val="0"/>
          <w:szCs w:val="24"/>
          <w:lang w:val="en-GB" w:eastAsia="en-GB"/>
          <w14:ligatures w14:val="none"/>
        </w:rPr>
        <w:t xml:space="preserve">. </w:t>
      </w:r>
    </w:p>
    <w:p w14:paraId="6420AEC1" w14:textId="77777777" w:rsidR="00A35F34" w:rsidRPr="008A2F1A" w:rsidRDefault="00A35F34" w:rsidP="008A2F1A">
      <w:pPr>
        <w:spacing w:after="0" w:line="360" w:lineRule="auto"/>
        <w:ind w:left="720" w:hanging="720"/>
        <w:jc w:val="both"/>
        <w:rPr>
          <w:rFonts w:ascii="Arial" w:eastAsia="Times New Roman" w:hAnsi="Arial" w:cs="Arial"/>
          <w:kern w:val="0"/>
          <w:szCs w:val="24"/>
          <w:lang w:val="en-GB" w:eastAsia="en-GB"/>
          <w14:ligatures w14:val="none"/>
        </w:rPr>
      </w:pPr>
      <w:r w:rsidRPr="008A2F1A">
        <w:rPr>
          <w:rFonts w:ascii="Arial" w:eastAsia="Times New Roman" w:hAnsi="Arial" w:cs="Arial"/>
          <w:kern w:val="0"/>
          <w:szCs w:val="24"/>
          <w:lang w:val="en-GB" w:eastAsia="en-GB"/>
          <w14:ligatures w14:val="none"/>
        </w:rPr>
        <w:t xml:space="preserve">Muhammad Saufi Anas, Nurul Amirah </w:t>
      </w:r>
      <w:proofErr w:type="spellStart"/>
      <w:r w:rsidRPr="008A2F1A">
        <w:rPr>
          <w:rFonts w:ascii="Arial" w:eastAsia="Times New Roman" w:hAnsi="Arial" w:cs="Arial"/>
          <w:kern w:val="0"/>
          <w:szCs w:val="24"/>
          <w:lang w:val="en-GB" w:eastAsia="en-GB"/>
          <w14:ligatures w14:val="none"/>
        </w:rPr>
        <w:t>Maddiah</w:t>
      </w:r>
      <w:proofErr w:type="spellEnd"/>
      <w:r w:rsidRPr="008A2F1A">
        <w:rPr>
          <w:rFonts w:ascii="Arial" w:eastAsia="Times New Roman" w:hAnsi="Arial" w:cs="Arial"/>
          <w:kern w:val="0"/>
          <w:szCs w:val="24"/>
          <w:lang w:val="en-GB" w:eastAsia="en-GB"/>
          <w14:ligatures w14:val="none"/>
        </w:rPr>
        <w:t xml:space="preserve">, E. N. E. Nurin Uzma, </w:t>
      </w:r>
      <w:proofErr w:type="spellStart"/>
      <w:r w:rsidRPr="008A2F1A">
        <w:rPr>
          <w:rFonts w:ascii="Arial" w:eastAsia="Times New Roman" w:hAnsi="Arial" w:cs="Arial"/>
          <w:kern w:val="0"/>
          <w:szCs w:val="24"/>
          <w:lang w:val="en-GB" w:eastAsia="en-GB"/>
          <w14:ligatures w14:val="none"/>
        </w:rPr>
        <w:t>Nadiahtul</w:t>
      </w:r>
      <w:proofErr w:type="spellEnd"/>
      <w:r w:rsidRPr="008A2F1A">
        <w:rPr>
          <w:rFonts w:ascii="Arial" w:eastAsia="Times New Roman" w:hAnsi="Arial" w:cs="Arial"/>
          <w:kern w:val="0"/>
          <w:szCs w:val="24"/>
          <w:lang w:val="en-GB" w:eastAsia="en-GB"/>
          <w14:ligatures w14:val="none"/>
        </w:rPr>
        <w:t xml:space="preserve"> Aisyah Sulaiman, &amp; Wee, H. (2020). Key success factors toward MICE industry: a systematic literature review. </w:t>
      </w:r>
      <w:r w:rsidRPr="008A2F1A">
        <w:rPr>
          <w:rFonts w:ascii="Arial" w:eastAsia="Times New Roman" w:hAnsi="Arial" w:cs="Arial"/>
          <w:i/>
          <w:iCs/>
          <w:kern w:val="0"/>
          <w:szCs w:val="24"/>
          <w:lang w:val="en-GB" w:eastAsia="en-GB"/>
          <w14:ligatures w14:val="none"/>
        </w:rPr>
        <w:t>Journal of Tourism and Hospitality</w:t>
      </w:r>
      <w:r w:rsidRPr="008A2F1A">
        <w:rPr>
          <w:rFonts w:ascii="Arial" w:eastAsia="Times New Roman" w:hAnsi="Arial" w:cs="Arial"/>
          <w:kern w:val="0"/>
          <w:szCs w:val="24"/>
          <w:lang w:val="en-GB" w:eastAsia="en-GB"/>
          <w14:ligatures w14:val="none"/>
        </w:rPr>
        <w:t xml:space="preserve">, </w:t>
      </w:r>
      <w:r w:rsidRPr="008A2F1A">
        <w:rPr>
          <w:rFonts w:ascii="Arial" w:eastAsia="Times New Roman" w:hAnsi="Arial" w:cs="Arial"/>
          <w:i/>
          <w:iCs/>
          <w:kern w:val="0"/>
          <w:szCs w:val="24"/>
          <w:lang w:val="en-GB" w:eastAsia="en-GB"/>
          <w14:ligatures w14:val="none"/>
        </w:rPr>
        <w:t>12</w:t>
      </w:r>
      <w:r w:rsidRPr="008A2F1A">
        <w:rPr>
          <w:rFonts w:ascii="Arial" w:eastAsia="Times New Roman" w:hAnsi="Arial" w:cs="Arial"/>
          <w:kern w:val="0"/>
          <w:szCs w:val="24"/>
          <w:lang w:val="en-GB" w:eastAsia="en-GB"/>
          <w14:ligatures w14:val="none"/>
        </w:rPr>
        <w:t>(1), 188–221.</w:t>
      </w:r>
    </w:p>
    <w:p w14:paraId="54DD1BA5" w14:textId="57D56642" w:rsidR="00A35F34" w:rsidRPr="008A2F1A" w:rsidRDefault="00A35F34" w:rsidP="008A2F1A">
      <w:pPr>
        <w:spacing w:after="0" w:line="360" w:lineRule="auto"/>
        <w:ind w:left="720" w:hanging="720"/>
        <w:jc w:val="both"/>
        <w:rPr>
          <w:rFonts w:ascii="Arial" w:eastAsia="Times New Roman" w:hAnsi="Arial" w:cs="Arial"/>
          <w:kern w:val="0"/>
          <w:szCs w:val="24"/>
          <w:lang w:val="en-GB" w:eastAsia="en-GB"/>
          <w14:ligatures w14:val="none"/>
        </w:rPr>
      </w:pPr>
      <w:r w:rsidRPr="008A2F1A">
        <w:rPr>
          <w:rFonts w:ascii="Arial" w:eastAsia="Times New Roman" w:hAnsi="Arial" w:cs="Arial"/>
          <w:kern w:val="0"/>
          <w:szCs w:val="24"/>
          <w:lang w:val="en-GB" w:eastAsia="en-GB"/>
          <w14:ligatures w14:val="none"/>
        </w:rPr>
        <w:t xml:space="preserve">O’Toole, W. (2010). Events Feasibility and Development. In </w:t>
      </w:r>
      <w:r w:rsidRPr="008A2F1A">
        <w:rPr>
          <w:rFonts w:ascii="Arial" w:eastAsia="Times New Roman" w:hAnsi="Arial" w:cs="Arial"/>
          <w:i/>
          <w:iCs/>
          <w:kern w:val="0"/>
          <w:szCs w:val="24"/>
          <w:lang w:val="en-GB" w:eastAsia="en-GB"/>
          <w14:ligatures w14:val="none"/>
        </w:rPr>
        <w:t>Google Books</w:t>
      </w:r>
      <w:r w:rsidRPr="008A2F1A">
        <w:rPr>
          <w:rFonts w:ascii="Arial" w:eastAsia="Times New Roman" w:hAnsi="Arial" w:cs="Arial"/>
          <w:kern w:val="0"/>
          <w:szCs w:val="24"/>
          <w:lang w:val="en-GB" w:eastAsia="en-GB"/>
          <w14:ligatures w14:val="none"/>
        </w:rPr>
        <w:t xml:space="preserve">. Routledge. </w:t>
      </w:r>
      <w:hyperlink r:id="rId19" w:history="1">
        <w:r w:rsidR="00290705" w:rsidRPr="004E75CE">
          <w:rPr>
            <w:rStyle w:val="Hyperlink"/>
            <w:rFonts w:ascii="Arial" w:eastAsia="Times New Roman" w:hAnsi="Arial" w:cs="Arial"/>
            <w:kern w:val="0"/>
            <w:szCs w:val="24"/>
            <w:lang w:val="en-GB" w:eastAsia="en-GB"/>
            <w14:ligatures w14:val="none"/>
          </w:rPr>
          <w:t>https://books.google.com/books?hl=en&amp;lr=&amp;id=J4wsBgAAQBAJ&amp;oi=fnd&amp;pg=PP1&amp;dq=O%E2%80%99Toole</w:t>
        </w:r>
      </w:hyperlink>
      <w:r w:rsidR="00290705">
        <w:rPr>
          <w:rFonts w:ascii="Arial" w:eastAsia="Times New Roman" w:hAnsi="Arial" w:cs="Arial"/>
          <w:kern w:val="0"/>
          <w:szCs w:val="24"/>
          <w:lang w:val="en-GB" w:eastAsia="en-GB"/>
          <w14:ligatures w14:val="none"/>
        </w:rPr>
        <w:t xml:space="preserve">. </w:t>
      </w:r>
    </w:p>
    <w:p w14:paraId="417A7A9C" w14:textId="77777777" w:rsidR="00A35F34" w:rsidRPr="008A2F1A" w:rsidRDefault="00A35F34" w:rsidP="008A2F1A">
      <w:pPr>
        <w:spacing w:after="0" w:line="360" w:lineRule="auto"/>
        <w:ind w:left="720" w:hanging="720"/>
        <w:jc w:val="both"/>
        <w:rPr>
          <w:rFonts w:ascii="Arial" w:eastAsia="Times New Roman" w:hAnsi="Arial" w:cs="Arial"/>
          <w:kern w:val="0"/>
          <w:szCs w:val="24"/>
          <w:lang w:val="en-GB" w:eastAsia="en-GB"/>
          <w14:ligatures w14:val="none"/>
        </w:rPr>
      </w:pPr>
      <w:r w:rsidRPr="008A2F1A">
        <w:rPr>
          <w:rFonts w:ascii="Arial" w:eastAsia="Times New Roman" w:hAnsi="Arial" w:cs="Arial"/>
          <w:kern w:val="0"/>
          <w:szCs w:val="24"/>
          <w:lang w:val="en-GB" w:eastAsia="en-GB"/>
          <w14:ligatures w14:val="none"/>
        </w:rPr>
        <w:t xml:space="preserve">Rogers, T., &amp; Wynn-Moylan, P. (2022). </w:t>
      </w:r>
      <w:r w:rsidRPr="008A2F1A">
        <w:rPr>
          <w:rFonts w:ascii="Arial" w:eastAsia="Times New Roman" w:hAnsi="Arial" w:cs="Arial"/>
          <w:i/>
          <w:iCs/>
          <w:kern w:val="0"/>
          <w:szCs w:val="24"/>
          <w:lang w:val="en-GB" w:eastAsia="en-GB"/>
          <w14:ligatures w14:val="none"/>
        </w:rPr>
        <w:t>Conferences and Conventions</w:t>
      </w:r>
      <w:r w:rsidRPr="008A2F1A">
        <w:rPr>
          <w:rFonts w:ascii="Arial" w:eastAsia="Times New Roman" w:hAnsi="Arial" w:cs="Arial"/>
          <w:kern w:val="0"/>
          <w:szCs w:val="24"/>
          <w:lang w:val="en-GB" w:eastAsia="en-GB"/>
          <w14:ligatures w14:val="none"/>
        </w:rPr>
        <w:t>. Routledge.</w:t>
      </w:r>
    </w:p>
    <w:p w14:paraId="12BE7B35" w14:textId="6ECCF34D" w:rsidR="00A35F34" w:rsidRPr="008A2F1A" w:rsidRDefault="00A35F34" w:rsidP="008A2F1A">
      <w:pPr>
        <w:spacing w:after="0" w:line="360" w:lineRule="auto"/>
        <w:ind w:left="720" w:hanging="720"/>
        <w:jc w:val="both"/>
        <w:rPr>
          <w:rFonts w:ascii="Arial" w:eastAsia="Times New Roman" w:hAnsi="Arial" w:cs="Arial"/>
          <w:kern w:val="0"/>
          <w:szCs w:val="24"/>
          <w:lang w:val="en-GB" w:eastAsia="en-GB"/>
          <w14:ligatures w14:val="none"/>
        </w:rPr>
      </w:pPr>
      <w:r w:rsidRPr="008A2F1A">
        <w:rPr>
          <w:rFonts w:ascii="Arial" w:eastAsia="Times New Roman" w:hAnsi="Arial" w:cs="Arial"/>
          <w:kern w:val="0"/>
          <w:szCs w:val="24"/>
          <w:lang w:val="en-GB" w:eastAsia="en-GB"/>
          <w14:ligatures w14:val="none"/>
        </w:rPr>
        <w:t xml:space="preserve">Salman, F., Hashemi, S. A., &amp; </w:t>
      </w:r>
      <w:proofErr w:type="spellStart"/>
      <w:r w:rsidRPr="008A2F1A">
        <w:rPr>
          <w:rFonts w:ascii="Arial" w:eastAsia="Times New Roman" w:hAnsi="Arial" w:cs="Arial"/>
          <w:kern w:val="0"/>
          <w:szCs w:val="24"/>
          <w:lang w:val="en-GB" w:eastAsia="en-GB"/>
          <w14:ligatures w14:val="none"/>
        </w:rPr>
        <w:t>Foroghi</w:t>
      </w:r>
      <w:proofErr w:type="spellEnd"/>
      <w:r w:rsidRPr="008A2F1A">
        <w:rPr>
          <w:rFonts w:ascii="Arial" w:eastAsia="Times New Roman" w:hAnsi="Arial" w:cs="Arial"/>
          <w:kern w:val="0"/>
          <w:szCs w:val="24"/>
          <w:lang w:val="en-GB" w:eastAsia="en-GB"/>
          <w14:ligatures w14:val="none"/>
        </w:rPr>
        <w:t xml:space="preserve">, D. (2023). Feasibility of Establishing Operational Budgeting in Iraqi Public Universities. </w:t>
      </w:r>
      <w:r w:rsidRPr="008A2F1A">
        <w:rPr>
          <w:rFonts w:ascii="Arial" w:eastAsia="Times New Roman" w:hAnsi="Arial" w:cs="Arial"/>
          <w:i/>
          <w:iCs/>
          <w:kern w:val="0"/>
          <w:szCs w:val="24"/>
          <w:lang w:val="en-GB" w:eastAsia="en-GB"/>
          <w14:ligatures w14:val="none"/>
        </w:rPr>
        <w:t>Risks</w:t>
      </w:r>
      <w:r w:rsidRPr="008A2F1A">
        <w:rPr>
          <w:rFonts w:ascii="Arial" w:eastAsia="Times New Roman" w:hAnsi="Arial" w:cs="Arial"/>
          <w:kern w:val="0"/>
          <w:szCs w:val="24"/>
          <w:lang w:val="en-GB" w:eastAsia="en-GB"/>
          <w14:ligatures w14:val="none"/>
        </w:rPr>
        <w:t xml:space="preserve">, </w:t>
      </w:r>
      <w:r w:rsidRPr="008A2F1A">
        <w:rPr>
          <w:rFonts w:ascii="Arial" w:eastAsia="Times New Roman" w:hAnsi="Arial" w:cs="Arial"/>
          <w:i/>
          <w:iCs/>
          <w:kern w:val="0"/>
          <w:szCs w:val="24"/>
          <w:lang w:val="en-GB" w:eastAsia="en-GB"/>
          <w14:ligatures w14:val="none"/>
        </w:rPr>
        <w:t>11</w:t>
      </w:r>
      <w:r w:rsidRPr="008A2F1A">
        <w:rPr>
          <w:rFonts w:ascii="Arial" w:eastAsia="Times New Roman" w:hAnsi="Arial" w:cs="Arial"/>
          <w:kern w:val="0"/>
          <w:szCs w:val="24"/>
          <w:lang w:val="en-GB" w:eastAsia="en-GB"/>
          <w14:ligatures w14:val="none"/>
        </w:rPr>
        <w:t xml:space="preserve">(2), 44. </w:t>
      </w:r>
      <w:hyperlink r:id="rId20" w:history="1">
        <w:r w:rsidR="00290705" w:rsidRPr="004E75CE">
          <w:rPr>
            <w:rStyle w:val="Hyperlink"/>
            <w:rFonts w:ascii="Arial" w:eastAsia="Times New Roman" w:hAnsi="Arial" w:cs="Arial"/>
            <w:kern w:val="0"/>
            <w:szCs w:val="24"/>
            <w:lang w:val="en-GB" w:eastAsia="en-GB"/>
            <w14:ligatures w14:val="none"/>
          </w:rPr>
          <w:t>https://doi.org/10.3390/risks11020044</w:t>
        </w:r>
      </w:hyperlink>
      <w:r w:rsidR="00290705">
        <w:rPr>
          <w:rFonts w:ascii="Arial" w:eastAsia="Times New Roman" w:hAnsi="Arial" w:cs="Arial"/>
          <w:kern w:val="0"/>
          <w:szCs w:val="24"/>
          <w:lang w:val="en-GB" w:eastAsia="en-GB"/>
          <w14:ligatures w14:val="none"/>
        </w:rPr>
        <w:t xml:space="preserve">. </w:t>
      </w:r>
    </w:p>
    <w:p w14:paraId="30894D23" w14:textId="0AE6AFA2" w:rsidR="00A35F34" w:rsidRPr="008A2F1A" w:rsidRDefault="00A35F34" w:rsidP="008A2F1A">
      <w:pPr>
        <w:spacing w:after="0" w:line="360" w:lineRule="auto"/>
        <w:ind w:left="720" w:hanging="720"/>
        <w:jc w:val="both"/>
        <w:rPr>
          <w:rFonts w:ascii="Arial" w:eastAsia="Times New Roman" w:hAnsi="Arial" w:cs="Arial"/>
          <w:kern w:val="0"/>
          <w:szCs w:val="24"/>
          <w:lang w:val="en-GB" w:eastAsia="en-GB"/>
          <w14:ligatures w14:val="none"/>
        </w:rPr>
      </w:pPr>
      <w:r w:rsidRPr="008A2F1A">
        <w:rPr>
          <w:rFonts w:ascii="Arial" w:eastAsia="Times New Roman" w:hAnsi="Arial" w:cs="Arial"/>
          <w:kern w:val="0"/>
          <w:szCs w:val="24"/>
          <w:lang w:val="en-GB" w:eastAsia="en-GB"/>
          <w14:ligatures w14:val="none"/>
        </w:rPr>
        <w:t xml:space="preserve">Shadman, S., Chin, C. M. M., Yap, E. H., </w:t>
      </w:r>
      <w:proofErr w:type="spellStart"/>
      <w:r w:rsidRPr="008A2F1A">
        <w:rPr>
          <w:rFonts w:ascii="Arial" w:eastAsia="Times New Roman" w:hAnsi="Arial" w:cs="Arial"/>
          <w:kern w:val="0"/>
          <w:szCs w:val="24"/>
          <w:lang w:val="en-GB" w:eastAsia="en-GB"/>
          <w14:ligatures w14:val="none"/>
        </w:rPr>
        <w:t>Sakundarini</w:t>
      </w:r>
      <w:proofErr w:type="spellEnd"/>
      <w:r w:rsidRPr="008A2F1A">
        <w:rPr>
          <w:rFonts w:ascii="Arial" w:eastAsia="Times New Roman" w:hAnsi="Arial" w:cs="Arial"/>
          <w:kern w:val="0"/>
          <w:szCs w:val="24"/>
          <w:lang w:val="en-GB" w:eastAsia="en-GB"/>
          <w14:ligatures w14:val="none"/>
        </w:rPr>
        <w:t xml:space="preserve">, N., &amp; </w:t>
      </w:r>
      <w:proofErr w:type="spellStart"/>
      <w:r w:rsidRPr="008A2F1A">
        <w:rPr>
          <w:rFonts w:ascii="Arial" w:eastAsia="Times New Roman" w:hAnsi="Arial" w:cs="Arial"/>
          <w:kern w:val="0"/>
          <w:szCs w:val="24"/>
          <w:lang w:val="en-GB" w:eastAsia="en-GB"/>
          <w14:ligatures w14:val="none"/>
        </w:rPr>
        <w:t>Velautham</w:t>
      </w:r>
      <w:proofErr w:type="spellEnd"/>
      <w:r w:rsidRPr="008A2F1A">
        <w:rPr>
          <w:rFonts w:ascii="Arial" w:eastAsia="Times New Roman" w:hAnsi="Arial" w:cs="Arial"/>
          <w:kern w:val="0"/>
          <w:szCs w:val="24"/>
          <w:lang w:val="en-GB" w:eastAsia="en-GB"/>
          <w14:ligatures w14:val="none"/>
        </w:rPr>
        <w:t xml:space="preserve">, S. (2021). The role of current and future renewable energy policies in fortifying Malaysia’s energy security: PESTLE and SWOT analysis through stakeholder engagement. </w:t>
      </w:r>
      <w:r w:rsidRPr="008A2F1A">
        <w:rPr>
          <w:rFonts w:ascii="Arial" w:eastAsia="Times New Roman" w:hAnsi="Arial" w:cs="Arial"/>
          <w:i/>
          <w:iCs/>
          <w:kern w:val="0"/>
          <w:szCs w:val="24"/>
          <w:lang w:val="en-GB" w:eastAsia="en-GB"/>
          <w14:ligatures w14:val="none"/>
        </w:rPr>
        <w:t>Progress in Energy and Environment</w:t>
      </w:r>
      <w:r w:rsidRPr="008A2F1A">
        <w:rPr>
          <w:rFonts w:ascii="Arial" w:eastAsia="Times New Roman" w:hAnsi="Arial" w:cs="Arial"/>
          <w:kern w:val="0"/>
          <w:szCs w:val="24"/>
          <w:lang w:val="en-GB" w:eastAsia="en-GB"/>
          <w14:ligatures w14:val="none"/>
        </w:rPr>
        <w:t xml:space="preserve">, </w:t>
      </w:r>
      <w:r w:rsidRPr="008A2F1A">
        <w:rPr>
          <w:rFonts w:ascii="Arial" w:eastAsia="Times New Roman" w:hAnsi="Arial" w:cs="Arial"/>
          <w:i/>
          <w:iCs/>
          <w:kern w:val="0"/>
          <w:szCs w:val="24"/>
          <w:lang w:val="en-GB" w:eastAsia="en-GB"/>
          <w14:ligatures w14:val="none"/>
        </w:rPr>
        <w:t>16</w:t>
      </w:r>
      <w:r w:rsidRPr="008A2F1A">
        <w:rPr>
          <w:rFonts w:ascii="Arial" w:eastAsia="Times New Roman" w:hAnsi="Arial" w:cs="Arial"/>
          <w:kern w:val="0"/>
          <w:szCs w:val="24"/>
          <w:lang w:val="en-GB" w:eastAsia="en-GB"/>
          <w14:ligatures w14:val="none"/>
        </w:rPr>
        <w:t xml:space="preserve">, 1–17. </w:t>
      </w:r>
      <w:hyperlink r:id="rId21" w:history="1">
        <w:r w:rsidR="00290705" w:rsidRPr="004E75CE">
          <w:rPr>
            <w:rStyle w:val="Hyperlink"/>
            <w:rFonts w:ascii="Arial" w:eastAsia="Times New Roman" w:hAnsi="Arial" w:cs="Arial"/>
            <w:kern w:val="0"/>
            <w:szCs w:val="24"/>
            <w:lang w:val="en-GB" w:eastAsia="en-GB"/>
            <w14:ligatures w14:val="none"/>
          </w:rPr>
          <w:t>https://www.akademiabaru.com/submit/index.php/progee/article/view/2395</w:t>
        </w:r>
      </w:hyperlink>
      <w:r w:rsidR="00290705">
        <w:rPr>
          <w:rFonts w:ascii="Arial" w:eastAsia="Times New Roman" w:hAnsi="Arial" w:cs="Arial"/>
          <w:kern w:val="0"/>
          <w:szCs w:val="24"/>
          <w:lang w:val="en-GB" w:eastAsia="en-GB"/>
          <w14:ligatures w14:val="none"/>
        </w:rPr>
        <w:t xml:space="preserve">. </w:t>
      </w:r>
    </w:p>
    <w:p w14:paraId="1E6109FD" w14:textId="1830EC8B" w:rsidR="00A35F34" w:rsidRPr="008A2F1A" w:rsidRDefault="00A35F34" w:rsidP="008A2F1A">
      <w:pPr>
        <w:spacing w:after="0" w:line="360" w:lineRule="auto"/>
        <w:ind w:left="720" w:hanging="720"/>
        <w:jc w:val="both"/>
        <w:rPr>
          <w:rFonts w:ascii="Arial" w:eastAsia="Times New Roman" w:hAnsi="Arial" w:cs="Arial"/>
          <w:kern w:val="0"/>
          <w:szCs w:val="24"/>
          <w:lang w:val="en-GB" w:eastAsia="en-GB"/>
          <w14:ligatures w14:val="none"/>
        </w:rPr>
      </w:pPr>
      <w:r w:rsidRPr="008A2F1A">
        <w:rPr>
          <w:rFonts w:ascii="Arial" w:eastAsia="Times New Roman" w:hAnsi="Arial" w:cs="Arial"/>
          <w:kern w:val="0"/>
          <w:szCs w:val="24"/>
          <w:lang w:val="en-GB" w:eastAsia="en-GB"/>
          <w14:ligatures w14:val="none"/>
        </w:rPr>
        <w:lastRenderedPageBreak/>
        <w:t xml:space="preserve">Smith, A. (2012). Events and Urban Regeneration: The Strategic Use of Events to Revitalise Cities. In </w:t>
      </w:r>
      <w:r w:rsidRPr="008A2F1A">
        <w:rPr>
          <w:rFonts w:ascii="Arial" w:eastAsia="Times New Roman" w:hAnsi="Arial" w:cs="Arial"/>
          <w:i/>
          <w:iCs/>
          <w:kern w:val="0"/>
          <w:szCs w:val="24"/>
          <w:lang w:val="en-GB" w:eastAsia="en-GB"/>
          <w14:ligatures w14:val="none"/>
        </w:rPr>
        <w:t>Google Books</w:t>
      </w:r>
      <w:r w:rsidRPr="008A2F1A">
        <w:rPr>
          <w:rFonts w:ascii="Arial" w:eastAsia="Times New Roman" w:hAnsi="Arial" w:cs="Arial"/>
          <w:kern w:val="0"/>
          <w:szCs w:val="24"/>
          <w:lang w:val="en-GB" w:eastAsia="en-GB"/>
          <w14:ligatures w14:val="none"/>
        </w:rPr>
        <w:t xml:space="preserve">. Routledge. </w:t>
      </w:r>
      <w:hyperlink r:id="rId22" w:history="1">
        <w:r w:rsidR="00290705" w:rsidRPr="004E75CE">
          <w:rPr>
            <w:rStyle w:val="Hyperlink"/>
            <w:rFonts w:ascii="Arial" w:eastAsia="Times New Roman" w:hAnsi="Arial" w:cs="Arial"/>
            <w:kern w:val="0"/>
            <w:szCs w:val="24"/>
            <w:lang w:val="en-GB" w:eastAsia="en-GB"/>
            <w14:ligatures w14:val="none"/>
          </w:rPr>
          <w:t>https://books.google.com/books?hl=en&amp;lr=&amp;id=h1XFBQAAQBAJ&amp;oi=fnd&amp;pg=PT10&amp;dq=Smith</w:t>
        </w:r>
      </w:hyperlink>
      <w:r w:rsidR="00290705">
        <w:rPr>
          <w:rFonts w:ascii="Arial" w:eastAsia="Times New Roman" w:hAnsi="Arial" w:cs="Arial"/>
          <w:kern w:val="0"/>
          <w:szCs w:val="24"/>
          <w:lang w:val="en-GB" w:eastAsia="en-GB"/>
          <w14:ligatures w14:val="none"/>
        </w:rPr>
        <w:t xml:space="preserve">. </w:t>
      </w:r>
    </w:p>
    <w:p w14:paraId="0BC8F353" w14:textId="1BF807E4" w:rsidR="00A35F34" w:rsidRPr="008A2F1A" w:rsidRDefault="00A35F34" w:rsidP="008A2F1A">
      <w:pPr>
        <w:spacing w:after="0" w:line="360" w:lineRule="auto"/>
        <w:ind w:left="720" w:hanging="720"/>
        <w:jc w:val="both"/>
        <w:rPr>
          <w:rFonts w:ascii="Arial" w:eastAsia="Times New Roman" w:hAnsi="Arial" w:cs="Arial"/>
          <w:kern w:val="0"/>
          <w:szCs w:val="24"/>
          <w:lang w:val="en-GB" w:eastAsia="en-GB"/>
          <w14:ligatures w14:val="none"/>
        </w:rPr>
      </w:pPr>
      <w:proofErr w:type="spellStart"/>
      <w:r w:rsidRPr="008A2F1A">
        <w:rPr>
          <w:rFonts w:ascii="Arial" w:eastAsia="Times New Roman" w:hAnsi="Arial" w:cs="Arial"/>
          <w:kern w:val="0"/>
          <w:szCs w:val="24"/>
          <w:lang w:val="en-GB" w:eastAsia="en-GB"/>
          <w14:ligatures w14:val="none"/>
        </w:rPr>
        <w:t>Tanoyo</w:t>
      </w:r>
      <w:proofErr w:type="spellEnd"/>
      <w:r w:rsidRPr="008A2F1A">
        <w:rPr>
          <w:rFonts w:ascii="Arial" w:eastAsia="Times New Roman" w:hAnsi="Arial" w:cs="Arial"/>
          <w:kern w:val="0"/>
          <w:szCs w:val="24"/>
          <w:lang w:val="en-GB" w:eastAsia="en-GB"/>
          <w14:ligatures w14:val="none"/>
        </w:rPr>
        <w:t xml:space="preserve">, T., &amp; </w:t>
      </w:r>
      <w:proofErr w:type="spellStart"/>
      <w:r w:rsidRPr="008A2F1A">
        <w:rPr>
          <w:rFonts w:ascii="Arial" w:eastAsia="Times New Roman" w:hAnsi="Arial" w:cs="Arial"/>
          <w:kern w:val="0"/>
          <w:szCs w:val="24"/>
          <w:lang w:val="en-GB" w:eastAsia="en-GB"/>
          <w14:ligatures w14:val="none"/>
        </w:rPr>
        <w:t>Harlim</w:t>
      </w:r>
      <w:proofErr w:type="spellEnd"/>
      <w:r w:rsidRPr="008A2F1A">
        <w:rPr>
          <w:rFonts w:ascii="Arial" w:eastAsia="Times New Roman" w:hAnsi="Arial" w:cs="Arial"/>
          <w:kern w:val="0"/>
          <w:szCs w:val="24"/>
          <w:lang w:val="en-GB" w:eastAsia="en-GB"/>
          <w14:ligatures w14:val="none"/>
        </w:rPr>
        <w:t xml:space="preserve">, J. (2022). TRIZ Training Within a Continuous Improvement (Kaizen) Event – Exploration and Evaluation. </w:t>
      </w:r>
      <w:r w:rsidRPr="008A2F1A">
        <w:rPr>
          <w:rFonts w:ascii="Arial" w:eastAsia="Times New Roman" w:hAnsi="Arial" w:cs="Arial"/>
          <w:i/>
          <w:iCs/>
          <w:kern w:val="0"/>
          <w:szCs w:val="24"/>
          <w:lang w:val="en-GB" w:eastAsia="en-GB"/>
          <w14:ligatures w14:val="none"/>
        </w:rPr>
        <w:t>IFIP Advances in Information and Communication Technology</w:t>
      </w:r>
      <w:r w:rsidRPr="008A2F1A">
        <w:rPr>
          <w:rFonts w:ascii="Arial" w:eastAsia="Times New Roman" w:hAnsi="Arial" w:cs="Arial"/>
          <w:kern w:val="0"/>
          <w:szCs w:val="24"/>
          <w:lang w:val="en-GB" w:eastAsia="en-GB"/>
          <w14:ligatures w14:val="none"/>
        </w:rPr>
        <w:t xml:space="preserve">, 458–469. </w:t>
      </w:r>
      <w:hyperlink r:id="rId23" w:history="1">
        <w:r w:rsidR="00290705" w:rsidRPr="004E75CE">
          <w:rPr>
            <w:rStyle w:val="Hyperlink"/>
            <w:rFonts w:ascii="Arial" w:eastAsia="Times New Roman" w:hAnsi="Arial" w:cs="Arial"/>
            <w:kern w:val="0"/>
            <w:szCs w:val="24"/>
            <w:lang w:val="en-GB" w:eastAsia="en-GB"/>
            <w14:ligatures w14:val="none"/>
          </w:rPr>
          <w:t>https://doi.org/10.1007/978-3-031-17288-5_38</w:t>
        </w:r>
      </w:hyperlink>
      <w:r w:rsidR="00290705">
        <w:rPr>
          <w:rFonts w:ascii="Arial" w:eastAsia="Times New Roman" w:hAnsi="Arial" w:cs="Arial"/>
          <w:kern w:val="0"/>
          <w:szCs w:val="24"/>
          <w:lang w:val="en-GB" w:eastAsia="en-GB"/>
          <w14:ligatures w14:val="none"/>
        </w:rPr>
        <w:t xml:space="preserve">. </w:t>
      </w:r>
    </w:p>
    <w:p w14:paraId="113966E0" w14:textId="77777777" w:rsidR="003C4377" w:rsidRPr="00A35F34" w:rsidRDefault="003C4377" w:rsidP="00DC3187">
      <w:pPr>
        <w:spacing w:after="0" w:line="360" w:lineRule="auto"/>
        <w:ind w:left="720"/>
        <w:rPr>
          <w:rFonts w:cs="Times New Roman"/>
          <w:szCs w:val="24"/>
        </w:rPr>
      </w:pPr>
    </w:p>
    <w:sectPr w:rsidR="003C4377" w:rsidRPr="00A35F34" w:rsidSect="003B310D">
      <w:headerReference w:type="even" r:id="rId24"/>
      <w:headerReference w:type="default" r:id="rId25"/>
      <w:footerReference w:type="even" r:id="rId26"/>
      <w:footerReference w:type="default" r:id="rId27"/>
      <w:headerReference w:type="first" r:id="rId28"/>
      <w:footerReference w:type="first" r:id="rId2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DA749B" w14:textId="77777777" w:rsidR="003B310D" w:rsidRDefault="003B310D" w:rsidP="00736E70">
      <w:pPr>
        <w:spacing w:after="0" w:line="240" w:lineRule="auto"/>
      </w:pPr>
      <w:r>
        <w:separator/>
      </w:r>
    </w:p>
  </w:endnote>
  <w:endnote w:type="continuationSeparator" w:id="0">
    <w:p w14:paraId="25B5FFCD" w14:textId="77777777" w:rsidR="003B310D" w:rsidRDefault="003B310D" w:rsidP="00736E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923DD" w14:textId="77777777" w:rsidR="00736E70" w:rsidRDefault="00736E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8FD727" w14:textId="77777777" w:rsidR="00736E70" w:rsidRDefault="00736E7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ABB97" w14:textId="77777777" w:rsidR="00736E70" w:rsidRDefault="00736E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ADBF2F" w14:textId="77777777" w:rsidR="003B310D" w:rsidRDefault="003B310D" w:rsidP="00736E70">
      <w:pPr>
        <w:spacing w:after="0" w:line="240" w:lineRule="auto"/>
      </w:pPr>
      <w:r>
        <w:separator/>
      </w:r>
    </w:p>
  </w:footnote>
  <w:footnote w:type="continuationSeparator" w:id="0">
    <w:p w14:paraId="06E7D2D1" w14:textId="77777777" w:rsidR="003B310D" w:rsidRDefault="003B310D" w:rsidP="00736E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AB629" w14:textId="77777777" w:rsidR="00736E70" w:rsidRDefault="00736E7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9507671"/>
      <w:docPartObj>
        <w:docPartGallery w:val="Page Numbers (Top of Page)"/>
        <w:docPartUnique/>
      </w:docPartObj>
    </w:sdtPr>
    <w:sdtEndPr>
      <w:rPr>
        <w:noProof/>
      </w:rPr>
    </w:sdtEndPr>
    <w:sdtContent>
      <w:p w14:paraId="5D1B5A2F" w14:textId="0E73D161" w:rsidR="00736E70" w:rsidRDefault="00736E7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5CF05C1" w14:textId="77777777" w:rsidR="00736E70" w:rsidRDefault="00736E7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1A0C7A" w14:textId="77777777" w:rsidR="00736E70" w:rsidRDefault="00736E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36670C2"/>
    <w:multiLevelType w:val="hybridMultilevel"/>
    <w:tmpl w:val="00F40F20"/>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768894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Q2MzCxsDQyNTQxMTdR0lEKTi0uzszPAykwrAUAPMHkyiwAAAA="/>
  </w:docVars>
  <w:rsids>
    <w:rsidRoot w:val="00866994"/>
    <w:rsid w:val="00290705"/>
    <w:rsid w:val="003B310D"/>
    <w:rsid w:val="003C4377"/>
    <w:rsid w:val="00407589"/>
    <w:rsid w:val="0043638E"/>
    <w:rsid w:val="00460091"/>
    <w:rsid w:val="006D6609"/>
    <w:rsid w:val="00736E70"/>
    <w:rsid w:val="00866994"/>
    <w:rsid w:val="008A2F1A"/>
    <w:rsid w:val="008B3366"/>
    <w:rsid w:val="009236BF"/>
    <w:rsid w:val="00A107C8"/>
    <w:rsid w:val="00A35F34"/>
    <w:rsid w:val="00AB1D9A"/>
    <w:rsid w:val="00B26013"/>
    <w:rsid w:val="00B667C2"/>
    <w:rsid w:val="00B74FFC"/>
    <w:rsid w:val="00BF4D1D"/>
    <w:rsid w:val="00CA4067"/>
    <w:rsid w:val="00DC3187"/>
    <w:rsid w:val="00E50B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006A0C"/>
  <w15:chartTrackingRefBased/>
  <w15:docId w15:val="{03EEAC7B-B759-4C10-A7AA-45D0F2469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4377"/>
    <w:rPr>
      <w:rFonts w:ascii="Times New Roman" w:hAnsi="Times New Roman"/>
      <w:sz w:val="24"/>
    </w:rPr>
  </w:style>
  <w:style w:type="paragraph" w:styleId="Heading1">
    <w:name w:val="heading 1"/>
    <w:basedOn w:val="Normal"/>
    <w:next w:val="Normal"/>
    <w:link w:val="Heading1Char"/>
    <w:uiPriority w:val="9"/>
    <w:qFormat/>
    <w:rsid w:val="00B2601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35F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3638E"/>
    <w:pPr>
      <w:ind w:left="720"/>
      <w:contextualSpacing/>
    </w:pPr>
  </w:style>
  <w:style w:type="paragraph" w:styleId="Header">
    <w:name w:val="header"/>
    <w:basedOn w:val="Normal"/>
    <w:link w:val="HeaderChar"/>
    <w:uiPriority w:val="99"/>
    <w:unhideWhenUsed/>
    <w:rsid w:val="00736E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6E70"/>
    <w:rPr>
      <w:rFonts w:ascii="Times New Roman" w:hAnsi="Times New Roman"/>
      <w:sz w:val="24"/>
    </w:rPr>
  </w:style>
  <w:style w:type="paragraph" w:styleId="Footer">
    <w:name w:val="footer"/>
    <w:basedOn w:val="Normal"/>
    <w:link w:val="FooterChar"/>
    <w:uiPriority w:val="99"/>
    <w:unhideWhenUsed/>
    <w:rsid w:val="00736E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6E70"/>
    <w:rPr>
      <w:rFonts w:ascii="Times New Roman" w:hAnsi="Times New Roman"/>
      <w:sz w:val="24"/>
    </w:rPr>
  </w:style>
  <w:style w:type="character" w:customStyle="1" w:styleId="Heading1Char">
    <w:name w:val="Heading 1 Char"/>
    <w:basedOn w:val="DefaultParagraphFont"/>
    <w:link w:val="Heading1"/>
    <w:uiPriority w:val="9"/>
    <w:rsid w:val="00B2601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26013"/>
    <w:pPr>
      <w:outlineLvl w:val="9"/>
    </w:pPr>
    <w:rPr>
      <w:kern w:val="0"/>
      <w14:ligatures w14:val="none"/>
    </w:rPr>
  </w:style>
  <w:style w:type="paragraph" w:styleId="TOC1">
    <w:name w:val="toc 1"/>
    <w:basedOn w:val="Normal"/>
    <w:next w:val="Normal"/>
    <w:autoRedefine/>
    <w:uiPriority w:val="39"/>
    <w:unhideWhenUsed/>
    <w:rsid w:val="00B26013"/>
    <w:pPr>
      <w:spacing w:after="100"/>
    </w:pPr>
  </w:style>
  <w:style w:type="character" w:styleId="Hyperlink">
    <w:name w:val="Hyperlink"/>
    <w:basedOn w:val="DefaultParagraphFont"/>
    <w:uiPriority w:val="99"/>
    <w:unhideWhenUsed/>
    <w:rsid w:val="00B26013"/>
    <w:rPr>
      <w:color w:val="0563C1" w:themeColor="hyperlink"/>
      <w:u w:val="single"/>
    </w:rPr>
  </w:style>
  <w:style w:type="character" w:styleId="UnresolvedMention">
    <w:name w:val="Unresolved Mention"/>
    <w:basedOn w:val="DefaultParagraphFont"/>
    <w:uiPriority w:val="99"/>
    <w:semiHidden/>
    <w:unhideWhenUsed/>
    <w:rsid w:val="002907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8786114">
      <w:bodyDiv w:val="1"/>
      <w:marLeft w:val="0"/>
      <w:marRight w:val="0"/>
      <w:marTop w:val="0"/>
      <w:marBottom w:val="0"/>
      <w:divBdr>
        <w:top w:val="none" w:sz="0" w:space="0" w:color="auto"/>
        <w:left w:val="none" w:sz="0" w:space="0" w:color="auto"/>
        <w:bottom w:val="none" w:sz="0" w:space="0" w:color="auto"/>
        <w:right w:val="none" w:sz="0" w:space="0" w:color="auto"/>
      </w:divBdr>
      <w:divsChild>
        <w:div w:id="1048845609">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43546-022-00273-8" TargetMode="External"/><Relationship Id="rId13" Type="http://schemas.openxmlformats.org/officeDocument/2006/relationships/hyperlink" Target="https://doi.org/10.47577/tssj.v38i1.7882" TargetMode="External"/><Relationship Id="rId18" Type="http://schemas.openxmlformats.org/officeDocument/2006/relationships/hyperlink" Target="https://doi.org/10.1016/j.rser.2020.110201"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akademiabaru.com/submit/index.php/progee/article/view/2395" TargetMode="External"/><Relationship Id="rId7" Type="http://schemas.openxmlformats.org/officeDocument/2006/relationships/endnotes" Target="endnotes.xml"/><Relationship Id="rId12" Type="http://schemas.openxmlformats.org/officeDocument/2006/relationships/hyperlink" Target="https://doi.org/10.1016/j.jclepro.2021.127161" TargetMode="External"/><Relationship Id="rId17" Type="http://schemas.openxmlformats.org/officeDocument/2006/relationships/hyperlink" Target="https://books.google.com/books?hl=en&amp;lr=&amp;id=ipZXDwAAQBAJ&amp;oi=fnd&amp;pg=PR5&amp;dq=Meredith"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books.google.com/books?hl=en&amp;lr=&amp;id=NWJ6EAAAQBAJ&amp;oi=fnd&amp;pg=PT19&amp;dq=ustainability+in+hospitality" TargetMode="External"/><Relationship Id="rId20" Type="http://schemas.openxmlformats.org/officeDocument/2006/relationships/hyperlink" Target="https://doi.org/10.3390/risks11020044"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08/jhti-09-2020-0178"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doi.org/10.1108/bepam-03-2020-0051" TargetMode="External"/><Relationship Id="rId23" Type="http://schemas.openxmlformats.org/officeDocument/2006/relationships/hyperlink" Target="https://doi.org/10.1007/978-3-031-17288-5_38" TargetMode="External"/><Relationship Id="rId28" Type="http://schemas.openxmlformats.org/officeDocument/2006/relationships/header" Target="header3.xml"/><Relationship Id="rId10" Type="http://schemas.openxmlformats.org/officeDocument/2006/relationships/hyperlink" Target="https://books.google.com/books?hl=en&amp;lr=&amp;id=JDVEAwAAQBAJ&amp;oi=fnd&amp;pg=PP1&amp;dq=Fox" TargetMode="External"/><Relationship Id="rId19" Type="http://schemas.openxmlformats.org/officeDocument/2006/relationships/hyperlink" Target="https://books.google.com/books?hl=en&amp;lr=&amp;id=J4wsBgAAQBAJ&amp;oi=fnd&amp;pg=PP1&amp;dq=O%E2%80%99Toole"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47153/jbmr31.2732022" TargetMode="External"/><Relationship Id="rId14" Type="http://schemas.openxmlformats.org/officeDocument/2006/relationships/hyperlink" Target="https://doi.org/10.35611/jkt.2021.25.6.34" TargetMode="External"/><Relationship Id="rId22" Type="http://schemas.openxmlformats.org/officeDocument/2006/relationships/hyperlink" Target="https://books.google.com/books?hl=en&amp;lr=&amp;id=h1XFBQAAQBAJ&amp;oi=fnd&amp;pg=PT10&amp;dq=Smith"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D09C254-0BBB-4412-8F7E-30DDBE2B5F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3249</Words>
  <Characters>20126</Characters>
  <Application>Microsoft Office Word</Application>
  <DocSecurity>0</DocSecurity>
  <Lines>408</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Corina Maria Danila</dc:creator>
  <cp:keywords/>
  <dc:description/>
  <cp:lastModifiedBy>Corina Maria Danila</cp:lastModifiedBy>
  <cp:revision>2</cp:revision>
  <dcterms:created xsi:type="dcterms:W3CDTF">2024-02-26T12:07:00Z</dcterms:created>
  <dcterms:modified xsi:type="dcterms:W3CDTF">2024-02-26T12:07:00Z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388a29895f59d67de4e8bf8ed8ef18b66e870009f5cca62b545683faeb6bef38</vt:lpwstr>
  </property>
</Properties>
</file>