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pPr>
      <w:r>
        <w:t>Environmental Analysis of an industry</w:t>
      </w:r>
      <w:bookmarkStart w:id="7" w:name="_GoBack"/>
      <w:bookmarkEnd w:id="7"/>
    </w:p>
    <w:p>
      <w:pPr>
        <w:spacing w:line="360" w:lineRule="auto"/>
        <w:jc w:val="center"/>
        <w:rPr>
          <w:rFonts w:hint="default"/>
          <w:lang w:val="en-US"/>
        </w:rPr>
      </w:pPr>
      <w:r>
        <w:rPr>
          <w:rFonts w:hint="default"/>
          <w:lang w:val="en-US"/>
        </w:rPr>
        <w:t>Martin Aleksandrov</w:t>
      </w:r>
    </w:p>
    <w:p>
      <w:pPr>
        <w:pStyle w:val="2"/>
        <w:jc w:val="both"/>
        <w:rPr>
          <w:rFonts w:hint="default"/>
          <w:lang w:val="en-US"/>
        </w:rPr>
      </w:pPr>
      <w:r>
        <w:rPr>
          <w:rFonts w:hint="default"/>
          <w:lang w:val="en-US"/>
        </w:rPr>
        <w:t xml:space="preserve">                                             Dr.Rexton Nting</w:t>
      </w:r>
    </w:p>
    <w:p>
      <w:pPr>
        <w:rPr>
          <w:rFonts w:hint="default"/>
          <w:lang w:val="en-US"/>
        </w:rPr>
      </w:pPr>
      <w:r>
        <w:rPr>
          <w:rFonts w:hint="default"/>
          <w:lang w:val="en-US"/>
        </w:rPr>
        <w:t xml:space="preserve">                     </w:t>
      </w:r>
    </w:p>
    <w:p>
      <w:pPr>
        <w:rPr>
          <w:rFonts w:hint="default"/>
          <w:lang w:val="en-US"/>
        </w:rPr>
      </w:pPr>
      <w:r>
        <w:rPr>
          <w:rFonts w:hint="default"/>
          <w:lang w:val="en-US"/>
        </w:rPr>
        <w:t xml:space="preserve">                                                      The Global Business Environment</w:t>
      </w:r>
    </w:p>
    <w:p>
      <w:pPr>
        <w:rPr>
          <w:rFonts w:hint="default"/>
          <w:lang w:val="en-US"/>
        </w:rPr>
      </w:pPr>
    </w:p>
    <w:p>
      <w:pPr>
        <w:ind w:firstLine="4200" w:firstLineChars="1750"/>
        <w:rPr>
          <w:rFonts w:hint="default"/>
          <w:lang w:val="en-US"/>
        </w:rPr>
      </w:pPr>
      <w:r>
        <w:rPr>
          <w:rFonts w:hint="default"/>
          <w:lang w:val="en-US"/>
        </w:rPr>
        <w:t>29/08/2020</w:t>
      </w:r>
    </w:p>
    <w:p/>
    <w:p/>
    <w:p/>
    <w:p/>
    <w:p/>
    <w:p/>
    <w:p/>
    <w:p/>
    <w:p/>
    <w:p/>
    <w:p/>
    <w:p/>
    <w:p/>
    <w:p/>
    <w:p/>
    <w:sdt>
      <w:sdtPr>
        <w:rPr>
          <w:rFonts w:ascii="Times New Roman" w:hAnsi="Times New Roman" w:eastAsia="Calibri" w:cs="Times New Roman"/>
          <w:b/>
          <w:color w:val="auto"/>
          <w:sz w:val="24"/>
          <w:szCs w:val="22"/>
          <w:lang w:val="en-GB"/>
        </w:rPr>
        <w:id w:val="339901981"/>
        <w:docPartObj>
          <w:docPartGallery w:val="Table of Contents"/>
          <w:docPartUnique/>
        </w:docPartObj>
      </w:sdtPr>
      <w:sdtEndPr>
        <w:rPr>
          <w:rFonts w:ascii="Times New Roman" w:hAnsi="Times New Roman" w:eastAsia="Calibri" w:cs="Times New Roman"/>
          <w:b/>
          <w:bCs/>
          <w:color w:val="auto"/>
          <w:sz w:val="24"/>
          <w:szCs w:val="22"/>
          <w:lang w:val="en-GB"/>
        </w:rPr>
      </w:sdtEndPr>
      <w:sdtContent>
        <w:p>
          <w:pPr>
            <w:pStyle w:val="13"/>
            <w:rPr>
              <w:b/>
            </w:rPr>
          </w:pPr>
          <w:r>
            <w:rPr>
              <w:b/>
            </w:rPr>
            <w:t>Contents</w:t>
          </w:r>
        </w:p>
        <w:p>
          <w:pPr>
            <w:pStyle w:val="6"/>
            <w:tabs>
              <w:tab w:val="right" w:leader="dot" w:pos="9350"/>
            </w:tabs>
            <w:rPr>
              <w:b/>
            </w:rPr>
          </w:pPr>
          <w:r>
            <w:rPr>
              <w:b/>
            </w:rPr>
            <w:fldChar w:fldCharType="begin"/>
          </w:r>
          <w:r>
            <w:rPr>
              <w:b/>
            </w:rPr>
            <w:instrText xml:space="preserve"> TOC \o "1-3" \h \z \u </w:instrText>
          </w:r>
          <w:r>
            <w:rPr>
              <w:b/>
            </w:rPr>
            <w:fldChar w:fldCharType="separate"/>
          </w:r>
          <w:r>
            <w:fldChar w:fldCharType="begin"/>
          </w:r>
          <w:r>
            <w:instrText xml:space="preserve"> HYPERLINK \l "_Toc45003072" </w:instrText>
          </w:r>
          <w:r>
            <w:fldChar w:fldCharType="separate"/>
          </w:r>
          <w:r>
            <w:rPr>
              <w:rStyle w:val="9"/>
              <w:b/>
            </w:rPr>
            <w:t>Environmental Analysis of the car manufacturing industry</w:t>
          </w:r>
          <w:r>
            <w:rPr>
              <w:b/>
            </w:rPr>
            <w:tab/>
          </w:r>
          <w:r>
            <w:rPr>
              <w:b/>
            </w:rPr>
            <w:fldChar w:fldCharType="begin"/>
          </w:r>
          <w:r>
            <w:rPr>
              <w:b/>
            </w:rPr>
            <w:instrText xml:space="preserve"> PAGEREF _Toc45003072 \h </w:instrText>
          </w:r>
          <w:r>
            <w:rPr>
              <w:b/>
            </w:rPr>
            <w:fldChar w:fldCharType="separate"/>
          </w:r>
          <w:r>
            <w:rPr>
              <w:b/>
            </w:rPr>
            <w:t>3</w:t>
          </w:r>
          <w:r>
            <w:rPr>
              <w:b/>
            </w:rPr>
            <w:fldChar w:fldCharType="end"/>
          </w:r>
          <w:r>
            <w:rPr>
              <w:b/>
            </w:rPr>
            <w:fldChar w:fldCharType="end"/>
          </w:r>
        </w:p>
        <w:p>
          <w:pPr>
            <w:pStyle w:val="6"/>
            <w:tabs>
              <w:tab w:val="right" w:leader="dot" w:pos="9350"/>
            </w:tabs>
            <w:rPr>
              <w:b/>
            </w:rPr>
          </w:pPr>
          <w:r>
            <w:fldChar w:fldCharType="begin"/>
          </w:r>
          <w:r>
            <w:instrText xml:space="preserve"> HYPERLINK \l "_Toc45003073" </w:instrText>
          </w:r>
          <w:r>
            <w:fldChar w:fldCharType="separate"/>
          </w:r>
          <w:r>
            <w:rPr>
              <w:rStyle w:val="9"/>
              <w:b/>
            </w:rPr>
            <w:t>Introduction</w:t>
          </w:r>
          <w:r>
            <w:rPr>
              <w:b/>
            </w:rPr>
            <w:tab/>
          </w:r>
          <w:r>
            <w:rPr>
              <w:b/>
            </w:rPr>
            <w:fldChar w:fldCharType="begin"/>
          </w:r>
          <w:r>
            <w:rPr>
              <w:b/>
            </w:rPr>
            <w:instrText xml:space="preserve"> PAGEREF _Toc45003073 \h </w:instrText>
          </w:r>
          <w:r>
            <w:rPr>
              <w:b/>
            </w:rPr>
            <w:fldChar w:fldCharType="separate"/>
          </w:r>
          <w:r>
            <w:rPr>
              <w:b/>
            </w:rPr>
            <w:t>3</w:t>
          </w:r>
          <w:r>
            <w:rPr>
              <w:b/>
            </w:rPr>
            <w:fldChar w:fldCharType="end"/>
          </w:r>
          <w:r>
            <w:rPr>
              <w:b/>
            </w:rPr>
            <w:fldChar w:fldCharType="end"/>
          </w:r>
        </w:p>
        <w:p>
          <w:pPr>
            <w:pStyle w:val="7"/>
            <w:tabs>
              <w:tab w:val="right" w:leader="dot" w:pos="9350"/>
            </w:tabs>
            <w:rPr>
              <w:b/>
            </w:rPr>
          </w:pPr>
          <w:r>
            <w:fldChar w:fldCharType="begin"/>
          </w:r>
          <w:r>
            <w:instrText xml:space="preserve"> HYPERLINK \l "_Toc45003074" </w:instrText>
          </w:r>
          <w:r>
            <w:fldChar w:fldCharType="separate"/>
          </w:r>
          <w:r>
            <w:rPr>
              <w:rStyle w:val="9"/>
              <w:b/>
            </w:rPr>
            <w:t>Major forces shaping the business environment of the car manufacturing industry</w:t>
          </w:r>
          <w:r>
            <w:rPr>
              <w:b/>
            </w:rPr>
            <w:tab/>
          </w:r>
          <w:r>
            <w:rPr>
              <w:b/>
            </w:rPr>
            <w:fldChar w:fldCharType="begin"/>
          </w:r>
          <w:r>
            <w:rPr>
              <w:b/>
            </w:rPr>
            <w:instrText xml:space="preserve"> PAGEREF _Toc45003074 \h </w:instrText>
          </w:r>
          <w:r>
            <w:rPr>
              <w:b/>
            </w:rPr>
            <w:fldChar w:fldCharType="separate"/>
          </w:r>
          <w:r>
            <w:rPr>
              <w:b/>
            </w:rPr>
            <w:t>3</w:t>
          </w:r>
          <w:r>
            <w:rPr>
              <w:b/>
            </w:rPr>
            <w:fldChar w:fldCharType="end"/>
          </w:r>
          <w:r>
            <w:rPr>
              <w:b/>
            </w:rPr>
            <w:fldChar w:fldCharType="end"/>
          </w:r>
        </w:p>
        <w:p>
          <w:pPr>
            <w:pStyle w:val="7"/>
            <w:tabs>
              <w:tab w:val="right" w:leader="dot" w:pos="9350"/>
            </w:tabs>
            <w:rPr>
              <w:b/>
            </w:rPr>
          </w:pPr>
          <w:r>
            <w:fldChar w:fldCharType="begin"/>
          </w:r>
          <w:r>
            <w:instrText xml:space="preserve"> HYPERLINK \l "_Toc45003075" </w:instrText>
          </w:r>
          <w:r>
            <w:fldChar w:fldCharType="separate"/>
          </w:r>
          <w:r>
            <w:rPr>
              <w:rStyle w:val="9"/>
              <w:b/>
            </w:rPr>
            <w:t>Opportunities and challenges the forces present to the industry</w:t>
          </w:r>
          <w:r>
            <w:rPr>
              <w:b/>
            </w:rPr>
            <w:tab/>
          </w:r>
          <w:r>
            <w:rPr>
              <w:b/>
            </w:rPr>
            <w:fldChar w:fldCharType="begin"/>
          </w:r>
          <w:r>
            <w:rPr>
              <w:b/>
            </w:rPr>
            <w:instrText xml:space="preserve"> PAGEREF _Toc45003075 \h </w:instrText>
          </w:r>
          <w:r>
            <w:rPr>
              <w:b/>
            </w:rPr>
            <w:fldChar w:fldCharType="separate"/>
          </w:r>
          <w:r>
            <w:rPr>
              <w:b/>
            </w:rPr>
            <w:t>5</w:t>
          </w:r>
          <w:r>
            <w:rPr>
              <w:b/>
            </w:rPr>
            <w:fldChar w:fldCharType="end"/>
          </w:r>
          <w:r>
            <w:rPr>
              <w:b/>
            </w:rPr>
            <w:fldChar w:fldCharType="end"/>
          </w:r>
        </w:p>
        <w:p>
          <w:pPr>
            <w:pStyle w:val="7"/>
            <w:tabs>
              <w:tab w:val="right" w:leader="dot" w:pos="9350"/>
            </w:tabs>
            <w:rPr>
              <w:b/>
            </w:rPr>
          </w:pPr>
          <w:r>
            <w:fldChar w:fldCharType="begin"/>
          </w:r>
          <w:r>
            <w:instrText xml:space="preserve"> HYPERLINK \l "_Toc45003076" </w:instrText>
          </w:r>
          <w:r>
            <w:fldChar w:fldCharType="separate"/>
          </w:r>
          <w:r>
            <w:rPr>
              <w:rStyle w:val="9"/>
              <w:b/>
            </w:rPr>
            <w:t>How firms can best position themselves to gain a competitive advantage</w:t>
          </w:r>
          <w:r>
            <w:rPr>
              <w:b/>
            </w:rPr>
            <w:tab/>
          </w:r>
          <w:r>
            <w:rPr>
              <w:b/>
            </w:rPr>
            <w:fldChar w:fldCharType="begin"/>
          </w:r>
          <w:r>
            <w:rPr>
              <w:b/>
            </w:rPr>
            <w:instrText xml:space="preserve"> PAGEREF _Toc45003076 \h </w:instrText>
          </w:r>
          <w:r>
            <w:rPr>
              <w:b/>
            </w:rPr>
            <w:fldChar w:fldCharType="separate"/>
          </w:r>
          <w:r>
            <w:rPr>
              <w:b/>
            </w:rPr>
            <w:t>5</w:t>
          </w:r>
          <w:r>
            <w:rPr>
              <w:b/>
            </w:rPr>
            <w:fldChar w:fldCharType="end"/>
          </w:r>
          <w:r>
            <w:rPr>
              <w:b/>
            </w:rPr>
            <w:fldChar w:fldCharType="end"/>
          </w:r>
        </w:p>
        <w:p>
          <w:pPr>
            <w:pStyle w:val="6"/>
            <w:tabs>
              <w:tab w:val="right" w:leader="dot" w:pos="9350"/>
            </w:tabs>
            <w:rPr>
              <w:b/>
            </w:rPr>
          </w:pPr>
          <w:r>
            <w:fldChar w:fldCharType="begin"/>
          </w:r>
          <w:r>
            <w:instrText xml:space="preserve"> HYPERLINK \l "_Toc45003077" </w:instrText>
          </w:r>
          <w:r>
            <w:fldChar w:fldCharType="separate"/>
          </w:r>
          <w:r>
            <w:rPr>
              <w:rStyle w:val="9"/>
              <w:b/>
            </w:rPr>
            <w:t>Conclusion</w:t>
          </w:r>
          <w:r>
            <w:rPr>
              <w:b/>
            </w:rPr>
            <w:tab/>
          </w:r>
          <w:r>
            <w:rPr>
              <w:b/>
            </w:rPr>
            <w:fldChar w:fldCharType="begin"/>
          </w:r>
          <w:r>
            <w:rPr>
              <w:b/>
            </w:rPr>
            <w:instrText xml:space="preserve"> PAGEREF _Toc45003077 \h </w:instrText>
          </w:r>
          <w:r>
            <w:rPr>
              <w:b/>
            </w:rPr>
            <w:fldChar w:fldCharType="separate"/>
          </w:r>
          <w:r>
            <w:rPr>
              <w:b/>
            </w:rPr>
            <w:t>7</w:t>
          </w:r>
          <w:r>
            <w:rPr>
              <w:b/>
            </w:rPr>
            <w:fldChar w:fldCharType="end"/>
          </w:r>
          <w:r>
            <w:rPr>
              <w:b/>
            </w:rPr>
            <w:fldChar w:fldCharType="end"/>
          </w:r>
        </w:p>
        <w:p>
          <w:pPr>
            <w:pStyle w:val="6"/>
            <w:tabs>
              <w:tab w:val="right" w:leader="dot" w:pos="9350"/>
            </w:tabs>
            <w:rPr>
              <w:b/>
            </w:rPr>
          </w:pPr>
          <w:r>
            <w:fldChar w:fldCharType="begin"/>
          </w:r>
          <w:r>
            <w:instrText xml:space="preserve"> HYPERLINK \l "_Toc45003078" </w:instrText>
          </w:r>
          <w:r>
            <w:fldChar w:fldCharType="separate"/>
          </w:r>
          <w:r>
            <w:rPr>
              <w:rStyle w:val="9"/>
              <w:b/>
            </w:rPr>
            <w:t>References</w:t>
          </w:r>
          <w:r>
            <w:rPr>
              <w:b/>
            </w:rPr>
            <w:tab/>
          </w:r>
          <w:r>
            <w:rPr>
              <w:b/>
            </w:rPr>
            <w:fldChar w:fldCharType="begin"/>
          </w:r>
          <w:r>
            <w:rPr>
              <w:b/>
            </w:rPr>
            <w:instrText xml:space="preserve"> PAGEREF _Toc45003078 \h </w:instrText>
          </w:r>
          <w:r>
            <w:rPr>
              <w:b/>
            </w:rPr>
            <w:fldChar w:fldCharType="separate"/>
          </w:r>
          <w:r>
            <w:rPr>
              <w:b/>
            </w:rPr>
            <w:t>8</w:t>
          </w:r>
          <w:r>
            <w:rPr>
              <w:b/>
            </w:rPr>
            <w:fldChar w:fldCharType="end"/>
          </w:r>
          <w:r>
            <w:rPr>
              <w:b/>
            </w:rPr>
            <w:fldChar w:fldCharType="end"/>
          </w:r>
        </w:p>
        <w:p>
          <w:r>
            <w:rPr>
              <w:b/>
              <w:bCs/>
            </w:rPr>
            <w:fldChar w:fldCharType="end"/>
          </w:r>
        </w:p>
      </w:sdtContent>
    </w:sdt>
    <w:p/>
    <w:p/>
    <w:p/>
    <w:p/>
    <w:p/>
    <w:p/>
    <w:p/>
    <w:p/>
    <w:p/>
    <w:p/>
    <w:p/>
    <w:p/>
    <w:p/>
    <w:p/>
    <w:p/>
    <w:p>
      <w:pPr>
        <w:pStyle w:val="2"/>
      </w:pPr>
      <w:bookmarkStart w:id="0" w:name="_Toc45003072"/>
      <w:r>
        <w:t>Environmental Analysis of the car manufacturing industry</w:t>
      </w:r>
      <w:bookmarkEnd w:id="0"/>
      <w:r>
        <w:t xml:space="preserve"> </w:t>
      </w:r>
    </w:p>
    <w:p>
      <w:pPr>
        <w:pStyle w:val="2"/>
      </w:pPr>
      <w:bookmarkStart w:id="1" w:name="_Toc45003073"/>
      <w:r>
        <w:t>Introduction</w:t>
      </w:r>
      <w:bookmarkEnd w:id="1"/>
      <w:r>
        <w:t xml:space="preserve"> </w:t>
      </w:r>
    </w:p>
    <w:p>
      <w:r>
        <w:t xml:space="preserve">Businesses operate in a space where they are exposed to both internal and external factors which alter their functioning. Therefore, it is the role of entrepreneurs to assess their internal and external environments to ascertain which factors influence their operations both currently and in the future. It is through this that they are able to develop suitable strategies to help them survive in their markets. Among these factors, the external factors are quite influential as businesses have no means of controlling them, but rather devising approaches to cope with them. This report will analyse the external environment of the car manufacturing industry. The discussion will begin with an assessment of the major forces shaping the business environment in the sector. This will be followed by a critical assessment of the opportunities and challenges presented by these forces, and how companies can position themselves to gain a competitive edge. </w:t>
      </w:r>
    </w:p>
    <w:p>
      <w:pPr>
        <w:pStyle w:val="3"/>
      </w:pPr>
      <w:bookmarkStart w:id="2" w:name="_Toc45003074"/>
      <w:r>
        <w:t>Major forces shaping the business environment of the car manufacturing industry</w:t>
      </w:r>
      <w:bookmarkEnd w:id="2"/>
      <w:r>
        <w:t xml:space="preserve"> </w:t>
      </w:r>
    </w:p>
    <w:p>
      <w:r>
        <w:t xml:space="preserve">The car manufacturing industry has been operating in approximately the last 150 years. However, in the recent years, the sector has been exposed to diverse environmental ramifications which have altered its functioning. The PESTLE analysis tool is one of the most reliable models which is used to assess the external environment of any industry. It looks into the political, economic, social, technological legal and environmental factors which affect sector (Tan et al, 2012). The following is an assessment of these factors in the industry. </w:t>
      </w:r>
    </w:p>
    <w:p>
      <w:pPr>
        <w:rPr>
          <w:b/>
          <w:i/>
        </w:rPr>
      </w:pPr>
      <w:r>
        <w:rPr>
          <w:b/>
          <w:i/>
        </w:rPr>
        <w:t xml:space="preserve">Political factors </w:t>
      </w:r>
    </w:p>
    <w:p>
      <w:r>
        <w:t xml:space="preserve">Emission policies are some of the core concerns for many government globally. Most of the motor vehicles are fuelled by fossil fuels like diesel and petroleum, which when burn cause environmental pollution, and especially due to the carbon emissions. Due to this, governments are now concerned with these emissions and setting up tough policies to control them. For instance, in the UK, and the European Union market generally, governments are favouring low emission vehicles by providing subsidy to them, while others fuel guzzlers face high taxations (Andersson, 2015). </w:t>
      </w:r>
    </w:p>
    <w:p>
      <w:r>
        <w:t xml:space="preserve">The Brexit is also another looming aspect in the industry. With the Britain in the process of cutting its major links with the European mainland, the car manufacturing industry is facing an uncertain markets and adverse risks, and especially high operating costs. As a result of this, there has been a decline in investment within the European auto market in the recent years (Dhingra, 2016). </w:t>
      </w:r>
    </w:p>
    <w:p>
      <w:pPr>
        <w:rPr>
          <w:b/>
          <w:i/>
        </w:rPr>
      </w:pPr>
      <w:r>
        <w:rPr>
          <w:b/>
          <w:i/>
        </w:rPr>
        <w:t xml:space="preserve">Economic factors. </w:t>
      </w:r>
    </w:p>
    <w:p>
      <w:r>
        <w:t xml:space="preserve">Increase in disposable income is a major opportunity for the industry. According to Arora and Batra (2020), there has been a significant growth in disposable income in most of the developed and developing economies globally such as within Europe, Asia, Australia America and some African countries. Due to this, a high number of customers are now able to afford luxury products such as automobiles unlike in the previous years. This has therefore resulted to an increase demand for cars in such markets, hence a higher profitability of the industry. </w:t>
      </w:r>
    </w:p>
    <w:p>
      <w:r>
        <w:t xml:space="preserve">However, the economic tussles among some nations have been of impact to the global car industry. Perfect examples for this is the China and the US economic relationship, which has left china with a decreased demand. Although china accounts for a large share of the global car industry market, the decrease in its demand is has been depicted in the entire industry (Qobo and Le Pere, 2019). </w:t>
      </w:r>
    </w:p>
    <w:p>
      <w:pPr>
        <w:rPr>
          <w:b/>
          <w:i/>
        </w:rPr>
      </w:pPr>
      <w:r>
        <w:rPr>
          <w:b/>
          <w:i/>
        </w:rPr>
        <w:t xml:space="preserve">Social factors </w:t>
      </w:r>
    </w:p>
    <w:p>
      <w:r>
        <w:t xml:space="preserve">In many societies globally, owning a car has always been considered as a high social status. In developed countries such as in North America and Europe, most of the families own one or several cars. Due to this, in the desire for car ownership, the industry has achieved higher demands as population grows globally. This is all because individuals are more inclined to complying with what the society expects of them in order to obtain a high status within in their societies. </w:t>
      </w:r>
    </w:p>
    <w:p>
      <w:pPr>
        <w:rPr>
          <w:b/>
          <w:i/>
        </w:rPr>
      </w:pPr>
      <w:r>
        <w:rPr>
          <w:b/>
          <w:i/>
        </w:rPr>
        <w:t xml:space="preserve">Technological factors </w:t>
      </w:r>
    </w:p>
    <w:p>
      <w:r>
        <w:t xml:space="preserve">Technology has brought about a major transformation in the car manufacturing industry. The emergence of self-driving technology is one of the major milestones in the industry, which was developed in the 1980s (Daily et al, 2017). car manufactures such as Tesla are already creating cars which are fully autonomous. Although this is a key achievement in the industry, it is now necessary for the manufactures of conventional cars to modify their business strategies for them to remain relevant. </w:t>
      </w:r>
    </w:p>
    <w:p>
      <w:r>
        <w:t xml:space="preserve">Technology has also facilitated improved safety in the industry. It is in the 1980s when wearing safety seat belts became mandatory in many countries, which is now a global requirements and car manufactures have to adhere to this provision in their cars (Van Ratingen et al, 2017). As well, the airbags also started gaining popularity in the 2000s, which has now become a major safety aspect for all cars (Cummins et al, 2017). In the recent years as well, many manufactures have also adopted emergency brakes assistant systems hence reducing the chances of front end collisions. All these have played a huge role in increasing safety for car users. </w:t>
      </w:r>
    </w:p>
    <w:p>
      <w:pPr>
        <w:rPr>
          <w:b/>
          <w:i/>
        </w:rPr>
      </w:pPr>
      <w:r>
        <w:rPr>
          <w:b/>
          <w:i/>
        </w:rPr>
        <w:t xml:space="preserve">Legal factors. </w:t>
      </w:r>
    </w:p>
    <w:p>
      <w:r>
        <w:t xml:space="preserve">Copyright issues have been a major legal concern in the industry which affects its performance and profitability. As Kurfess and Cass (2014) note, Most of the vehicle features from its shape to its branding are subject to copyright, patent or trademark protection. This protects the intellectual property of manufacturers from being copied by other companies without proper authorisation. Although in the previous years there were minimal cases of legal showdowns in the industry, recently, and mainly Chinese manufacturers have been accused of stealing car designs of their western counterparts (Dodson, 2012). For instance, the Chinese brand, Geely, created similar brands as those of the Rolls Royce Phantom, an aspect which resulted to conflict (Dodson, 2012). </w:t>
      </w:r>
    </w:p>
    <w:p>
      <w:pPr>
        <w:rPr>
          <w:b/>
          <w:i/>
        </w:rPr>
      </w:pPr>
      <w:r>
        <w:rPr>
          <w:b/>
          <w:i/>
        </w:rPr>
        <w:t>Environmental factors</w:t>
      </w:r>
    </w:p>
    <w:p>
      <w:r>
        <w:t>Carbon emissions is a major environmental factor impacting on the industry. In the 21</w:t>
      </w:r>
      <w:r>
        <w:rPr>
          <w:vertAlign w:val="superscript"/>
        </w:rPr>
        <w:t>st</w:t>
      </w:r>
      <w:r>
        <w:t xml:space="preserve"> century, many government and other global environmental organisations such as Global Green Growth Institute and the European Environment Agency have increased awareness on the need for environmental sustainability. As a result of this, car manufacturers have been tasked with a responsibility of creating ecologically friendly cars such as those which have lesser carbon emissions and less fuel consumptions. Due to this awareness, consumers are also more inclined to such cars, which has necessitated their increased manufacture to comply with their demand in many markets (Bailey et al, 2011). </w:t>
      </w:r>
    </w:p>
    <w:p>
      <w:pPr>
        <w:pStyle w:val="3"/>
      </w:pPr>
      <w:bookmarkStart w:id="3" w:name="_Toc45003075"/>
      <w:r>
        <w:t>Opportunities and challenges the forces present to the industry</w:t>
      </w:r>
      <w:bookmarkEnd w:id="3"/>
      <w:r>
        <w:t xml:space="preserve"> </w:t>
      </w:r>
    </w:p>
    <w:p>
      <w:r>
        <w:t xml:space="preserve">The increase in disposable income, which is an economic force has been an opportunity for the industry. This is because most of the manufactures have been able to increase their production as a response to the growing demand for their cars. As a result of this, this force has played a huge role of increasing the sales and profitability of most of the car manufacturing companies (Arora and Batra, 2020). </w:t>
      </w:r>
    </w:p>
    <w:p>
      <w:r>
        <w:t xml:space="preserve">Legal aspects such as carbon emission policies have resulted to increased operational costs for businesses. This is because the creation of ecologically friendly cars is quite costly compared to the previous years when there was less concern for this trend. As a result of this, business have been forced to incur more operational costs, an element which affects their profitability. For instance, for car manufactures in UK to qualify for the reduced taxation for their cars according to the government’s policies, they have to adhere to the less emission rule (Tan et al, 2012). </w:t>
      </w:r>
    </w:p>
    <w:p>
      <w:r>
        <w:t>In addition to this, emerging economies such as in South America and Asia is also a great opportunity for the industry. This is because the economies present additional markets for the companies to sale their products. For instance, Brazil and India have been identified as the most promising emerging economies for the car manufacturing industry, with India being expected to be the third largest car markets by 2021 (Ray and Miglani, 2016).</w:t>
      </w:r>
    </w:p>
    <w:p>
      <w:pPr>
        <w:pStyle w:val="3"/>
      </w:pPr>
      <w:bookmarkStart w:id="4" w:name="_Toc45003076"/>
      <w:r>
        <w:t>How firms can best position themselves to gain a competitive advantage</w:t>
      </w:r>
      <w:bookmarkEnd w:id="4"/>
    </w:p>
    <w:p>
      <w:r>
        <w:t xml:space="preserve">For companies to survive in the market, they have to identify proper strategies which they can use to promote their competitive edge. The porters five analysis is one of the models which is used to review how companies can manage their competitiveness using five major forces. The following is an application of this model to discuss how companies could achieve a competitive edge.  </w:t>
      </w:r>
    </w:p>
    <w:p>
      <w:r>
        <w:t xml:space="preserve">The threat of new entrants. It requires huge capital for any new company to enter in the car industry and establish a brand. Hence, this means that there are minimal chances for the existing companies to face any competition from new business. Therefore, this is a weak force for existing businesses. Due to this, popular companies already in the industry can maximise on this force through using their economies of scale , strong brand identity and cost advantages among other capabilities to sustain and obtain more markets globally, hence promoting their competitive edge (Boschma and Wenting, 2017). </w:t>
      </w:r>
    </w:p>
    <w:p>
      <w:r>
        <w:t xml:space="preserve">Bargaining power of suppliers. Most of the suppliers in the industry are small players, as only a few are significant in their size. Hence, they have a less influence in the market as they are forced to play per the rules set by car manufactures such as the BMW, Toyota, VW and Ford which have immense influence due to the readily available raw materials (Nohria and Garcia, 2011). As well, the costs of switching suppliers is also low for these companies. Due to this, companies can use this power to control their material costs, which is a major avenue towards high profitability. Such is also a reliable avenue to promote their competitive advantage. </w:t>
      </w:r>
    </w:p>
    <w:p>
      <w:r>
        <w:t xml:space="preserve">Bargaining power of buyers. The largest buyers of cars are individual customers who buy single vehicles and have minimal impact to the industry. However, there are also organisational buyers who buy fleets of cars and are in a position to bargain for significantly lower prices. Hence, this force is moderately strong for companies. Other aspects which contribute to the strength of this force is the low switching costs and price sensitivity among consumers. To cope with this, companies should focus on building stronger customer loyalty such as through offering competitive prices and quality products to their consumers (Irawati, 2011). </w:t>
      </w:r>
    </w:p>
    <w:p>
      <w:r>
        <w:t xml:space="preserve">Threat of substitutes. Although there are variety of substitutes for cars such as trains, planes and busses, they do not offer the convenience and accessibility such as cars. Hence, the threat for substitutes is quite low. For this force, companies could adopt strategies to encourage consumers to purchase their products such as developing economy cars to capture the middle class customers (Van Ratingen et al, 2016). Such a strategy would play a huge role to increase their sales, and especially in emerging economies as the companies can increase the customer base in most of their markets. </w:t>
      </w:r>
    </w:p>
    <w:p>
      <w:r>
        <w:t xml:space="preserve">Competitive rivalry. The car manufacturing industry is quite competitive. Some of the leading manufactures include the Toyota, Volkswagen, BMW, Honda, Tesla and Ford. In addition to this, the high customer loyalty and the large size of the industry also intensify the competition in the industry (Dodson, 2012). Generally, the competitive rivalry is very strong in the car manufacturing industry. For companies to obtain a competitive edge in such a setting, it would be recommendable to focus on specific niche markets which are underserved and major on cars which specifically meet their needs. As well, innovation would also be another reliable strategy in this competitive environment. Companies can major on creating new car features and functions which are not offered by other companies, which is a guarantee for remaining unique in the market, and hence attracting customers easily compared to their competitors. </w:t>
      </w:r>
    </w:p>
    <w:p>
      <w:pPr>
        <w:pStyle w:val="2"/>
      </w:pPr>
      <w:bookmarkStart w:id="5" w:name="_Toc45003077"/>
      <w:r>
        <w:t>Conclusion</w:t>
      </w:r>
      <w:bookmarkEnd w:id="5"/>
      <w:r>
        <w:t xml:space="preserve"> </w:t>
      </w:r>
    </w:p>
    <w:p>
      <w:r>
        <w:t xml:space="preserve">This report explored some of the core elements relating to the global environment within the car manufacturing industry. From the discussion, there are multiple external factors which influence the industry and hence affect the functioning of companies. Hence, it is recommendable for businesses to have a clear understanding of these factors in order to modify their operations to cope with them. In addition to this, various elements which affect the competitiveness of businesses were also assessed. Based on the discussion, there are multiple ways in which businesses can use the different forces which affect them to promote their competitive advantages as discussed in the report. </w:t>
      </w:r>
    </w:p>
    <w:p/>
    <w:p/>
    <w:p/>
    <w:p/>
    <w:p/>
    <w:p/>
    <w:p/>
    <w:p/>
    <w:p/>
    <w:p/>
    <w:p/>
    <w:p/>
    <w:p/>
    <w:p/>
    <w:p/>
    <w:p/>
    <w:p/>
    <w:p>
      <w:pPr>
        <w:pStyle w:val="2"/>
      </w:pPr>
      <w:bookmarkStart w:id="6" w:name="_Toc45003078"/>
      <w:r>
        <w:t>References</w:t>
      </w:r>
      <w:bookmarkEnd w:id="6"/>
      <w:r>
        <w:t xml:space="preserve"> </w:t>
      </w:r>
    </w:p>
    <w:p>
      <w:pPr>
        <w:ind w:left="720" w:hanging="720"/>
        <w:rPr>
          <w:szCs w:val="24"/>
        </w:rPr>
      </w:pPr>
      <w:r>
        <w:rPr>
          <w:szCs w:val="24"/>
        </w:rPr>
        <w:t>Andersson, J. (2015). Cars, carbon taxes and CO2 emissions. Grantham Research Institute on Climate Change and the Environment. cccep.ac.uk</w:t>
      </w:r>
    </w:p>
    <w:p>
      <w:pPr>
        <w:ind w:left="720" w:hanging="720"/>
        <w:rPr>
          <w:color w:val="222222"/>
          <w:szCs w:val="24"/>
          <w:shd w:val="clear" w:color="auto" w:fill="FFFFFF"/>
        </w:rPr>
      </w:pPr>
      <w:r>
        <w:rPr>
          <w:color w:val="222222"/>
          <w:szCs w:val="24"/>
          <w:shd w:val="clear" w:color="auto" w:fill="FFFFFF"/>
        </w:rPr>
        <w:t>Arora, M. A., and Batra, D. (2020). Consumer Behaviour towards Car Purchase-A Review of Literature. </w:t>
      </w:r>
      <w:r>
        <w:rPr>
          <w:i/>
          <w:iCs/>
          <w:color w:val="222222"/>
          <w:szCs w:val="24"/>
          <w:shd w:val="clear" w:color="auto" w:fill="FFFFFF"/>
        </w:rPr>
        <w:t>Tathapi with ISSN 2320-0693 is an UGC CARE Journal</w:t>
      </w:r>
      <w:r>
        <w:rPr>
          <w:color w:val="222222"/>
          <w:szCs w:val="24"/>
          <w:shd w:val="clear" w:color="auto" w:fill="FFFFFF"/>
        </w:rPr>
        <w:t>, </w:t>
      </w:r>
      <w:r>
        <w:rPr>
          <w:i/>
          <w:iCs/>
          <w:color w:val="222222"/>
          <w:szCs w:val="24"/>
          <w:shd w:val="clear" w:color="auto" w:fill="FFFFFF"/>
        </w:rPr>
        <w:t>19</w:t>
      </w:r>
      <w:r>
        <w:rPr>
          <w:color w:val="222222"/>
          <w:szCs w:val="24"/>
          <w:shd w:val="clear" w:color="auto" w:fill="FFFFFF"/>
        </w:rPr>
        <w:t>(2), 78-87. Taylor and Francis</w:t>
      </w:r>
    </w:p>
    <w:p>
      <w:pPr>
        <w:ind w:left="720" w:hanging="720"/>
        <w:rPr>
          <w:color w:val="222222"/>
          <w:szCs w:val="24"/>
          <w:shd w:val="clear" w:color="auto" w:fill="FFFFFF"/>
        </w:rPr>
      </w:pPr>
      <w:r>
        <w:rPr>
          <w:color w:val="222222"/>
          <w:szCs w:val="24"/>
          <w:shd w:val="clear" w:color="auto" w:fill="FFFFFF"/>
        </w:rPr>
        <w:t>Bailey, D., De Ruyter, A., Michie, J., and Tyler, P. (2010). Global restructuring and the auto industry.</w:t>
      </w:r>
      <w:r>
        <w:t xml:space="preserve"> </w:t>
      </w:r>
      <w:r>
        <w:rPr>
          <w:color w:val="222222"/>
          <w:szCs w:val="24"/>
          <w:shd w:val="clear" w:color="auto" w:fill="FFFFFF"/>
        </w:rPr>
        <w:t>Springer</w:t>
      </w:r>
    </w:p>
    <w:p>
      <w:pPr>
        <w:ind w:left="720" w:hanging="720"/>
        <w:rPr>
          <w:color w:val="222222"/>
          <w:szCs w:val="24"/>
          <w:shd w:val="clear" w:color="auto" w:fill="FFFFFF"/>
        </w:rPr>
      </w:pPr>
      <w:r>
        <w:rPr>
          <w:color w:val="222222"/>
          <w:szCs w:val="24"/>
          <w:shd w:val="clear" w:color="auto" w:fill="FFFFFF"/>
        </w:rPr>
        <w:t>Boschma, R. A., and Wenting, R. (2017). The spatial evolution of the British automobile industry: Does location matter?. </w:t>
      </w:r>
      <w:r>
        <w:rPr>
          <w:i/>
          <w:iCs/>
          <w:color w:val="222222"/>
          <w:szCs w:val="24"/>
          <w:shd w:val="clear" w:color="auto" w:fill="FFFFFF"/>
        </w:rPr>
        <w:t>Industrial and corporate change</w:t>
      </w:r>
      <w:r>
        <w:rPr>
          <w:color w:val="222222"/>
          <w:szCs w:val="24"/>
          <w:shd w:val="clear" w:color="auto" w:fill="FFFFFF"/>
        </w:rPr>
        <w:t>, </w:t>
      </w:r>
      <w:r>
        <w:rPr>
          <w:i/>
          <w:iCs/>
          <w:color w:val="222222"/>
          <w:szCs w:val="24"/>
          <w:shd w:val="clear" w:color="auto" w:fill="FFFFFF"/>
        </w:rPr>
        <w:t>16</w:t>
      </w:r>
      <w:r>
        <w:rPr>
          <w:color w:val="222222"/>
          <w:szCs w:val="24"/>
          <w:shd w:val="clear" w:color="auto" w:fill="FFFFFF"/>
        </w:rPr>
        <w:t>(2), 213-238.</w:t>
      </w:r>
      <w:r>
        <w:t xml:space="preserve"> </w:t>
      </w:r>
      <w:r>
        <w:rPr>
          <w:color w:val="222222"/>
          <w:szCs w:val="24"/>
          <w:shd w:val="clear" w:color="auto" w:fill="FFFFFF"/>
        </w:rPr>
        <w:t>Routledge</w:t>
      </w:r>
    </w:p>
    <w:p>
      <w:pPr>
        <w:ind w:left="720" w:hanging="720"/>
        <w:rPr>
          <w:color w:val="222222"/>
          <w:szCs w:val="24"/>
          <w:shd w:val="clear" w:color="auto" w:fill="FFFFFF"/>
        </w:rPr>
      </w:pPr>
      <w:r>
        <w:rPr>
          <w:color w:val="222222"/>
          <w:szCs w:val="24"/>
          <w:shd w:val="clear" w:color="auto" w:fill="FFFFFF"/>
        </w:rPr>
        <w:t>Cummins, J. S., Koval, K. J., Cantu, R. V., and Spratt, K. F. (2011). Do seat belts and air bags reduce mortality and injury severity after car accidents. </w:t>
      </w:r>
      <w:r>
        <w:rPr>
          <w:i/>
          <w:iCs/>
          <w:color w:val="222222"/>
          <w:szCs w:val="24"/>
          <w:shd w:val="clear" w:color="auto" w:fill="FFFFFF"/>
        </w:rPr>
        <w:t>Am J Orthop (Belle Mead NJ)</w:t>
      </w:r>
      <w:r>
        <w:rPr>
          <w:color w:val="222222"/>
          <w:szCs w:val="24"/>
          <w:shd w:val="clear" w:color="auto" w:fill="FFFFFF"/>
        </w:rPr>
        <w:t>, </w:t>
      </w:r>
      <w:r>
        <w:rPr>
          <w:i/>
          <w:iCs/>
          <w:color w:val="222222"/>
          <w:szCs w:val="24"/>
          <w:shd w:val="clear" w:color="auto" w:fill="FFFFFF"/>
        </w:rPr>
        <w:t>40</w:t>
      </w:r>
      <w:r>
        <w:rPr>
          <w:color w:val="222222"/>
          <w:szCs w:val="24"/>
          <w:shd w:val="clear" w:color="auto" w:fill="FFFFFF"/>
        </w:rPr>
        <w:t>(3), E26-9.</w:t>
      </w:r>
    </w:p>
    <w:p>
      <w:pPr>
        <w:ind w:left="720" w:hanging="720"/>
        <w:rPr>
          <w:color w:val="222222"/>
          <w:szCs w:val="24"/>
          <w:shd w:val="clear" w:color="auto" w:fill="FFFFFF"/>
        </w:rPr>
      </w:pPr>
      <w:r>
        <w:rPr>
          <w:color w:val="222222"/>
          <w:szCs w:val="24"/>
          <w:shd w:val="clear" w:color="auto" w:fill="FFFFFF"/>
        </w:rPr>
        <w:t>Daily, Mike, Swarup Medasani, Reinhold Behringer, and Mohan Trivedi. "Self-driving cars." </w:t>
      </w:r>
      <w:r>
        <w:rPr>
          <w:i/>
          <w:iCs/>
          <w:color w:val="222222"/>
          <w:szCs w:val="24"/>
          <w:shd w:val="clear" w:color="auto" w:fill="FFFFFF"/>
        </w:rPr>
        <w:t>Computer</w:t>
      </w:r>
      <w:r>
        <w:rPr>
          <w:color w:val="222222"/>
          <w:szCs w:val="24"/>
          <w:shd w:val="clear" w:color="auto" w:fill="FFFFFF"/>
        </w:rPr>
        <w:t> 50, no. 12 (2017): 18-23. IEEE.</w:t>
      </w:r>
    </w:p>
    <w:p>
      <w:pPr>
        <w:ind w:left="720" w:hanging="720"/>
        <w:rPr>
          <w:color w:val="222222"/>
          <w:szCs w:val="24"/>
          <w:shd w:val="clear" w:color="auto" w:fill="FFFFFF"/>
        </w:rPr>
      </w:pPr>
      <w:r>
        <w:rPr>
          <w:color w:val="222222"/>
          <w:szCs w:val="24"/>
          <w:shd w:val="clear" w:color="auto" w:fill="FFFFFF"/>
        </w:rPr>
        <w:t>Dhingra, S., Ottaviano, G., Sampson, T., and Van Reenen, J. (2016). The impact of Brexit on foreign investment in the UK. </w:t>
      </w:r>
      <w:r>
        <w:rPr>
          <w:i/>
          <w:iCs/>
          <w:color w:val="222222"/>
          <w:szCs w:val="24"/>
          <w:shd w:val="clear" w:color="auto" w:fill="FFFFFF"/>
        </w:rPr>
        <w:t>BREXIT 2016</w:t>
      </w:r>
      <w:r>
        <w:rPr>
          <w:color w:val="222222"/>
          <w:szCs w:val="24"/>
          <w:shd w:val="clear" w:color="auto" w:fill="FFFFFF"/>
        </w:rPr>
        <w:t>, </w:t>
      </w:r>
      <w:r>
        <w:rPr>
          <w:i/>
          <w:iCs/>
          <w:color w:val="222222"/>
          <w:szCs w:val="24"/>
          <w:shd w:val="clear" w:color="auto" w:fill="FFFFFF"/>
        </w:rPr>
        <w:t>24</w:t>
      </w:r>
      <w:r>
        <w:rPr>
          <w:color w:val="222222"/>
          <w:szCs w:val="24"/>
          <w:shd w:val="clear" w:color="auto" w:fill="FFFFFF"/>
        </w:rPr>
        <w:t>(2).</w:t>
      </w:r>
      <w:r>
        <w:rPr>
          <w:szCs w:val="24"/>
        </w:rPr>
        <w:t xml:space="preserve"> </w:t>
      </w:r>
      <w:r>
        <w:rPr>
          <w:color w:val="222222"/>
          <w:szCs w:val="24"/>
          <w:shd w:val="clear" w:color="auto" w:fill="FFFFFF"/>
        </w:rPr>
        <w:t>library.kiet.re.kr</w:t>
      </w:r>
    </w:p>
    <w:p>
      <w:pPr>
        <w:ind w:left="720" w:hanging="720"/>
        <w:rPr>
          <w:szCs w:val="24"/>
        </w:rPr>
      </w:pPr>
      <w:r>
        <w:rPr>
          <w:szCs w:val="24"/>
        </w:rPr>
        <w:t xml:space="preserve">Dodson, B. (2012). China Fast Forward: </w:t>
      </w:r>
      <w:r>
        <w:rPr>
          <w:i/>
          <w:szCs w:val="24"/>
        </w:rPr>
        <w:t>The Technologies, Green Industries and Innovations Driving the Mainland's Future</w:t>
      </w:r>
      <w:r>
        <w:rPr>
          <w:szCs w:val="24"/>
        </w:rPr>
        <w:t>. John Wiley and Sons.</w:t>
      </w:r>
    </w:p>
    <w:p>
      <w:pPr>
        <w:ind w:left="720" w:hanging="720"/>
        <w:rPr>
          <w:szCs w:val="24"/>
        </w:rPr>
      </w:pPr>
      <w:r>
        <w:rPr>
          <w:color w:val="222222"/>
          <w:szCs w:val="24"/>
          <w:shd w:val="clear" w:color="auto" w:fill="FFFFFF"/>
        </w:rPr>
        <w:t>Irawati, D. (2011). </w:t>
      </w:r>
      <w:r>
        <w:rPr>
          <w:i/>
          <w:iCs/>
          <w:color w:val="222222"/>
          <w:szCs w:val="24"/>
          <w:shd w:val="clear" w:color="auto" w:fill="FFFFFF"/>
        </w:rPr>
        <w:t>Knowledge transfer in the automobile industry: Global-local production networks</w:t>
      </w:r>
      <w:r>
        <w:rPr>
          <w:color w:val="222222"/>
          <w:szCs w:val="24"/>
          <w:shd w:val="clear" w:color="auto" w:fill="FFFFFF"/>
        </w:rPr>
        <w:t> (Vol. 97). Routledge.</w:t>
      </w:r>
    </w:p>
    <w:p>
      <w:pPr>
        <w:ind w:left="720" w:hanging="720"/>
        <w:rPr>
          <w:color w:val="222222"/>
          <w:szCs w:val="24"/>
          <w:shd w:val="clear" w:color="auto" w:fill="FFFFFF"/>
        </w:rPr>
      </w:pPr>
      <w:r>
        <w:rPr>
          <w:color w:val="222222"/>
          <w:szCs w:val="24"/>
          <w:shd w:val="clear" w:color="auto" w:fill="FFFFFF"/>
        </w:rPr>
        <w:t>Kurfess, T., and Cass, W. J. (2014). Rethinking additive manufacturing and intellectual property protection. </w:t>
      </w:r>
      <w:r>
        <w:rPr>
          <w:i/>
          <w:iCs/>
          <w:color w:val="222222"/>
          <w:szCs w:val="24"/>
          <w:shd w:val="clear" w:color="auto" w:fill="FFFFFF"/>
        </w:rPr>
        <w:t>Research-Technology Management</w:t>
      </w:r>
      <w:r>
        <w:rPr>
          <w:color w:val="222222"/>
          <w:szCs w:val="24"/>
          <w:shd w:val="clear" w:color="auto" w:fill="FFFFFF"/>
        </w:rPr>
        <w:t>, </w:t>
      </w:r>
      <w:r>
        <w:rPr>
          <w:i/>
          <w:iCs/>
          <w:color w:val="222222"/>
          <w:szCs w:val="24"/>
          <w:shd w:val="clear" w:color="auto" w:fill="FFFFFF"/>
        </w:rPr>
        <w:t>57</w:t>
      </w:r>
      <w:r>
        <w:rPr>
          <w:color w:val="222222"/>
          <w:szCs w:val="24"/>
          <w:shd w:val="clear" w:color="auto" w:fill="FFFFFF"/>
        </w:rPr>
        <w:t>(5), 35-42.</w:t>
      </w:r>
      <w:r>
        <w:rPr>
          <w:szCs w:val="24"/>
        </w:rPr>
        <w:t xml:space="preserve"> </w:t>
      </w:r>
      <w:r>
        <w:rPr>
          <w:color w:val="222222"/>
          <w:szCs w:val="24"/>
          <w:shd w:val="clear" w:color="auto" w:fill="FFFFFF"/>
        </w:rPr>
        <w:t>Taylor and Francis</w:t>
      </w:r>
    </w:p>
    <w:p>
      <w:pPr>
        <w:ind w:left="720" w:hanging="720"/>
        <w:rPr>
          <w:color w:val="222222"/>
          <w:szCs w:val="24"/>
          <w:shd w:val="clear" w:color="auto" w:fill="FFFFFF"/>
        </w:rPr>
      </w:pPr>
      <w:r>
        <w:rPr>
          <w:color w:val="222222"/>
          <w:szCs w:val="24"/>
          <w:shd w:val="clear" w:color="auto" w:fill="FFFFFF"/>
        </w:rPr>
        <w:t>Nohria, N., and Garcia‐Pont, C. (2011). Global strategic linkages and industry structure. </w:t>
      </w:r>
      <w:r>
        <w:rPr>
          <w:i/>
          <w:iCs/>
          <w:color w:val="222222"/>
          <w:szCs w:val="24"/>
          <w:shd w:val="clear" w:color="auto" w:fill="FFFFFF"/>
        </w:rPr>
        <w:t>Strategic management journal</w:t>
      </w:r>
      <w:r>
        <w:rPr>
          <w:color w:val="222222"/>
          <w:szCs w:val="24"/>
          <w:shd w:val="clear" w:color="auto" w:fill="FFFFFF"/>
        </w:rPr>
        <w:t>, </w:t>
      </w:r>
      <w:r>
        <w:rPr>
          <w:i/>
          <w:iCs/>
          <w:color w:val="222222"/>
          <w:szCs w:val="24"/>
          <w:shd w:val="clear" w:color="auto" w:fill="FFFFFF"/>
        </w:rPr>
        <w:t>12</w:t>
      </w:r>
      <w:r>
        <w:rPr>
          <w:color w:val="222222"/>
          <w:szCs w:val="24"/>
          <w:shd w:val="clear" w:color="auto" w:fill="FFFFFF"/>
        </w:rPr>
        <w:t>(S1), 105-124.</w:t>
      </w:r>
    </w:p>
    <w:p>
      <w:pPr>
        <w:ind w:left="720" w:hanging="720"/>
        <w:rPr>
          <w:color w:val="222222"/>
          <w:szCs w:val="24"/>
          <w:shd w:val="clear" w:color="auto" w:fill="FFFFFF"/>
        </w:rPr>
      </w:pPr>
      <w:r>
        <w:rPr>
          <w:color w:val="222222"/>
          <w:szCs w:val="24"/>
          <w:shd w:val="clear" w:color="auto" w:fill="FFFFFF"/>
        </w:rPr>
        <w:t>Qobo, M., and Le Pere, G. (2019). China and US Geoeconomic Tussle and Implications. </w:t>
      </w:r>
      <w:r>
        <w:rPr>
          <w:i/>
          <w:iCs/>
          <w:color w:val="222222"/>
          <w:szCs w:val="24"/>
          <w:shd w:val="clear" w:color="auto" w:fill="FFFFFF"/>
        </w:rPr>
        <w:t>China and the World</w:t>
      </w:r>
      <w:r>
        <w:rPr>
          <w:color w:val="222222"/>
          <w:szCs w:val="24"/>
          <w:shd w:val="clear" w:color="auto" w:fill="FFFFFF"/>
        </w:rPr>
        <w:t>, </w:t>
      </w:r>
      <w:r>
        <w:rPr>
          <w:i/>
          <w:iCs/>
          <w:color w:val="222222"/>
          <w:szCs w:val="24"/>
          <w:shd w:val="clear" w:color="auto" w:fill="FFFFFF"/>
        </w:rPr>
        <w:t>2</w:t>
      </w:r>
      <w:r>
        <w:rPr>
          <w:color w:val="222222"/>
          <w:szCs w:val="24"/>
          <w:shd w:val="clear" w:color="auto" w:fill="FFFFFF"/>
        </w:rPr>
        <w:t>(03), 1950014.</w:t>
      </w:r>
      <w:r>
        <w:rPr>
          <w:szCs w:val="24"/>
        </w:rPr>
        <w:t xml:space="preserve"> </w:t>
      </w:r>
      <w:r>
        <w:rPr>
          <w:color w:val="222222"/>
          <w:szCs w:val="24"/>
          <w:shd w:val="clear" w:color="auto" w:fill="FFFFFF"/>
        </w:rPr>
        <w:t>World Scientific.</w:t>
      </w:r>
    </w:p>
    <w:p>
      <w:pPr>
        <w:ind w:left="720" w:hanging="720"/>
        <w:rPr>
          <w:color w:val="222222"/>
          <w:szCs w:val="24"/>
          <w:shd w:val="clear" w:color="auto" w:fill="FFFFFF"/>
        </w:rPr>
      </w:pPr>
      <w:r>
        <w:rPr>
          <w:color w:val="222222"/>
          <w:szCs w:val="24"/>
          <w:shd w:val="clear" w:color="auto" w:fill="FFFFFF"/>
        </w:rPr>
        <w:t>Ray, S., and Miglani, S. (2016). The role of FDI in fostering growth in the automobile sector in India. </w:t>
      </w:r>
      <w:r>
        <w:rPr>
          <w:i/>
          <w:iCs/>
          <w:color w:val="222222"/>
          <w:szCs w:val="24"/>
          <w:shd w:val="clear" w:color="auto" w:fill="FFFFFF"/>
        </w:rPr>
        <w:t>Asia Pacific Tech Monitor, April-June</w:t>
      </w:r>
      <w:r>
        <w:rPr>
          <w:color w:val="222222"/>
          <w:szCs w:val="24"/>
          <w:shd w:val="clear" w:color="auto" w:fill="FFFFFF"/>
        </w:rPr>
        <w:t>.</w:t>
      </w:r>
      <w:r>
        <w:t xml:space="preserve"> </w:t>
      </w:r>
      <w:r>
        <w:rPr>
          <w:color w:val="222222"/>
          <w:szCs w:val="24"/>
          <w:shd w:val="clear" w:color="auto" w:fill="FFFFFF"/>
        </w:rPr>
        <w:t>Elsevier</w:t>
      </w:r>
    </w:p>
    <w:p>
      <w:pPr>
        <w:ind w:left="720" w:hanging="720"/>
        <w:rPr>
          <w:color w:val="222222"/>
          <w:szCs w:val="24"/>
          <w:shd w:val="clear" w:color="auto" w:fill="FFFFFF"/>
        </w:rPr>
      </w:pPr>
      <w:r>
        <w:rPr>
          <w:color w:val="222222"/>
          <w:szCs w:val="24"/>
          <w:shd w:val="clear" w:color="auto" w:fill="FFFFFF"/>
        </w:rPr>
        <w:t>Tan, J., Chua, W. L., Chow, C. K., Chong, M. C., and Chew, B. C. (2012). PESTLE Analysis on Toyota Hybrid Vehicles. </w:t>
      </w:r>
      <w:r>
        <w:rPr>
          <w:i/>
          <w:iCs/>
          <w:color w:val="222222"/>
          <w:szCs w:val="24"/>
          <w:shd w:val="clear" w:color="auto" w:fill="FFFFFF"/>
        </w:rPr>
        <w:t>J]. Academia Edu</w:t>
      </w:r>
      <w:r>
        <w:rPr>
          <w:color w:val="222222"/>
          <w:szCs w:val="24"/>
          <w:shd w:val="clear" w:color="auto" w:fill="FFFFFF"/>
        </w:rPr>
        <w:t>.</w:t>
      </w:r>
    </w:p>
    <w:p>
      <w:pPr>
        <w:ind w:left="720" w:hanging="720"/>
        <w:rPr>
          <w:color w:val="222222"/>
          <w:szCs w:val="24"/>
          <w:shd w:val="clear" w:color="auto" w:fill="FFFFFF"/>
        </w:rPr>
      </w:pPr>
      <w:r>
        <w:rPr>
          <w:color w:val="222222"/>
          <w:szCs w:val="24"/>
          <w:shd w:val="clear" w:color="auto" w:fill="FFFFFF"/>
        </w:rPr>
        <w:t xml:space="preserve">Van Ratingen, M., Williams, A., Lie, A., Seeck, A., Castaing, P., Kolke, R., ... and Miller, A. (2016). The European new car assessment programme: a historical review. Chinese journal of traumatology, 19(2), 63-69. Elsevier. </w:t>
      </w:r>
    </w:p>
    <w:p>
      <w:pPr>
        <w:ind w:left="720" w:hanging="720"/>
      </w:pPr>
    </w:p>
    <w:p>
      <w:pPr>
        <w:ind w:left="720" w:hanging="720"/>
      </w:pPr>
    </w:p>
    <w:sectPr>
      <w:headerReference r:id="rId3" w:type="default"/>
      <w:footerReference r:id="rId4"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6378727"/>
      <w:docPartObj>
        <w:docPartGallery w:val="autotext"/>
      </w:docPartObj>
    </w:sdtPr>
    <w:sdtContent>
      <w:p>
        <w:pPr>
          <w:pStyle w:val="4"/>
          <w:jc w:val="right"/>
        </w:pPr>
        <w:r>
          <w:fldChar w:fldCharType="begin"/>
        </w:r>
        <w:r>
          <w:instrText xml:space="preserve"> PAGE   \* MERGEFORMAT </w:instrText>
        </w:r>
        <w:r>
          <w:fldChar w:fldCharType="separate"/>
        </w:r>
        <w:r>
          <w:t>2</w:t>
        </w:r>
        <w:r>
          <w:fldChar w:fldCharType="end"/>
        </w:r>
      </w:p>
    </w:sdtContent>
  </w:sdt>
  <w:p>
    <w:pPr>
      <w:pStyle w:val="4"/>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right"/>
    </w:pPr>
    <w:r>
      <w:t>Environmental Analysis of an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B7A"/>
    <w:rsid w:val="00001AE5"/>
    <w:rsid w:val="00024934"/>
    <w:rsid w:val="000461E6"/>
    <w:rsid w:val="000465D0"/>
    <w:rsid w:val="00062DB2"/>
    <w:rsid w:val="00063466"/>
    <w:rsid w:val="00067703"/>
    <w:rsid w:val="00075225"/>
    <w:rsid w:val="000958FE"/>
    <w:rsid w:val="000A5854"/>
    <w:rsid w:val="000B5557"/>
    <w:rsid w:val="000E5A90"/>
    <w:rsid w:val="000E63C4"/>
    <w:rsid w:val="000E7A9C"/>
    <w:rsid w:val="00102A26"/>
    <w:rsid w:val="001574D0"/>
    <w:rsid w:val="001855FE"/>
    <w:rsid w:val="00187A0B"/>
    <w:rsid w:val="001B28EF"/>
    <w:rsid w:val="001D04DE"/>
    <w:rsid w:val="001E18EE"/>
    <w:rsid w:val="002040D2"/>
    <w:rsid w:val="0021464F"/>
    <w:rsid w:val="00214702"/>
    <w:rsid w:val="0022550B"/>
    <w:rsid w:val="002C70CF"/>
    <w:rsid w:val="002D5EFF"/>
    <w:rsid w:val="0030569B"/>
    <w:rsid w:val="00313EA9"/>
    <w:rsid w:val="003155E4"/>
    <w:rsid w:val="0032220A"/>
    <w:rsid w:val="0032538E"/>
    <w:rsid w:val="00346415"/>
    <w:rsid w:val="003B023B"/>
    <w:rsid w:val="003B1319"/>
    <w:rsid w:val="003B602D"/>
    <w:rsid w:val="003C081A"/>
    <w:rsid w:val="003D6325"/>
    <w:rsid w:val="00412902"/>
    <w:rsid w:val="00415C15"/>
    <w:rsid w:val="00426A19"/>
    <w:rsid w:val="00460382"/>
    <w:rsid w:val="00474242"/>
    <w:rsid w:val="0047513C"/>
    <w:rsid w:val="004D33AA"/>
    <w:rsid w:val="004D6CDF"/>
    <w:rsid w:val="004E093F"/>
    <w:rsid w:val="004F6871"/>
    <w:rsid w:val="00501942"/>
    <w:rsid w:val="00516A79"/>
    <w:rsid w:val="00526C9E"/>
    <w:rsid w:val="00576F11"/>
    <w:rsid w:val="005C521A"/>
    <w:rsid w:val="006012DD"/>
    <w:rsid w:val="0062401E"/>
    <w:rsid w:val="00624C07"/>
    <w:rsid w:val="006415F3"/>
    <w:rsid w:val="006866EC"/>
    <w:rsid w:val="006868E1"/>
    <w:rsid w:val="006B11FC"/>
    <w:rsid w:val="006B5534"/>
    <w:rsid w:val="006B5A1A"/>
    <w:rsid w:val="006C03F0"/>
    <w:rsid w:val="006C5797"/>
    <w:rsid w:val="006D5810"/>
    <w:rsid w:val="006D74BF"/>
    <w:rsid w:val="00706A50"/>
    <w:rsid w:val="00722FFE"/>
    <w:rsid w:val="007424DD"/>
    <w:rsid w:val="007669AC"/>
    <w:rsid w:val="007A4408"/>
    <w:rsid w:val="007C0865"/>
    <w:rsid w:val="007E2E63"/>
    <w:rsid w:val="007F11BB"/>
    <w:rsid w:val="007F795B"/>
    <w:rsid w:val="00810C35"/>
    <w:rsid w:val="0081469D"/>
    <w:rsid w:val="00832E4F"/>
    <w:rsid w:val="00854AD5"/>
    <w:rsid w:val="00874974"/>
    <w:rsid w:val="0088113A"/>
    <w:rsid w:val="00911EB2"/>
    <w:rsid w:val="00930B7A"/>
    <w:rsid w:val="00933A72"/>
    <w:rsid w:val="0094720C"/>
    <w:rsid w:val="0097403D"/>
    <w:rsid w:val="00984A28"/>
    <w:rsid w:val="009871CE"/>
    <w:rsid w:val="00996288"/>
    <w:rsid w:val="009A20AA"/>
    <w:rsid w:val="009B7377"/>
    <w:rsid w:val="009D790B"/>
    <w:rsid w:val="00A26FCA"/>
    <w:rsid w:val="00A312D4"/>
    <w:rsid w:val="00A46E69"/>
    <w:rsid w:val="00A5642A"/>
    <w:rsid w:val="00A711C2"/>
    <w:rsid w:val="00A73F4D"/>
    <w:rsid w:val="00A76078"/>
    <w:rsid w:val="00A804E1"/>
    <w:rsid w:val="00A90A54"/>
    <w:rsid w:val="00A94904"/>
    <w:rsid w:val="00AA4B94"/>
    <w:rsid w:val="00AF7A22"/>
    <w:rsid w:val="00B51C73"/>
    <w:rsid w:val="00B54167"/>
    <w:rsid w:val="00B60C7D"/>
    <w:rsid w:val="00B71E4B"/>
    <w:rsid w:val="00BF086C"/>
    <w:rsid w:val="00C12242"/>
    <w:rsid w:val="00C344D5"/>
    <w:rsid w:val="00C3503F"/>
    <w:rsid w:val="00C42014"/>
    <w:rsid w:val="00C42BCB"/>
    <w:rsid w:val="00C565E4"/>
    <w:rsid w:val="00C621B2"/>
    <w:rsid w:val="00C83D8D"/>
    <w:rsid w:val="00C963BF"/>
    <w:rsid w:val="00CB7389"/>
    <w:rsid w:val="00D74E4B"/>
    <w:rsid w:val="00D878E3"/>
    <w:rsid w:val="00D94EC5"/>
    <w:rsid w:val="00DE228F"/>
    <w:rsid w:val="00DF30CF"/>
    <w:rsid w:val="00E55756"/>
    <w:rsid w:val="00E64BEA"/>
    <w:rsid w:val="00E77D37"/>
    <w:rsid w:val="00EB566A"/>
    <w:rsid w:val="00EE7547"/>
    <w:rsid w:val="00F24F68"/>
    <w:rsid w:val="00F41061"/>
    <w:rsid w:val="00F45A1E"/>
    <w:rsid w:val="00F53E3C"/>
    <w:rsid w:val="00F610EF"/>
    <w:rsid w:val="00F746D9"/>
    <w:rsid w:val="00F8174A"/>
    <w:rsid w:val="00FB5E20"/>
    <w:rsid w:val="00FE4B8A"/>
    <w:rsid w:val="00FE6817"/>
    <w:rsid w:val="00FF1F3E"/>
    <w:rsid w:val="1A4A6E21"/>
    <w:rsid w:val="5F3E68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0" w:after="200" w:line="276" w:lineRule="auto"/>
    </w:pPr>
    <w:rPr>
      <w:rFonts w:ascii="Times New Roman" w:hAnsi="Times New Roman" w:eastAsia="Calibri" w:cs="Times New Roman"/>
      <w:sz w:val="24"/>
      <w:szCs w:val="22"/>
      <w:lang w:val="en-GB" w:eastAsia="en-US" w:bidi="ar-SA"/>
    </w:rPr>
  </w:style>
  <w:style w:type="paragraph" w:styleId="2">
    <w:name w:val="heading 1"/>
    <w:basedOn w:val="1"/>
    <w:next w:val="1"/>
    <w:link w:val="11"/>
    <w:qFormat/>
    <w:uiPriority w:val="9"/>
    <w:pPr>
      <w:keepNext/>
      <w:keepLines/>
      <w:spacing w:before="240" w:after="0" w:line="259" w:lineRule="auto"/>
      <w:jc w:val="center"/>
      <w:outlineLvl w:val="0"/>
    </w:pPr>
    <w:rPr>
      <w:rFonts w:eastAsiaTheme="majorEastAsia" w:cstheme="majorBidi"/>
      <w:b/>
      <w:sz w:val="32"/>
      <w:szCs w:val="32"/>
    </w:rPr>
  </w:style>
  <w:style w:type="paragraph" w:styleId="3">
    <w:name w:val="heading 2"/>
    <w:basedOn w:val="1"/>
    <w:next w:val="1"/>
    <w:link w:val="12"/>
    <w:unhideWhenUsed/>
    <w:qFormat/>
    <w:uiPriority w:val="9"/>
    <w:pPr>
      <w:keepNext/>
      <w:keepLines/>
      <w:spacing w:before="40" w:after="0"/>
      <w:jc w:val="center"/>
      <w:outlineLvl w:val="1"/>
    </w:pPr>
    <w:rPr>
      <w:rFonts w:eastAsiaTheme="majorEastAsia" w:cstheme="majorBidi"/>
      <w:b/>
      <w:sz w:val="26"/>
      <w:szCs w:val="26"/>
    </w:rPr>
  </w:style>
  <w:style w:type="character" w:default="1" w:styleId="8">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4">
    <w:name w:val="footer"/>
    <w:basedOn w:val="1"/>
    <w:link w:val="15"/>
    <w:unhideWhenUsed/>
    <w:uiPriority w:val="99"/>
    <w:pPr>
      <w:tabs>
        <w:tab w:val="center" w:pos="4513"/>
        <w:tab w:val="right" w:pos="9026"/>
      </w:tabs>
      <w:spacing w:after="0" w:line="240" w:lineRule="auto"/>
    </w:pPr>
  </w:style>
  <w:style w:type="paragraph" w:styleId="5">
    <w:name w:val="header"/>
    <w:basedOn w:val="1"/>
    <w:link w:val="14"/>
    <w:unhideWhenUsed/>
    <w:uiPriority w:val="99"/>
    <w:pPr>
      <w:tabs>
        <w:tab w:val="center" w:pos="4513"/>
        <w:tab w:val="right" w:pos="9026"/>
      </w:tabs>
      <w:spacing w:after="0" w:line="240" w:lineRule="auto"/>
    </w:p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40"/>
    </w:pPr>
  </w:style>
  <w:style w:type="character" w:styleId="9">
    <w:name w:val="Hyperlink"/>
    <w:basedOn w:val="8"/>
    <w:unhideWhenUsed/>
    <w:uiPriority w:val="99"/>
    <w:rPr>
      <w:color w:val="0563C1" w:themeColor="hyperlink"/>
      <w:u w:val="single"/>
      <w14:textFill>
        <w14:solidFill>
          <w14:schemeClr w14:val="hlink"/>
        </w14:solidFill>
      </w14:textFill>
    </w:rPr>
  </w:style>
  <w:style w:type="character" w:customStyle="1" w:styleId="11">
    <w:name w:val="Heading 1 Char"/>
    <w:basedOn w:val="8"/>
    <w:link w:val="2"/>
    <w:uiPriority w:val="9"/>
    <w:rPr>
      <w:rFonts w:ascii="Times New Roman" w:hAnsi="Times New Roman" w:eastAsiaTheme="majorEastAsia" w:cstheme="majorBidi"/>
      <w:b/>
      <w:sz w:val="32"/>
      <w:szCs w:val="32"/>
      <w:lang w:val="en-GB"/>
    </w:rPr>
  </w:style>
  <w:style w:type="character" w:customStyle="1" w:styleId="12">
    <w:name w:val="Heading 2 Char"/>
    <w:basedOn w:val="8"/>
    <w:link w:val="3"/>
    <w:uiPriority w:val="9"/>
    <w:rPr>
      <w:rFonts w:ascii="Times New Roman" w:hAnsi="Times New Roman" w:eastAsiaTheme="majorEastAsia" w:cstheme="majorBidi"/>
      <w:b/>
      <w:sz w:val="26"/>
      <w:szCs w:val="26"/>
      <w:lang w:val="en-GB"/>
    </w:rPr>
  </w:style>
  <w:style w:type="paragraph" w:customStyle="1" w:styleId="13">
    <w:name w:val="TOC Heading"/>
    <w:basedOn w:val="2"/>
    <w:next w:val="1"/>
    <w:unhideWhenUsed/>
    <w:qFormat/>
    <w:uiPriority w:val="39"/>
    <w:pPr>
      <w:jc w:val="left"/>
      <w:outlineLvl w:val="9"/>
    </w:pPr>
    <w:rPr>
      <w:rFonts w:asciiTheme="majorHAnsi" w:hAnsiTheme="majorHAnsi"/>
      <w:b w:val="0"/>
      <w:color w:val="2E75B6" w:themeColor="accent1" w:themeShade="BF"/>
      <w:lang w:val="en-US"/>
    </w:rPr>
  </w:style>
  <w:style w:type="character" w:customStyle="1" w:styleId="14">
    <w:name w:val="Header Char"/>
    <w:basedOn w:val="8"/>
    <w:link w:val="5"/>
    <w:uiPriority w:val="99"/>
    <w:rPr>
      <w:rFonts w:ascii="Times New Roman" w:hAnsi="Times New Roman" w:cs="Times New Roman"/>
      <w:sz w:val="24"/>
      <w:lang w:val="en-GB"/>
    </w:rPr>
  </w:style>
  <w:style w:type="character" w:customStyle="1" w:styleId="15">
    <w:name w:val="Footer Char"/>
    <w:basedOn w:val="8"/>
    <w:link w:val="4"/>
    <w:uiPriority w:val="99"/>
    <w:rPr>
      <w:rFonts w:ascii="Times New Roman" w:hAnsi="Times New Roman" w:cs="Times New Roman"/>
      <w:sz w:val="24"/>
      <w:lang w:val="en-GB"/>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BB99D91-4C33-46A9-AC6F-BA8490BCDD5D}">
  <ds:schemaRefs/>
</ds:datastoreItem>
</file>

<file path=docProps/app.xml><?xml version="1.0" encoding="utf-8"?>
<Properties xmlns="http://schemas.openxmlformats.org/officeDocument/2006/extended-properties" xmlns:vt="http://schemas.openxmlformats.org/officeDocument/2006/docPropsVTypes">
  <Template>Normal</Template>
  <Pages>9</Pages>
  <Words>2408</Words>
  <Characters>13726</Characters>
  <Lines>114</Lines>
  <Paragraphs>32</Paragraphs>
  <TotalTime>1128</TotalTime>
  <ScaleCrop>false</ScaleCrop>
  <LinksUpToDate>false</LinksUpToDate>
  <CharactersWithSpaces>16102</CharactersWithSpaces>
  <Application>WPS Office_11.2.0.9445_F1E327BC-269C-435d-A152-05C5408002CA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2020-07-06T10:42:00Z</dcterms:created>
  <dc:creator>Windows User</dc:creator>
  <cp:lastModifiedBy>Ragnar</cp:lastModifiedBy>
  <dcterms:modified xsi:type="dcterms:W3CDTF">2020-08-29T06:00:18Z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1033-11.2.0.9445</vt:lpwstr>
  </property>
</Properties>
</file>