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A7BD9D0">
        <w:rPr>
          <w:color w:val="000000" w:themeColor="text1"/>
          <w:sz w:val="24"/>
          <w:szCs w:val="24"/>
        </w:rPr>
        <w:t>+</w:t>
      </w:r>
      <w:r w:rsidR="5592E16B">
        <w:rPr>
          <w:noProof/>
        </w:rPr>
        <w:drawing>
          <wp:inline distT="0" distB="0" distL="0" distR="0" wp14:anchorId="661DC7E3" wp14:editId="0F6D5C44">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22620A2F" w:rsidR="7908378C" w:rsidRDefault="7908378C" w:rsidP="33572C6E">
            <w:pPr>
              <w:ind w:right="237"/>
              <w:rPr>
                <w:b/>
                <w:bCs/>
                <w:color w:val="auto"/>
                <w:sz w:val="32"/>
                <w:szCs w:val="32"/>
              </w:rPr>
            </w:pPr>
            <w:r w:rsidRPr="33572C6E">
              <w:rPr>
                <w:b/>
                <w:bCs/>
                <w:color w:val="auto"/>
                <w:sz w:val="32"/>
                <w:szCs w:val="32"/>
              </w:rPr>
              <w:t>Learner name: __</w:t>
            </w:r>
            <w:r w:rsidR="003C4B3D">
              <w:rPr>
                <w:b/>
                <w:bCs/>
                <w:color w:val="auto"/>
                <w:sz w:val="32"/>
                <w:szCs w:val="32"/>
              </w:rPr>
              <w:t>Poppy Jenkins</w:t>
            </w:r>
            <w:r w:rsidRPr="33572C6E">
              <w:rPr>
                <w:b/>
                <w:bCs/>
                <w:color w:val="auto"/>
                <w:sz w:val="32"/>
                <w:szCs w:val="32"/>
              </w:rPr>
              <w:t>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191FC8B" w:rsidR="7908378C" w:rsidRDefault="7908378C" w:rsidP="33572C6E">
            <w:pPr>
              <w:ind w:right="237"/>
              <w:rPr>
                <w:b/>
                <w:bCs/>
                <w:color w:val="auto"/>
                <w:sz w:val="32"/>
                <w:szCs w:val="32"/>
              </w:rPr>
            </w:pPr>
            <w:r w:rsidRPr="33572C6E">
              <w:rPr>
                <w:b/>
                <w:bCs/>
                <w:color w:val="auto"/>
                <w:sz w:val="32"/>
                <w:szCs w:val="32"/>
              </w:rPr>
              <w:t>_______</w:t>
            </w:r>
            <w:r w:rsidR="003C4B3D">
              <w:rPr>
                <w:b/>
                <w:bCs/>
                <w:color w:val="auto"/>
                <w:sz w:val="32"/>
                <w:szCs w:val="32"/>
              </w:rPr>
              <w:t>2031348</w:t>
            </w:r>
            <w:r w:rsidRPr="33572C6E">
              <w:rPr>
                <w:b/>
                <w:bCs/>
                <w:color w:val="auto"/>
                <w:sz w:val="32"/>
                <w:szCs w:val="32"/>
              </w:rPr>
              <w:t>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76436A" w:rsidRDefault="5B843AF0" w:rsidP="5B843AF0">
      <w:pPr>
        <w:ind w:right="237"/>
        <w:jc w:val="center"/>
        <w:rPr>
          <w:b/>
          <w:bCs/>
          <w:sz w:val="24"/>
          <w:szCs w:val="24"/>
        </w:rPr>
      </w:pPr>
    </w:p>
    <w:p w14:paraId="18D30E9F"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As police officers we meet vulnerable people on a daily basis as victims, witnesses and suspects. Vulnerability does not discriminate and can be a factor in leading people to commit crime and also increase their chances of being a victim of it. Here I will be discussing an incident whereby I played a significant role with a vulnerable victim of anti-social behaviour (ASB). I will critically evaluate my actions and those of third-party professionals using Borton’s model of reflection and explore what is successful in tacking repeat victimisation and offending.</w:t>
      </w:r>
    </w:p>
    <w:p w14:paraId="73E4B25D" w14:textId="77777777" w:rsidR="00BB22BE" w:rsidRPr="00BB22BE" w:rsidRDefault="00BB22BE" w:rsidP="00BB22BE">
      <w:pPr>
        <w:overflowPunct/>
        <w:autoSpaceDE/>
        <w:autoSpaceDN/>
        <w:adjustRightInd/>
        <w:spacing w:after="160" w:line="360" w:lineRule="auto"/>
        <w:jc w:val="both"/>
        <w:textAlignment w:val="auto"/>
        <w:rPr>
          <w:rFonts w:eastAsiaTheme="minorHAnsi"/>
          <w:color w:val="FF0000"/>
          <w:sz w:val="24"/>
          <w:szCs w:val="24"/>
          <w:lang w:eastAsia="en-US"/>
        </w:rPr>
      </w:pPr>
    </w:p>
    <w:p w14:paraId="279B9A5D" w14:textId="3B28F7CA"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 xml:space="preserve">An incident where I played a significant role with a victim of crime </w:t>
      </w:r>
      <w:r w:rsidR="00613E0C" w:rsidRPr="0076436A">
        <w:rPr>
          <w:rFonts w:eastAsiaTheme="minorHAnsi"/>
          <w:color w:val="auto"/>
          <w:sz w:val="24"/>
          <w:szCs w:val="24"/>
          <w:lang w:eastAsia="en-US"/>
        </w:rPr>
        <w:t>and</w:t>
      </w:r>
      <w:r w:rsidRPr="00BB22BE">
        <w:rPr>
          <w:rFonts w:eastAsiaTheme="minorHAnsi"/>
          <w:color w:val="auto"/>
          <w:sz w:val="24"/>
          <w:szCs w:val="24"/>
          <w:lang w:eastAsia="en-US"/>
        </w:rPr>
        <w:t xml:space="preserve"> anti-social behaviour</w:t>
      </w:r>
      <w:r w:rsidR="00613E0C" w:rsidRPr="0076436A">
        <w:rPr>
          <w:rFonts w:eastAsiaTheme="minorHAnsi"/>
          <w:color w:val="auto"/>
          <w:sz w:val="24"/>
          <w:szCs w:val="24"/>
          <w:lang w:eastAsia="en-US"/>
        </w:rPr>
        <w:t xml:space="preserve"> (ASB)</w:t>
      </w:r>
      <w:r w:rsidRPr="00BB22BE">
        <w:rPr>
          <w:rFonts w:eastAsiaTheme="minorHAnsi"/>
          <w:color w:val="auto"/>
          <w:sz w:val="24"/>
          <w:szCs w:val="24"/>
          <w:lang w:eastAsia="en-US"/>
        </w:rPr>
        <w:t xml:space="preserve"> was when I attended a diary car call for a woman who had had her garden wall hit down by 3 youths. This community is quiet but has regular problems of ASB. ASB is governed in law by the Anti-social Behaviour, Crime and Policing Act 2014</w:t>
      </w:r>
      <w:r w:rsidR="00613E0C" w:rsidRPr="0076436A">
        <w:rPr>
          <w:rFonts w:eastAsiaTheme="minorHAnsi"/>
          <w:color w:val="auto"/>
          <w:sz w:val="24"/>
          <w:szCs w:val="24"/>
          <w:lang w:eastAsia="en-US"/>
        </w:rPr>
        <w:t xml:space="preserve"> and</w:t>
      </w:r>
      <w:r w:rsidRPr="00BB22BE">
        <w:rPr>
          <w:rFonts w:eastAsiaTheme="minorHAnsi"/>
          <w:color w:val="auto"/>
          <w:sz w:val="24"/>
          <w:szCs w:val="24"/>
          <w:lang w:eastAsia="en-US"/>
        </w:rPr>
        <w:t xml:space="preserve"> defined as any behaviour that causes or it likely to cause harassment, alarm or distress (section 2, ASBCP 2014). This area comprised many rows of terraced </w:t>
      </w:r>
      <w:r w:rsidRPr="00BB22BE">
        <w:rPr>
          <w:rFonts w:eastAsiaTheme="minorHAnsi"/>
          <w:color w:val="auto"/>
          <w:sz w:val="24"/>
          <w:szCs w:val="24"/>
          <w:lang w:eastAsia="en-US"/>
        </w:rPr>
        <w:lastRenderedPageBreak/>
        <w:t>houses at different angles meaning there are lots of back alleys and cut throughs. The property in question was an end of terrace with its rear garden wall backing onto a parking lane. No pavements ran adjacent meaning little foot traffic. The other end of the lane exits onto the main road meaning this end also receives little car traffic. This is a tightknit community and the victim had not been in the system prior to their call so from the outset I was acutely aware they may not be familiar with the criminal justice process, and I may need to manage their expectations.</w:t>
      </w:r>
    </w:p>
    <w:p w14:paraId="177DAFF0"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During golden hour enquiries, those undertaken immediately after a crime has occurred (College of Policing), the victim did manage to access their home CCTV system however it only took still images and did not cover the area of the offence. The still images showed three boys at the end of the driveway with a metal pole around the time of the offence. Following house to house enquires one witness was identified who saw three boys matching the description of the boys in the CCTV taking it in turns to pass a metal pole around and hit the wall.</w:t>
      </w:r>
    </w:p>
    <w:p w14:paraId="4BD34EF9"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Several names were suggested for who the boys might be. With the available evidence I consulted the neighbourhood team. After conducting some checks on the police system NICHE, 3 positive matches were identified. Given the boys were aged 9-11 they would not be prosecuted criminally for their actions. I made it clear to the victim from our first meeting that as they were children, we would look to go down the diversionary pathway. This itself makes the victim vulnerable to repeat victimisation which I will return to later. I developed a safety plan for the victim and arranged to deliver the diversionary REACH referrals as part of a positive outcome.</w:t>
      </w:r>
    </w:p>
    <w:p w14:paraId="0489768F"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While attending one of the boys addresses the parents made me aware their son has autism. This created an additional safeguarding need because although the child was a subject of the investigation, they are also vulnerable. As police officers we have a duty to protect all people in our communities, regardless of their involvement in ABS and criminality.</w:t>
      </w:r>
    </w:p>
    <w:p w14:paraId="28960618" w14:textId="77777777" w:rsidR="00BB22BE" w:rsidRPr="00BB22BE" w:rsidRDefault="00BB22BE" w:rsidP="00BB22BE">
      <w:pPr>
        <w:overflowPunct/>
        <w:autoSpaceDE/>
        <w:autoSpaceDN/>
        <w:adjustRightInd/>
        <w:spacing w:after="160" w:line="360" w:lineRule="auto"/>
        <w:jc w:val="both"/>
        <w:textAlignment w:val="auto"/>
        <w:rPr>
          <w:rFonts w:eastAsiaTheme="minorHAnsi"/>
          <w:color w:val="FF0000"/>
          <w:sz w:val="24"/>
          <w:szCs w:val="24"/>
          <w:lang w:eastAsia="en-US"/>
        </w:rPr>
      </w:pPr>
    </w:p>
    <w:p w14:paraId="1E749EC3"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 xml:space="preserve">Vulnerability is not a fixed category and people can find themselves moving in and out of states of vulnerability throughout their lives. Victims are usually classified as vulnerable if they meet the requirements of section 16 of the Youth Justice and Criminal Evidence Act of 1999. This would be if they are under 18, have a mental </w:t>
      </w:r>
      <w:r w:rsidRPr="00BB22BE">
        <w:rPr>
          <w:rFonts w:eastAsiaTheme="minorHAnsi"/>
          <w:color w:val="auto"/>
          <w:sz w:val="24"/>
          <w:szCs w:val="24"/>
          <w:lang w:eastAsia="en-US"/>
        </w:rPr>
        <w:lastRenderedPageBreak/>
        <w:t>health disorder, they have a significant impairment of intelligence or social functioning, or they have a physical disorder or disability. For this call the victim was not classified as vulnerable through this criterion however I deemed her to be vulnerable on the account of the physical vulnerabilities of her position geographically in that her house was not easily overlooked, lit with streetlights or on a pedestrian route meaning it has fewer deterrents. I also classified her as vulnerable due to the risk of her becoming a repeat victim of ASB now that children in the area know her house is an easy target and that we try to give children diversionary courses as opposed to criminal records which can have the negative perception as being let off the hook.</w:t>
      </w:r>
    </w:p>
    <w:p w14:paraId="7AFB62B9"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All victims are given a personalised safety plan unique to their situation and any vulnerabilities are taken into consideration when constructing this. As response officers, we deal with immediate safeguarding concerns. These often include safety advice to keep windows and doors locked, not to engage with any dangerous individuals and call 999 in an emergency. Further to this, if there are any identified weaknesses such as broken doors or missing keys, we arrange emergency repairs and replacements. Management of long-term vulnerability throughout an investigation and beyond predominantly comes from professionals and partner agencies as response officers do not have the time and resources to manage this effectively.</w:t>
      </w:r>
    </w:p>
    <w:p w14:paraId="190742C7" w14:textId="77777777" w:rsidR="00BB22BE" w:rsidRPr="00BB22BE" w:rsidRDefault="00BB22BE" w:rsidP="00BB22BE">
      <w:pPr>
        <w:shd w:val="clear" w:color="auto" w:fill="FFFFFF"/>
        <w:overflowPunct/>
        <w:autoSpaceDE/>
        <w:autoSpaceDN/>
        <w:adjustRightInd/>
        <w:spacing w:after="120" w:line="360" w:lineRule="auto"/>
        <w:jc w:val="both"/>
        <w:textAlignment w:val="auto"/>
        <w:rPr>
          <w:color w:val="auto"/>
          <w:sz w:val="24"/>
          <w:szCs w:val="24"/>
        </w:rPr>
      </w:pPr>
      <w:r w:rsidRPr="00BB22BE">
        <w:rPr>
          <w:color w:val="auto"/>
          <w:sz w:val="24"/>
          <w:szCs w:val="24"/>
        </w:rPr>
        <w:t>Information gathered at an incident goes into creating a Public Protection Notice, PPN. These are sent to the relevant social services departments for assessment and action, highlighting our concerns about the individual and making suggestions on what sort of assistance may benefit them. The purpose is to bring people to their attention and allow them, as the experts, to decide what if any intervention is required. As this victim did not meet the legal definition of vulnerable and her vulnerabilities came from factors that social services are not involved with, I did not submit one for her. However, I did submit one for the three children involved as vulnerability is not limited to victims but expands to witnesses and suspects too. We have a duty to protect and advance the welfare of all those we come into contact with. Any resources they can provide are external to the police.</w:t>
      </w:r>
    </w:p>
    <w:p w14:paraId="4A1FC187" w14:textId="7D92EB42" w:rsidR="00BB22BE" w:rsidRPr="00BB22BE" w:rsidRDefault="00BB22BE" w:rsidP="00BB22BE">
      <w:pPr>
        <w:shd w:val="clear" w:color="auto" w:fill="FFFFFF"/>
        <w:overflowPunct/>
        <w:autoSpaceDE/>
        <w:autoSpaceDN/>
        <w:adjustRightInd/>
        <w:spacing w:after="120" w:line="360" w:lineRule="auto"/>
        <w:jc w:val="both"/>
        <w:textAlignment w:val="auto"/>
        <w:rPr>
          <w:color w:val="auto"/>
          <w:sz w:val="24"/>
          <w:szCs w:val="24"/>
        </w:rPr>
      </w:pPr>
      <w:r w:rsidRPr="00BB22BE">
        <w:rPr>
          <w:color w:val="auto"/>
          <w:sz w:val="24"/>
          <w:szCs w:val="24"/>
        </w:rPr>
        <w:t xml:space="preserve">Within the police however we have a department called Assertive Outreach. Once tagged in a log they can review our assessments of what help may be appropriate and contact the victim themselves to discuss and recommend any target hardening and </w:t>
      </w:r>
      <w:r w:rsidRPr="00BB22BE">
        <w:rPr>
          <w:color w:val="auto"/>
          <w:sz w:val="24"/>
          <w:szCs w:val="24"/>
        </w:rPr>
        <w:lastRenderedPageBreak/>
        <w:t>safeguarding long term. To ensure this is effective there is a fund available to provide certain categories of victim with things such as ring doorbells to help protect them against becoming repeat victims. A repeat victim is taken as someone who is either a victim of more than once linked incident in 12 months or someone who, through their circumstances, is on balance likely to be susceptible to further harm (Essex Police).</w:t>
      </w:r>
      <w:r w:rsidR="00613E0C" w:rsidRPr="0076436A">
        <w:rPr>
          <w:color w:val="auto"/>
          <w:sz w:val="24"/>
          <w:szCs w:val="24"/>
        </w:rPr>
        <w:t xml:space="preserve"> </w:t>
      </w:r>
      <w:r w:rsidRPr="00BB22BE">
        <w:rPr>
          <w:color w:val="auto"/>
          <w:sz w:val="24"/>
          <w:szCs w:val="24"/>
        </w:rPr>
        <w:t>Having a specialist team for this benefits the victim as they have the time to develop and implement personalised support packages. This also gives the attending officer more time to focus on the investigation. The downside to this is that, although every effort is made to deliver a perfect service every time, the quality of the written information assertive outreach receive from officers is impacted by force demand. Officers may have a good understanding of exactly how to help this person, but they do not always have the time to effectively relay that information.</w:t>
      </w:r>
    </w:p>
    <w:p w14:paraId="3F5032B5" w14:textId="77777777" w:rsidR="00BB22BE" w:rsidRPr="00BB22BE" w:rsidRDefault="00BB22BE" w:rsidP="00BB22BE">
      <w:pPr>
        <w:shd w:val="clear" w:color="auto" w:fill="FFFFFF"/>
        <w:overflowPunct/>
        <w:autoSpaceDE/>
        <w:autoSpaceDN/>
        <w:adjustRightInd/>
        <w:spacing w:after="120" w:line="360" w:lineRule="auto"/>
        <w:jc w:val="both"/>
        <w:textAlignment w:val="auto"/>
        <w:rPr>
          <w:color w:val="auto"/>
          <w:sz w:val="24"/>
          <w:szCs w:val="24"/>
        </w:rPr>
      </w:pPr>
      <w:r w:rsidRPr="00BB22BE">
        <w:rPr>
          <w:color w:val="auto"/>
          <w:sz w:val="24"/>
          <w:szCs w:val="24"/>
        </w:rPr>
        <w:t>All children are deemed as vulnerable through their age so when we refer them to third party diversionary schemes, we concede responsibility of the child’s welfare to them. In my experience being able to say to people these courses are run separately to the police has been an incentive for them to consent to a course referral being made. Completing the course is a way of protecting the child from other types of vulnerability long term so I would view any perceived incentive to consent as a benefit. But as we are not directly involved in them, we are reliant on the providers to deliver a strong and effective message.</w:t>
      </w:r>
    </w:p>
    <w:p w14:paraId="02B61B5B" w14:textId="77777777" w:rsidR="00BB22BE" w:rsidRPr="00BB22BE" w:rsidRDefault="00BB22BE" w:rsidP="00BB22BE">
      <w:pPr>
        <w:shd w:val="clear" w:color="auto" w:fill="FFFFFF"/>
        <w:overflowPunct/>
        <w:autoSpaceDE/>
        <w:autoSpaceDN/>
        <w:adjustRightInd/>
        <w:spacing w:after="120" w:line="360" w:lineRule="auto"/>
        <w:jc w:val="both"/>
        <w:textAlignment w:val="auto"/>
        <w:rPr>
          <w:color w:val="auto"/>
          <w:sz w:val="24"/>
          <w:szCs w:val="24"/>
        </w:rPr>
      </w:pPr>
    </w:p>
    <w:p w14:paraId="1F441E1E" w14:textId="77777777" w:rsidR="00BB22BE" w:rsidRPr="00BB22BE" w:rsidRDefault="00BB22BE" w:rsidP="00BB22BE">
      <w:pPr>
        <w:shd w:val="clear" w:color="auto" w:fill="FFFFFF"/>
        <w:overflowPunct/>
        <w:autoSpaceDE/>
        <w:autoSpaceDN/>
        <w:adjustRightInd/>
        <w:spacing w:after="120" w:line="360" w:lineRule="auto"/>
        <w:jc w:val="both"/>
        <w:textAlignment w:val="auto"/>
        <w:rPr>
          <w:color w:val="auto"/>
          <w:sz w:val="24"/>
          <w:szCs w:val="24"/>
        </w:rPr>
      </w:pPr>
      <w:r w:rsidRPr="00BB22BE">
        <w:rPr>
          <w:color w:val="auto"/>
          <w:sz w:val="24"/>
          <w:szCs w:val="24"/>
        </w:rPr>
        <w:t>Repeat victimisation and repeat offending are evolving challenges to modern policing. As a result of this we need to be more pragmatic and look at the evidence to help guide our police work. Sherman was an early proponent of evidence-based policing which he defined as:</w:t>
      </w:r>
    </w:p>
    <w:p w14:paraId="13443740" w14:textId="77777777" w:rsidR="00BB22BE" w:rsidRPr="00BB22BE" w:rsidRDefault="00BB22BE" w:rsidP="00BB22BE">
      <w:pPr>
        <w:shd w:val="clear" w:color="auto" w:fill="FFFFFF"/>
        <w:overflowPunct/>
        <w:autoSpaceDE/>
        <w:autoSpaceDN/>
        <w:adjustRightInd/>
        <w:spacing w:after="120" w:line="360" w:lineRule="auto"/>
        <w:jc w:val="center"/>
        <w:textAlignment w:val="auto"/>
        <w:rPr>
          <w:b/>
          <w:bCs/>
          <w:i/>
          <w:iCs/>
          <w:color w:val="auto"/>
          <w:sz w:val="24"/>
          <w:szCs w:val="24"/>
        </w:rPr>
      </w:pPr>
      <w:r w:rsidRPr="00BB22BE">
        <w:rPr>
          <w:b/>
          <w:bCs/>
          <w:i/>
          <w:iCs/>
          <w:color w:val="auto"/>
          <w:sz w:val="24"/>
          <w:szCs w:val="24"/>
        </w:rPr>
        <w:t>“the use of the best available research on the outcomes of police work to implement guidelines and evaluate agencies, units and officers. Put more simply, evidence-based policing uses research to guide practice and evaluate practitioners. It uses the best evidence to shape the best practice” (Sherman, 1998, p.3-4).</w:t>
      </w:r>
    </w:p>
    <w:p w14:paraId="3B084E45" w14:textId="77777777" w:rsidR="00BB22BE" w:rsidRPr="00BB22BE" w:rsidRDefault="00BB22BE" w:rsidP="00BB22BE">
      <w:pPr>
        <w:overflowPunct/>
        <w:autoSpaceDE/>
        <w:autoSpaceDN/>
        <w:adjustRightInd/>
        <w:spacing w:after="3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 xml:space="preserve">The area in which the above incident occurred had seen a high number of ASB incidents over the summer holidays and predominantly involved groups of youths. In </w:t>
      </w:r>
      <w:r w:rsidRPr="00BB22BE">
        <w:rPr>
          <w:rFonts w:eastAsiaTheme="minorHAnsi"/>
          <w:color w:val="auto"/>
          <w:sz w:val="24"/>
          <w:szCs w:val="24"/>
          <w:lang w:eastAsia="en-US"/>
        </w:rPr>
        <w:lastRenderedPageBreak/>
        <w:t xml:space="preserve">response to this the neighbourhood team had successfully applied for a dispersal notice under section 34 of the Anti-social Behaviour, Crime and Policing Act 2014. For 48 hours people can be directed to leave a location and not return to it. These were in place on several weekends of the summer holidays and additional staff were brought in to assist in enforcing it. This was successful at reducing the volume of ASB as evidence by a reduction in calls and fewer ASB referrals being submitted in this time. </w:t>
      </w:r>
    </w:p>
    <w:p w14:paraId="48AF7380" w14:textId="77777777" w:rsidR="00BB22BE" w:rsidRPr="00BB22BE" w:rsidRDefault="00BB22BE" w:rsidP="00BB22BE">
      <w:pPr>
        <w:overflowPunct/>
        <w:autoSpaceDE/>
        <w:autoSpaceDN/>
        <w:adjustRightInd/>
        <w:spacing w:after="3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 xml:space="preserve">What happened in my situation was that for the weekends the dispersal order was in place the young people causing ASB were not allowed in the area and ASB was reduced. For the weekend where there was no dispersal order in place the young people could return to the area but they were not offered an alternative to their prior activities and police numbers returned to normal levels down from the boosted numbers during the dispersals, making us less equipped to deal with it. </w:t>
      </w:r>
      <w:r w:rsidRPr="00BB22BE">
        <w:rPr>
          <w:spacing w:val="3"/>
          <w:sz w:val="24"/>
          <w:szCs w:val="24"/>
        </w:rPr>
        <w:t xml:space="preserve">The criminology research of Taylor et al adds that short-term increases in police patrols deliver unsustainable reductions in overall crime further supporting the need follow the evidence and look to solve underlying problems (2021, pp.149-181). </w:t>
      </w:r>
      <w:r w:rsidRPr="00BB22BE">
        <w:rPr>
          <w:rFonts w:eastAsiaTheme="minorHAnsi"/>
          <w:color w:val="auto"/>
          <w:sz w:val="24"/>
          <w:szCs w:val="24"/>
          <w:lang w:eastAsia="en-US"/>
        </w:rPr>
        <w:t>Had there been social intervention by way of organised youth activities it is likely ASB levels would have remained lower.</w:t>
      </w:r>
    </w:p>
    <w:p w14:paraId="0DEEC574" w14:textId="77777777" w:rsidR="00BB22BE" w:rsidRPr="00BB22BE" w:rsidRDefault="00BB22BE" w:rsidP="00BB22BE">
      <w:pPr>
        <w:shd w:val="clear" w:color="auto" w:fill="FFFFFF"/>
        <w:overflowPunct/>
        <w:autoSpaceDE/>
        <w:autoSpaceDN/>
        <w:adjustRightInd/>
        <w:spacing w:after="120" w:line="360" w:lineRule="auto"/>
        <w:jc w:val="both"/>
        <w:textAlignment w:val="auto"/>
        <w:rPr>
          <w:color w:val="auto"/>
          <w:sz w:val="24"/>
          <w:szCs w:val="24"/>
        </w:rPr>
      </w:pPr>
      <w:r w:rsidRPr="00BB22BE">
        <w:rPr>
          <w:color w:val="auto"/>
          <w:sz w:val="24"/>
          <w:szCs w:val="24"/>
        </w:rPr>
        <w:t xml:space="preserve">The use of organised youth engagement to reduce ASB is not a new concept. In June 2013, Wigan and Harpurhey in central Manchester both had new community youth clubs. Over the next few months local police reported an ASB reduction of 77% and 51% respectfully as a direct result of strategic and continued partnership between the youth services and local police (ASB Levels, OnSide, 2014). In their book </w:t>
      </w:r>
      <w:r w:rsidRPr="00BB22BE">
        <w:rPr>
          <w:i/>
          <w:iCs/>
          <w:color w:val="auto"/>
          <w:sz w:val="24"/>
          <w:szCs w:val="24"/>
        </w:rPr>
        <w:t>Police Research and Evidence Based Policing</w:t>
      </w:r>
      <w:r w:rsidRPr="00BB22BE">
        <w:rPr>
          <w:color w:val="auto"/>
          <w:sz w:val="24"/>
          <w:szCs w:val="24"/>
        </w:rPr>
        <w:t>, Spooner et al. reiterate the need to review long-held practices and challenge established ways of thinking to see if there is a more appropriate response (p. 12). Policing is not black and white. Outdated and ineffective policies lead to a more inefficient police service and higher public dissatisfaction.</w:t>
      </w:r>
    </w:p>
    <w:p w14:paraId="1C199F5A" w14:textId="77777777" w:rsidR="00BB22BE" w:rsidRPr="00BB22BE" w:rsidRDefault="00BB22BE" w:rsidP="00BB22BE">
      <w:pPr>
        <w:shd w:val="clear" w:color="auto" w:fill="FFFFFF"/>
        <w:overflowPunct/>
        <w:autoSpaceDE/>
        <w:autoSpaceDN/>
        <w:adjustRightInd/>
        <w:spacing w:after="120" w:line="360" w:lineRule="auto"/>
        <w:jc w:val="both"/>
        <w:textAlignment w:val="auto"/>
        <w:rPr>
          <w:color w:val="auto"/>
          <w:sz w:val="24"/>
          <w:szCs w:val="24"/>
        </w:rPr>
      </w:pPr>
      <w:r w:rsidRPr="00BB22BE">
        <w:rPr>
          <w:color w:val="auto"/>
          <w:sz w:val="24"/>
          <w:szCs w:val="24"/>
        </w:rPr>
        <w:t xml:space="preserve">Returning to my situation, we can see the benefit of the dispersal orders in reducing reoffending in the short term as it prevents offenders having access to those areas where they were offending, evidenced by the reduction in calls and referrals. However, a long-term strategy of partnerships with local authority youth services needs to be established because what we did not have in place was a diversionary social structure. Criminology research and the sharing of best practice across police forces shows us </w:t>
      </w:r>
      <w:r w:rsidRPr="00BB22BE">
        <w:rPr>
          <w:color w:val="auto"/>
          <w:sz w:val="24"/>
          <w:szCs w:val="24"/>
        </w:rPr>
        <w:lastRenderedPageBreak/>
        <w:t>that when targeted, proactive and consistent intervention is delivered it massively reduces reoffending and first-time offending. Having an effective system in place ultimately reduces demand on police resources allowing us to focus on other areas.</w:t>
      </w:r>
    </w:p>
    <w:p w14:paraId="1E02F99E" w14:textId="77777777" w:rsidR="00BB22BE" w:rsidRPr="00BB22BE" w:rsidRDefault="00BB22BE" w:rsidP="00BB22BE">
      <w:pPr>
        <w:shd w:val="clear" w:color="auto" w:fill="FFFFFF"/>
        <w:overflowPunct/>
        <w:autoSpaceDE/>
        <w:autoSpaceDN/>
        <w:adjustRightInd/>
        <w:spacing w:after="120" w:line="360" w:lineRule="auto"/>
        <w:jc w:val="both"/>
        <w:textAlignment w:val="auto"/>
        <w:rPr>
          <w:color w:val="0070C0"/>
          <w:sz w:val="24"/>
          <w:szCs w:val="24"/>
        </w:rPr>
      </w:pPr>
    </w:p>
    <w:p w14:paraId="2D9D7BBB" w14:textId="6F312595" w:rsidR="00BB22BE" w:rsidRPr="0076436A" w:rsidRDefault="00BB22BE" w:rsidP="00BB22BE">
      <w:pPr>
        <w:shd w:val="clear" w:color="auto" w:fill="FFFFFF"/>
        <w:overflowPunct/>
        <w:autoSpaceDE/>
        <w:autoSpaceDN/>
        <w:adjustRightInd/>
        <w:spacing w:after="120" w:line="360" w:lineRule="auto"/>
        <w:jc w:val="both"/>
        <w:textAlignment w:val="auto"/>
        <w:rPr>
          <w:color w:val="auto"/>
          <w:sz w:val="24"/>
          <w:szCs w:val="24"/>
        </w:rPr>
      </w:pPr>
      <w:r w:rsidRPr="00BB22BE">
        <w:rPr>
          <w:color w:val="auto"/>
          <w:sz w:val="24"/>
          <w:szCs w:val="24"/>
        </w:rPr>
        <w:t>By working with the victim and the offender we can drive a wedge between them. This, however, relies on not only a commitment to taking dedicated action but by continuing to assess the changing nature of the problem, being innovative with responses and challenging our own understanding of the problem. From dealing with this incident I have gained a deeper understanding of the challenges in neighbourhood policing and how working collaboratively helps at all levels of policing.</w:t>
      </w:r>
      <w:r w:rsidR="0076436A" w:rsidRPr="0076436A">
        <w:rPr>
          <w:color w:val="auto"/>
          <w:sz w:val="24"/>
          <w:szCs w:val="24"/>
        </w:rPr>
        <w:t xml:space="preserve"> I have also improved my ability to communicate with young people and pitching things at a level they can understand.</w:t>
      </w:r>
    </w:p>
    <w:p w14:paraId="609B35BE" w14:textId="77777777" w:rsidR="00BB22BE" w:rsidRPr="0076436A" w:rsidRDefault="00BB22BE" w:rsidP="00BB22BE">
      <w:pPr>
        <w:shd w:val="clear" w:color="auto" w:fill="FFFFFF"/>
        <w:overflowPunct/>
        <w:autoSpaceDE/>
        <w:autoSpaceDN/>
        <w:adjustRightInd/>
        <w:spacing w:after="120" w:line="360" w:lineRule="auto"/>
        <w:jc w:val="both"/>
        <w:textAlignment w:val="auto"/>
        <w:rPr>
          <w:color w:val="auto"/>
          <w:sz w:val="24"/>
          <w:szCs w:val="24"/>
        </w:rPr>
      </w:pPr>
    </w:p>
    <w:p w14:paraId="68317E39" w14:textId="6DC71F27" w:rsidR="00E676F7" w:rsidRDefault="00BB22BE" w:rsidP="00BB22BE">
      <w:pPr>
        <w:shd w:val="clear" w:color="auto" w:fill="FFFFFF"/>
        <w:overflowPunct/>
        <w:autoSpaceDE/>
        <w:autoSpaceDN/>
        <w:adjustRightInd/>
        <w:spacing w:after="120" w:line="360" w:lineRule="auto"/>
        <w:jc w:val="both"/>
        <w:textAlignment w:val="auto"/>
        <w:rPr>
          <w:b/>
          <w:bCs/>
          <w:sz w:val="24"/>
          <w:szCs w:val="24"/>
        </w:rPr>
      </w:pPr>
      <w:r w:rsidRPr="0076436A">
        <w:rPr>
          <w:color w:val="auto"/>
          <w:sz w:val="24"/>
          <w:szCs w:val="24"/>
        </w:rPr>
        <w:t>Word count: 19</w:t>
      </w:r>
      <w:r w:rsidR="0076436A" w:rsidRPr="0076436A">
        <w:rPr>
          <w:color w:val="auto"/>
          <w:sz w:val="24"/>
          <w:szCs w:val="24"/>
        </w:rPr>
        <w:t>91</w:t>
      </w:r>
      <w:r w:rsidR="00E676F7" w:rsidRPr="5CE196A1">
        <w:rPr>
          <w:b/>
          <w:bCs/>
          <w:sz w:val="24"/>
          <w:szCs w:val="24"/>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4EE76473" w14:textId="77777777" w:rsidR="005C76DE" w:rsidRPr="00E676F7" w:rsidRDefault="005C76DE" w:rsidP="5CE196A1">
      <w:pPr>
        <w:ind w:right="237"/>
        <w:jc w:val="both"/>
        <w:rPr>
          <w:b/>
          <w:bCs/>
          <w:sz w:val="24"/>
          <w:szCs w:val="24"/>
        </w:rPr>
      </w:pPr>
      <w:r w:rsidRPr="5CE196A1">
        <w:rPr>
          <w:b/>
          <w:bCs/>
          <w:sz w:val="24"/>
          <w:szCs w:val="24"/>
        </w:rPr>
        <w:lastRenderedPageBreak/>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43EC7FA9" w14:textId="4BC1BED1" w:rsidR="00025650" w:rsidRPr="00E676F7" w:rsidRDefault="00BB22BE" w:rsidP="5CE196A1">
      <w:pPr>
        <w:ind w:left="2880" w:right="237"/>
        <w:rPr>
          <w:rFonts w:eastAsia="Arial"/>
          <w:color w:val="000000" w:themeColor="text1"/>
          <w:sz w:val="28"/>
          <w:szCs w:val="28"/>
        </w:rPr>
      </w:pPr>
      <w:r>
        <w:rPr>
          <w:rFonts w:eastAsia="Arial"/>
          <w:b/>
          <w:bCs/>
          <w:color w:val="000000" w:themeColor="text1"/>
          <w:sz w:val="28"/>
          <w:szCs w:val="28"/>
          <w:u w:val="single"/>
        </w:rPr>
        <w:t>T</w:t>
      </w:r>
      <w:r w:rsidR="3E63D7DA" w:rsidRPr="5CE196A1">
        <w:rPr>
          <w:rFonts w:eastAsia="Arial"/>
          <w:b/>
          <w:bCs/>
          <w:color w:val="000000" w:themeColor="text1"/>
          <w:sz w:val="28"/>
          <w:szCs w:val="28"/>
          <w:u w:val="single"/>
        </w:rPr>
        <w: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lastRenderedPageBreak/>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4648FDD9" w14:textId="7CA8525E" w:rsidR="0FF883D4" w:rsidRDefault="0FF883D4" w:rsidP="00BB22BE">
      <w:pPr>
        <w:ind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lastRenderedPageBreak/>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424576ED" w14:textId="0F74D1C0" w:rsidR="0FF883D4" w:rsidRPr="0076436A"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2D0FECE0"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An incident where I played a significant role in a complex investigation was a live rape. Here I will critically evaluate the process I employed in this investigation and what fast track actions I utilised. To help me evaluate the support I gave the victim I will use Borton’s model of reflection to reflect on the actions I took and why. This model revolves around three questions: what, so what, now what (Miller, 2022). With this I can look at an action I did, understand why it was appropriate and explore the effect of that on later actions. I will reference the impact of my own personal values on the investigation and breakdown the steps I took to limit personal bias.</w:t>
      </w:r>
    </w:p>
    <w:p w14:paraId="56FF0CB0"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p>
    <w:p w14:paraId="1196A870"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The victim presented at the police station before 7am and called 101. I had just begun my day shift with one other person in on my shift. The call came over the air informing us of this victim and that they had advised her to wait in her car with her friend and we would go out and speak to her shortly. As we did not have a sergeant on shift as an intermediary, we contacted the detective sergeant ourselves to make them aware.</w:t>
      </w:r>
    </w:p>
    <w:p w14:paraId="5BC884C3"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lastRenderedPageBreak/>
        <w:t>We had very little information in the initial log however we did know this was a young female who was not known to us. This indicated to me that she has had little contact with the police and may not be familiar with the criminal justice system or the process of reporting sexual offences. Immediately I felt a strong sense of duty to this victim, and I volunteered to be the contact point for her. It was also more appropriate for me to speak to her as she may be more comfortable disclosing things to someone more similar to her as I am also a young female, where my colleague is a 6ft4 male.</w:t>
      </w:r>
    </w:p>
    <w:p w14:paraId="369A0FE5"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I was also thinking ahead to the fact we may need to plan an arrest. From Locard’s Exchange Principle we know “every contact leaves a trace” and with force policy on how to investigate rapes the person who has contact with the victim does not have contact with the suspect (Science Struck). Any cross contamination could undermine the case at court which would be a disservice to the victim. It was evident from these factors that what I do matters which is a responsibility I take seriously.</w:t>
      </w:r>
    </w:p>
    <w:p w14:paraId="4F60A2FA"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Following our conversation with the DS we were informed there was a SOLO (sexual offences liaison officer) in from the RASSO (rape and serious sexual offences) team at 8am and they would be allocated this. When attending sexual offences calls we complete an ONYX booklet. These are a simple who, what, when, where of the incident just to be able to gauge the offence, location and timeline to be able to plan the initial investigation and protect any evidence. We would also consider the use of an early evidence kit if we were still within the 7-day forensic window. SOLO officers are often very busy and in demand on shift meaning there can be a wait of a few hours before they arrive. On this occasion we were advised not to complete the ONYX as the SOLO would be allocated within the hour and for continuity, they would be able to take this when they attended the location. The DS advised me to speak with the victim to collate these details and then update him on the 7:30 bronze inspectors briefing.</w:t>
      </w:r>
    </w:p>
    <w:p w14:paraId="4959220B"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I went to the car park and invited the victim and her friend into the station and settled them into a quiet room. I explained that I had spoken to the DS and that she would be allocated a specialist SOLO officer at 8am. I told her I would need to ask her a few questions now though to help with the early investigation. She was visibly nervous and upset. I could see she had been crying. What I would usually do with victims would be to offer them a cup of tea. However, given the nature of the offences, procedure dictates not to eat or drink as to preserve forensic evidence that may be in her mouth.</w:t>
      </w:r>
    </w:p>
    <w:p w14:paraId="7B7BD5EF"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lastRenderedPageBreak/>
        <w:t>I confirmed the offence of rape had occurred and the location of the incident was her bedroom. I clarified with her that this room had not been disturbed since the incident and that no one else has access to it. With these questions I was trying to find out whether we would need to put a scene guard in place in the meantime to protect any evidence. The victim lives alone and was able to protect the integrity of the scene herself.</w:t>
      </w:r>
    </w:p>
    <w:p w14:paraId="58CB3F23"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The victim gave few details about the incident and the suspect. She gave a first name, age, and described him as a white male from the local area who drove a silver car which she thinks was a Ford Fiesta, but she admitted to being bad with cars. She also thought that he may have previously been involved with the police but was unsure of details. I explained I would update the DS with this information and made her aware I might need to take some samples from her. I explained to her how this works and left her to talk to her friend.</w:t>
      </w:r>
    </w:p>
    <w:p w14:paraId="084211BD"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I put the limited information into our database NICHE and it provided one match with a photograph that matched the physical description of the suspect. I explained the process of identifying this person to the DS and asked for guidance for how to proceed. By running my decisions past other people it limits the impact of any personal bias I may have and prevents me running away with the investigation just because I want an outcome. The DS requested I do an early evidence kit and a plain car drive by of the linked address linked to look for the car mentioned as it was too loose a connection at this point. I returned to the victim to take the samples with her friend there for support. I told them they could go home and that the SOLO would meet them there shortly and reiterated not to go into the bedroom. I later booked the samples into the property system and stored them in the fridge.</w:t>
      </w:r>
    </w:p>
    <w:p w14:paraId="69AF21FA"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 xml:space="preserve">I then took an unmarked car to the address and found a silver Ford Fiesta on the drive. I ran a Police National Computer check (PNC) on the vehicle and found it was linked to someone with the same last name. I ran a PNC for another vehicle parked on the road and it came back to the named male. By using an unmarked car it avoids raising suspicion that police are investigating something. This was still quite early in the morning, around 8am. Given that the offences occurred around 4am the suspect was likely to be in bed and would not have seen the police car. Under other circumstances using a police car may have attracted attention and if a suspect becomes concerned </w:t>
      </w:r>
      <w:r w:rsidRPr="00BB22BE">
        <w:rPr>
          <w:rFonts w:eastAsiaTheme="minorHAnsi"/>
          <w:color w:val="auto"/>
          <w:sz w:val="24"/>
          <w:szCs w:val="24"/>
          <w:lang w:eastAsia="en-US"/>
        </w:rPr>
        <w:lastRenderedPageBreak/>
        <w:t>they may damage or destroy evidence. It is also a consideration with modern technology that Ring doorbells can capture movement from different distances again alerting any potential suspects police are in the area.</w:t>
      </w:r>
    </w:p>
    <w:p w14:paraId="7EB75500"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Back at the station I relayed this information to the DS who was satisfied we had confirmed a connection. In this time the SOLO had attended the victims home address and completed their investigation plan. Once this was in place the DS authorised an arrest party to bring in the suspect. As I had had direct contact with the victim, I was not able to participate with this however my colleague was, meaning we only needed one officer from another area to assist. From the morning briefing we knew there were more officers in neighbouring patches and that their sergeants were aware of the investigation. We contacted a neighbouring sergeant to request they send an officer to assist which they did. Within the hour the suspect was in custody and the investigation was taken over by the SOLO. I also wrote a statement for continuity as I was second disclosure.</w:t>
      </w:r>
    </w:p>
    <w:p w14:paraId="5A44D164"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p>
    <w:p w14:paraId="1D21D4DA" w14:textId="77777777" w:rsidR="00BB22BE" w:rsidRPr="00BB22BE" w:rsidRDefault="00BB22BE" w:rsidP="00BB22BE">
      <w:pPr>
        <w:overflowPunct/>
        <w:autoSpaceDE/>
        <w:autoSpaceDN/>
        <w:adjustRightInd/>
        <w:spacing w:after="160" w:line="360" w:lineRule="auto"/>
        <w:jc w:val="both"/>
        <w:textAlignment w:val="auto"/>
        <w:rPr>
          <w:rFonts w:eastAsiaTheme="minorHAnsi"/>
          <w:spacing w:val="3"/>
          <w:sz w:val="24"/>
          <w:szCs w:val="24"/>
          <w:lang w:eastAsia="en-US"/>
        </w:rPr>
      </w:pPr>
      <w:r w:rsidRPr="00BB22BE">
        <w:rPr>
          <w:rFonts w:eastAsiaTheme="minorHAnsi"/>
          <w:color w:val="auto"/>
          <w:sz w:val="24"/>
          <w:szCs w:val="24"/>
          <w:lang w:eastAsia="en-US"/>
        </w:rPr>
        <w:t>When responding to incidents we follow the golden hour principles and employ the use of fast-track actions. The College of Policing describes golden hour as the time immediately after a crime has occurred whereby evidential material is available in high volumes and positive action taken in this time greatly increases the chance for securing evidence that can be admissible in court (Golden Hour, College of Policing). The College of Policing defines fast-track actions as “a</w:t>
      </w:r>
      <w:r w:rsidRPr="00BB22BE">
        <w:rPr>
          <w:rFonts w:eastAsiaTheme="minorHAnsi"/>
          <w:spacing w:val="3"/>
          <w:sz w:val="24"/>
          <w:szCs w:val="24"/>
          <w:lang w:eastAsia="en-US"/>
        </w:rPr>
        <w:t>ny investigative actions which, if pursued immediately, are likely to establish important facts, preserve evidence or lead to the early resolution of the investigation” (Fast-Track Actions, College of Policing). Essentially any actions, either proactive or reactive, taken in an investigation can be deemed a fast-track action and they produce effective outcomes.</w:t>
      </w:r>
    </w:p>
    <w:p w14:paraId="35EF7BC6" w14:textId="77777777" w:rsidR="00BB22BE" w:rsidRPr="00BB22BE" w:rsidRDefault="00BB22BE" w:rsidP="00BB22BE">
      <w:pPr>
        <w:overflowPunct/>
        <w:autoSpaceDE/>
        <w:autoSpaceDN/>
        <w:adjustRightInd/>
        <w:spacing w:after="160" w:line="360" w:lineRule="auto"/>
        <w:jc w:val="both"/>
        <w:textAlignment w:val="auto"/>
        <w:rPr>
          <w:rFonts w:eastAsiaTheme="minorHAnsi"/>
          <w:spacing w:val="3"/>
          <w:sz w:val="24"/>
          <w:szCs w:val="24"/>
          <w:lang w:eastAsia="en-US"/>
        </w:rPr>
      </w:pPr>
      <w:r w:rsidRPr="00BB22BE">
        <w:rPr>
          <w:rFonts w:eastAsiaTheme="minorHAnsi"/>
          <w:spacing w:val="3"/>
          <w:sz w:val="24"/>
          <w:szCs w:val="24"/>
          <w:lang w:eastAsia="en-US"/>
        </w:rPr>
        <w:t xml:space="preserve">I held these principles in my mind when developing my investigation plan for this incident. I understood the importance of acting quickly to protect the quality and admissibility of evidence and held the victim at the centre of my decisions. We also know from statistics that one of the biggest barriers to rape reporting is the fear of not being believed or losing trust in the police investigation (Hohl and Stanko, 2015, p. 327). This further motivated me to conduct every fast-track action I could and </w:t>
      </w:r>
      <w:r w:rsidRPr="00BB22BE">
        <w:rPr>
          <w:rFonts w:eastAsiaTheme="minorHAnsi"/>
          <w:spacing w:val="3"/>
          <w:sz w:val="24"/>
          <w:szCs w:val="24"/>
          <w:lang w:eastAsia="en-US"/>
        </w:rPr>
        <w:lastRenderedPageBreak/>
        <w:t>explain to the victim what I was doing to keep her involved in the process and lay a foundation for building trust.</w:t>
      </w:r>
    </w:p>
    <w:p w14:paraId="3F6C26D5" w14:textId="77777777" w:rsidR="00BB22BE" w:rsidRPr="00BB22BE" w:rsidRDefault="00BB22BE" w:rsidP="00BB22BE">
      <w:pPr>
        <w:overflowPunct/>
        <w:autoSpaceDE/>
        <w:autoSpaceDN/>
        <w:adjustRightInd/>
        <w:spacing w:after="160" w:line="360" w:lineRule="auto"/>
        <w:jc w:val="both"/>
        <w:textAlignment w:val="auto"/>
        <w:rPr>
          <w:rFonts w:eastAsiaTheme="minorHAnsi"/>
          <w:spacing w:val="3"/>
          <w:sz w:val="24"/>
          <w:szCs w:val="24"/>
          <w:lang w:eastAsia="en-US"/>
        </w:rPr>
      </w:pPr>
      <w:r w:rsidRPr="00BB22BE">
        <w:rPr>
          <w:rFonts w:eastAsiaTheme="minorHAnsi"/>
          <w:spacing w:val="3"/>
          <w:sz w:val="24"/>
          <w:szCs w:val="24"/>
          <w:lang w:eastAsia="en-US"/>
        </w:rPr>
        <w:t>This investigation went quite well in terms of having the right staff in the right place at the right time. The benefits of this call coming in so early is that it was high up on the priority allocation list and the first available officer would attend. The fact we were able to secure a SOLO so quickly is not something I had experienced before with their time of arrival being something I usually have to manage the victims’ expectations around. By not having to complete a full ONYX with the victim either it meant she only had to fully go into details and relive the incident once to the SOLO whereas I only confirmed the details of the offences against legislation. This gave the victim a much better service and is the standard we strive for. If the SOLO had not been available so early, I would have completed a full ONYX and considered a scene guard depending on their ETA. These additional tasks would have still benefited the victim but by having the time to assist in conducting the investigation myself through analysing NICHE and doing the drive by I was more beneficial.</w:t>
      </w:r>
    </w:p>
    <w:p w14:paraId="331A934B" w14:textId="77777777" w:rsidR="00BB22BE" w:rsidRPr="00BB22BE" w:rsidRDefault="00BB22BE" w:rsidP="00BB22BE">
      <w:pPr>
        <w:overflowPunct/>
        <w:autoSpaceDE/>
        <w:autoSpaceDN/>
        <w:adjustRightInd/>
        <w:spacing w:after="160" w:line="360" w:lineRule="auto"/>
        <w:jc w:val="both"/>
        <w:textAlignment w:val="auto"/>
        <w:rPr>
          <w:rFonts w:eastAsiaTheme="minorHAnsi"/>
          <w:spacing w:val="3"/>
          <w:sz w:val="24"/>
          <w:szCs w:val="24"/>
          <w:lang w:eastAsia="en-US"/>
        </w:rPr>
      </w:pPr>
      <w:r w:rsidRPr="00BB22BE">
        <w:rPr>
          <w:rFonts w:eastAsiaTheme="minorHAnsi"/>
          <w:spacing w:val="3"/>
          <w:sz w:val="24"/>
          <w:szCs w:val="24"/>
          <w:lang w:eastAsia="en-US"/>
        </w:rPr>
        <w:t>I was very conscious of the way I spoke to the victim and her friend. I can remain very professional when speaking with people however I think I was trying so hard to do well and help the victim feel comfortable that I was speaking too much. I was very aware that the victim may perceive my awkwardness as inexperience and worry her. I was trying to advance her right under the Victims Code to “understand and be understood” in this new situation for her and I perhaps overexplained things at a time when she wasn’t really able to take things onboard. Going forward I will slow down and speak to victims at a pace they can absorb information at.</w:t>
      </w:r>
    </w:p>
    <w:p w14:paraId="1D917CE4" w14:textId="77777777" w:rsidR="00BB22BE" w:rsidRPr="00BB22BE" w:rsidRDefault="00BB22BE" w:rsidP="00BB22BE">
      <w:pPr>
        <w:overflowPunct/>
        <w:autoSpaceDE/>
        <w:autoSpaceDN/>
        <w:adjustRightInd/>
        <w:spacing w:after="160" w:line="360" w:lineRule="auto"/>
        <w:jc w:val="both"/>
        <w:textAlignment w:val="auto"/>
        <w:rPr>
          <w:rFonts w:eastAsiaTheme="minorHAnsi"/>
          <w:spacing w:val="3"/>
          <w:sz w:val="24"/>
          <w:szCs w:val="24"/>
          <w:lang w:eastAsia="en-US"/>
        </w:rPr>
      </w:pPr>
    </w:p>
    <w:p w14:paraId="7170E5BB" w14:textId="77777777" w:rsidR="00BB22BE" w:rsidRPr="00BB22BE" w:rsidRDefault="00BB22BE" w:rsidP="00BB22BE">
      <w:pPr>
        <w:overflowPunct/>
        <w:autoSpaceDE/>
        <w:autoSpaceDN/>
        <w:adjustRightInd/>
        <w:spacing w:after="160" w:line="360" w:lineRule="auto"/>
        <w:jc w:val="both"/>
        <w:textAlignment w:val="auto"/>
        <w:rPr>
          <w:rFonts w:eastAsiaTheme="minorHAnsi"/>
          <w:color w:val="auto"/>
          <w:sz w:val="24"/>
          <w:szCs w:val="24"/>
          <w:lang w:eastAsia="en-US"/>
        </w:rPr>
      </w:pPr>
      <w:r w:rsidRPr="00BB22BE">
        <w:rPr>
          <w:rFonts w:eastAsiaTheme="minorHAnsi"/>
          <w:color w:val="auto"/>
          <w:sz w:val="24"/>
          <w:szCs w:val="24"/>
          <w:lang w:eastAsia="en-US"/>
        </w:rPr>
        <w:t>Despite having strong personal motivations to procure a positive outcome I took steps to prevent any bias from occurring by running my decisions past others and seeking advice from those more experience than myself. I have learnt a lot from this experience and my communication has improved both with victims and senior officers. I have got to see how well procedures can go when people play their role, and I am proud of the outcome we achieve for this victim.</w:t>
      </w:r>
    </w:p>
    <w:p w14:paraId="550E30AF" w14:textId="0C1E7494" w:rsidR="00025650" w:rsidRPr="00BB22BE" w:rsidRDefault="00BB22BE" w:rsidP="00340E9A">
      <w:pPr>
        <w:ind w:right="237"/>
        <w:jc w:val="both"/>
        <w:rPr>
          <w:bCs/>
          <w:sz w:val="24"/>
          <w:szCs w:val="24"/>
        </w:rPr>
      </w:pPr>
      <w:r>
        <w:rPr>
          <w:bCs/>
          <w:sz w:val="24"/>
          <w:szCs w:val="24"/>
        </w:rPr>
        <w:t>Word count: 1992</w:t>
      </w:r>
    </w:p>
    <w:p w14:paraId="1ADEFAE5" w14:textId="0F9F68DA" w:rsidR="0FF883D4" w:rsidRDefault="00025650" w:rsidP="0076436A">
      <w:pPr>
        <w:ind w:right="237"/>
      </w:pPr>
      <w:r>
        <w:br w:type="page"/>
      </w:r>
      <w:r w:rsidR="5CE196A1" w:rsidRPr="5CE196A1">
        <w:rPr>
          <w:rFonts w:eastAsia="Arial"/>
          <w:b/>
          <w:bCs/>
          <w:color w:val="000000" w:themeColor="text1"/>
          <w:sz w:val="24"/>
          <w:szCs w:val="24"/>
        </w:rPr>
        <w:lastRenderedPageBreak/>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39659FB6" w:rsidR="0FF883D4" w:rsidRDefault="5CE196A1" w:rsidP="5CE196A1">
      <w:r w:rsidRPr="5CE196A1">
        <w:rPr>
          <w:rFonts w:eastAsia="Arial"/>
          <w:b/>
          <w:bCs/>
          <w:color w:val="000000" w:themeColor="text1"/>
          <w:sz w:val="24"/>
          <w:szCs w:val="24"/>
        </w:rPr>
        <w:t xml:space="preserve">Signed: </w:t>
      </w:r>
      <w:r w:rsidR="00BB22BE">
        <w:rPr>
          <w:rFonts w:eastAsia="Arial"/>
          <w:b/>
          <w:bCs/>
          <w:color w:val="000000" w:themeColor="text1"/>
          <w:sz w:val="24"/>
          <w:szCs w:val="24"/>
        </w:rPr>
        <w:t>Poppy Jenkins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6A9E9B78" w:rsidR="0FF883D4" w:rsidRDefault="00BB22BE" w:rsidP="5CE196A1">
      <w:pPr>
        <w:ind w:left="2880" w:right="225" w:firstLine="720"/>
        <w:rPr>
          <w:b/>
          <w:bCs/>
          <w:sz w:val="24"/>
          <w:szCs w:val="24"/>
          <w:lang w:eastAsia="zh-TW"/>
        </w:rPr>
        <w:sectPr w:rsidR="0FF883D4"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r>
        <w:rPr>
          <w:b/>
          <w:bCs/>
          <w:sz w:val="24"/>
          <w:szCs w:val="24"/>
          <w:lang w:eastAsia="zh-TW"/>
        </w:rPr>
        <w:t>06/02/2023</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10C14CE4" w14:textId="1332DA14" w:rsidR="00BB22BE" w:rsidRDefault="000F7ECD" w:rsidP="00BB22BE">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60441463" w14:textId="77777777" w:rsidR="00BB22BE" w:rsidRDefault="00BB22BE" w:rsidP="00BB22BE">
      <w:pPr>
        <w:keepNext/>
        <w:spacing w:before="240" w:after="60"/>
        <w:ind w:right="237"/>
      </w:pPr>
    </w:p>
    <w:p w14:paraId="789B4F3D" w14:textId="68820D46" w:rsidR="00BB22BE" w:rsidRDefault="00BB22BE" w:rsidP="00BB22BE">
      <w:pPr>
        <w:keepNext/>
        <w:spacing w:before="240" w:after="60"/>
        <w:ind w:right="237"/>
      </w:pPr>
      <w:r>
        <w:t xml:space="preserve">A1001 Procedure – Dealing with Anti-Social Behaviour | Essex Police </w:t>
      </w:r>
    </w:p>
    <w:p w14:paraId="793BD244" w14:textId="77777777" w:rsidR="00BB22BE" w:rsidRDefault="00BB22BE" w:rsidP="00BB22BE">
      <w:pPr>
        <w:keepNext/>
        <w:spacing w:before="240" w:after="60"/>
        <w:ind w:right="237"/>
      </w:pPr>
      <w:hyperlink r:id="rId21" w:history="1">
        <w:r w:rsidRPr="00D71A1E">
          <w:rPr>
            <w:rStyle w:val="Hyperlink"/>
          </w:rPr>
          <w:t>https://www.essex.police.uk/foi-ai/essex-police/our-policies-and-procedures/a/a1001-procedure--dealing-with-anti-social-behaviour/#:~:text=A%20repeat%20victim%20is%3A%20%E2%80%9Cthe%20same%20person%20suffers,necessary%20for%20it%20to%20have%20been%20previously%20reported%29</w:t>
        </w:r>
      </w:hyperlink>
      <w:r>
        <w:t>. (last accessed 01.02.2023).</w:t>
      </w:r>
    </w:p>
    <w:p w14:paraId="62AF88FD" w14:textId="1E2E6E39" w:rsidR="00BB22BE" w:rsidRDefault="00BB22BE" w:rsidP="00BB22BE">
      <w:pPr>
        <w:keepNext/>
        <w:spacing w:before="240" w:after="60"/>
        <w:ind w:right="237"/>
      </w:pPr>
      <w:r>
        <w:t>ASB</w:t>
      </w:r>
      <w:r>
        <w:t xml:space="preserve"> Levels Reduce Thanks To Youth Zones, 24</w:t>
      </w:r>
      <w:r>
        <w:t xml:space="preserve">th October 2014, On Side </w:t>
      </w:r>
      <w:r>
        <w:t>C</w:t>
      </w:r>
      <w:r>
        <w:t>harity, https://www.onsideyouthzones.org/news/asb-levels-reduce-thanks-to-youth-zones/#:~:text=ASB%20levels%20reduce%20thanks%20to%20Youth%20Zones%2024th,are%20making%20a%20tangible%20difference%20in%20the%20community. (last accessed 01/02/2023).</w:t>
      </w:r>
    </w:p>
    <w:p w14:paraId="76473800" w14:textId="673A12DF" w:rsidR="00BB22BE" w:rsidRDefault="00BB22BE" w:rsidP="00BB22BE">
      <w:pPr>
        <w:keepNext/>
        <w:spacing w:before="240" w:after="60"/>
        <w:ind w:right="237"/>
      </w:pPr>
      <w:r>
        <w:t>Briefing note For police first responders to a report of rape or sexual assault</w:t>
      </w:r>
      <w:r>
        <w:t xml:space="preserve">, College of Policing </w:t>
      </w:r>
      <w:hyperlink r:id="rId22" w:history="1">
        <w:r w:rsidRPr="00D71A1E">
          <w:rPr>
            <w:rStyle w:val="Hyperlink"/>
          </w:rPr>
          <w:t>https://library.college.police.uk/docs/appref/C909E0418-First-Responders-Brief.pdf</w:t>
        </w:r>
      </w:hyperlink>
      <w:r>
        <w:t xml:space="preserve"> (last accessed 01/02/2023)</w:t>
      </w:r>
    </w:p>
    <w:p w14:paraId="2FC282CE" w14:textId="0FA5E18A" w:rsidR="00BB22BE" w:rsidRDefault="00BB22BE" w:rsidP="00BB22BE">
      <w:pPr>
        <w:keepNext/>
        <w:spacing w:before="240" w:after="60"/>
        <w:ind w:right="237"/>
      </w:pPr>
      <w:r>
        <w:t>Everything about the Locard’s Exchange Principle in forensic science,[online] Science Struck. https://sciencestruck.com/locards-exchangeprinciple-in-forensic-science (last accessed 31/01.2023).</w:t>
      </w:r>
    </w:p>
    <w:p w14:paraId="7E02E17D" w14:textId="1C1CB540" w:rsidR="00BB22BE" w:rsidRDefault="00BB22BE" w:rsidP="00BB22BE">
      <w:pPr>
        <w:keepNext/>
        <w:spacing w:before="240" w:after="60"/>
        <w:ind w:right="237"/>
      </w:pPr>
      <w:r>
        <w:t>Fast Track Actions, College of Policing 2022https://www.college.police.uk/app/investigation/investigation-process#fast-track-actions (last accessed 31/01/2023).</w:t>
      </w:r>
    </w:p>
    <w:p w14:paraId="14620DE7" w14:textId="5A4AD98C" w:rsidR="00007099" w:rsidRDefault="00007099" w:rsidP="00BB22BE">
      <w:pPr>
        <w:keepNext/>
        <w:spacing w:before="240" w:after="60"/>
        <w:ind w:right="237"/>
      </w:pPr>
      <w:r>
        <w:t xml:space="preserve">Forensics, College of Policing (2022) </w:t>
      </w:r>
      <w:hyperlink r:id="rId23" w:history="1">
        <w:r w:rsidRPr="00D71A1E">
          <w:rPr>
            <w:rStyle w:val="Hyperlink"/>
          </w:rPr>
          <w:t>https://www.college.police.uk/app/investigation/forensics</w:t>
        </w:r>
      </w:hyperlink>
      <w:r>
        <w:t xml:space="preserve"> (;ast accessed 01/02/2023).</w:t>
      </w:r>
    </w:p>
    <w:p w14:paraId="185A1E24" w14:textId="77777777" w:rsidR="00BB22BE" w:rsidRDefault="00BB22BE" w:rsidP="00BB22BE">
      <w:pPr>
        <w:keepNext/>
        <w:spacing w:before="240" w:after="60"/>
        <w:ind w:right="237"/>
      </w:pPr>
      <w:r>
        <w:t xml:space="preserve">Hohl, K. and Stanko, E., (2015) Complaints of rape and the criminal justice system: Fresh evidence on the attrition problem in England and Wales, </w:t>
      </w:r>
      <w:r w:rsidRPr="00007099">
        <w:rPr>
          <w:i/>
          <w:iCs/>
        </w:rPr>
        <w:t>European Journal of Criminology</w:t>
      </w:r>
      <w:r>
        <w:t>, 12:3, pp. 324-341.</w:t>
      </w:r>
    </w:p>
    <w:p w14:paraId="54430080" w14:textId="77777777" w:rsidR="00BB22BE" w:rsidRDefault="00BB22BE" w:rsidP="00BB22BE">
      <w:pPr>
        <w:keepNext/>
        <w:spacing w:before="240" w:after="60"/>
        <w:ind w:right="237"/>
      </w:pPr>
      <w:r>
        <w:t>Investigation Process, College of Policing, https://www.college.police.uk/app/investigation/investigation-process (last accessed 31/01/2023).</w:t>
      </w:r>
    </w:p>
    <w:p w14:paraId="1BC97FCF" w14:textId="7A5B1323" w:rsidR="00126B33" w:rsidRDefault="00126B33" w:rsidP="00BB22BE">
      <w:pPr>
        <w:keepNext/>
        <w:spacing w:before="240" w:after="60"/>
        <w:ind w:right="237"/>
      </w:pPr>
      <w:r>
        <w:t xml:space="preserve">Managing Investigations, College of Policing (2022) </w:t>
      </w:r>
      <w:hyperlink r:id="rId24" w:history="1">
        <w:r w:rsidRPr="00D71A1E">
          <w:rPr>
            <w:rStyle w:val="Hyperlink"/>
          </w:rPr>
          <w:t>https://www.college.police.uk/app/investigation/managing-investigations#investigative-actions</w:t>
        </w:r>
      </w:hyperlink>
      <w:r>
        <w:t xml:space="preserve"> (last accessed 01/02/2023).</w:t>
      </w:r>
    </w:p>
    <w:p w14:paraId="6B9B925A" w14:textId="7F3E8035" w:rsidR="00BB22BE" w:rsidRDefault="00BB22BE" w:rsidP="00BB22BE">
      <w:pPr>
        <w:keepNext/>
        <w:spacing w:before="240" w:after="60"/>
        <w:ind w:right="237"/>
      </w:pPr>
      <w:r>
        <w:t>Miller, K., (2022) All-inclusive Elaboration of Borton's Model of Reflection [online], Crow Jack, https://crowjack.com/blog/strategy/reflection-models/borton-reflective-model#:~:text=Borton%E2%80%99s%20model%20of%20reflection%20was%20developed%20as</w:t>
      </w:r>
      <w:r>
        <w:lastRenderedPageBreak/>
        <w:t>%20a,questions%20i.e.%20what%3F%20now%20what%3F%20and%20so%2C%20what%3F (last accessed 01/02/2023)</w:t>
      </w:r>
    </w:p>
    <w:p w14:paraId="49CDAA78" w14:textId="77777777" w:rsidR="00BB22BE" w:rsidRDefault="00BB22BE" w:rsidP="00BB22BE">
      <w:pPr>
        <w:keepNext/>
        <w:spacing w:before="240" w:after="60"/>
        <w:ind w:right="237"/>
      </w:pPr>
      <w:r>
        <w:t>Nature of sexual assault by rape or penetration, England and Wales: year ending March 2020, Office of National Statistics, https://www.ons.gov.uk/peoplepopulationandcommunity/crimeandjustice/articles/natureofsexualassaultbyrapeorpenetrationenglandandwales/yearendingmarch2020 (last accessed 01/02/2023).</w:t>
      </w:r>
    </w:p>
    <w:p w14:paraId="63BB0D8C" w14:textId="541F9760" w:rsidR="00126B33" w:rsidRDefault="00126B33" w:rsidP="00BB22BE">
      <w:pPr>
        <w:keepNext/>
        <w:spacing w:before="240" w:after="60"/>
        <w:ind w:right="237"/>
      </w:pPr>
      <w:r>
        <w:t xml:space="preserve">Physical Evidence, College of Policing (2020) </w:t>
      </w:r>
      <w:hyperlink r:id="rId25" w:history="1">
        <w:r w:rsidRPr="00D71A1E">
          <w:rPr>
            <w:rStyle w:val="Hyperlink"/>
          </w:rPr>
          <w:t>https://www.college.police.uk/app/investigation/investigative-strategies/physical-evidence</w:t>
        </w:r>
      </w:hyperlink>
      <w:r>
        <w:t xml:space="preserve"> (last accessed 01/02/2023).</w:t>
      </w:r>
    </w:p>
    <w:p w14:paraId="4EF7BE6D" w14:textId="4D5F7FEA" w:rsidR="00BB22BE" w:rsidRDefault="00BB22BE" w:rsidP="00BB22BE">
      <w:pPr>
        <w:keepNext/>
        <w:spacing w:before="240" w:after="60"/>
        <w:ind w:right="237"/>
      </w:pPr>
      <w:r>
        <w:t>Price, V., (2020), , Unreported instances of sexual assault still at alarming levels [online] Price, Slater and Dawn Solicitors, https://www.psg-law.co.uk/articles-and-advice/serious-injury-claims/unreported-instances-of-sexual-assault-still-at-alarming-levels/ (last accessed 01/02/2023).</w:t>
      </w:r>
    </w:p>
    <w:p w14:paraId="042CC54C" w14:textId="77777777" w:rsidR="00BB22BE" w:rsidRDefault="00BB22BE" w:rsidP="00BB22BE">
      <w:pPr>
        <w:keepNext/>
        <w:spacing w:before="240" w:after="60"/>
        <w:ind w:right="237"/>
      </w:pPr>
      <w:r>
        <w:t>Problem-oriented Policing, College of Policing, 2020 https://www.college.police.uk/research/crime-reduction-toolkit/problem-oriented-policing (Last accessed 01/02/2023).</w:t>
      </w:r>
    </w:p>
    <w:p w14:paraId="722D1243" w14:textId="6A35E9B8" w:rsidR="00BB22BE" w:rsidRDefault="00BB22BE" w:rsidP="00BB22BE">
      <w:pPr>
        <w:keepNext/>
        <w:spacing w:before="240" w:after="60"/>
        <w:ind w:right="237"/>
      </w:pPr>
      <w:r>
        <w:t>Prosecution statistics published for 2020-21, Crown Prosecution Service https://www.cps.gov.uk/cps/news/prosecution-statistics-published-2020-21 (last accessed 01/02/2023).</w:t>
      </w:r>
      <w:r>
        <w:t xml:space="preserve"> </w:t>
      </w:r>
    </w:p>
    <w:p w14:paraId="2A1F9F54" w14:textId="52B25331" w:rsidR="00BB22BE" w:rsidRDefault="00BB22BE" w:rsidP="00BB22BE">
      <w:pPr>
        <w:keepNext/>
        <w:spacing w:before="240" w:after="60"/>
        <w:ind w:right="237"/>
      </w:pPr>
      <w:r>
        <w:t>Rape and Sexual Offences, College of Policing, 2014</w:t>
      </w:r>
      <w:r w:rsidRPr="00BB22BE">
        <w:t xml:space="preserve"> </w:t>
      </w:r>
      <w:hyperlink r:id="rId26" w:history="1">
        <w:r w:rsidRPr="00D71A1E">
          <w:rPr>
            <w:rStyle w:val="Hyperlink"/>
          </w:rPr>
          <w:t>https://www.college.police.uk/app/major-investigation-and-public-protection/rape-and-sexual-offences</w:t>
        </w:r>
      </w:hyperlink>
      <w:r>
        <w:t xml:space="preserve"> (last accessed 01/02/2023)</w:t>
      </w:r>
    </w:p>
    <w:p w14:paraId="03273AAA" w14:textId="77777777" w:rsidR="00BB22BE" w:rsidRDefault="00BB22BE" w:rsidP="00BB22BE">
      <w:pPr>
        <w:keepNext/>
        <w:spacing w:before="240" w:after="60"/>
        <w:ind w:right="237"/>
      </w:pPr>
      <w:r>
        <w:t>Sherman, L. W. (1998) Evidence-Based Policing. Ideas in American Policing Series. Washington, DC: Police Foundation. (online, available at: www.policefoundation.org/wp-content/uploads/2012/06/Sherman-1998-Evidence-Based-Policing.pdf (last accessed 01/02/2023).</w:t>
      </w:r>
    </w:p>
    <w:p w14:paraId="2045C8DD" w14:textId="02CD634A" w:rsidR="00126B33" w:rsidRPr="00126B33" w:rsidRDefault="00126B33" w:rsidP="00BB22BE">
      <w:pPr>
        <w:keepNext/>
        <w:spacing w:before="240" w:after="60"/>
        <w:ind w:right="237"/>
      </w:pPr>
      <w:r>
        <w:t xml:space="preserve">Sleath, E., and Bull, R., (2017) </w:t>
      </w:r>
      <w:r w:rsidRPr="00126B33">
        <w:t>Police perceptions of rape victims and the impact on case decision making: A systematic review</w:t>
      </w:r>
      <w:r>
        <w:t xml:space="preserve">, </w:t>
      </w:r>
      <w:r>
        <w:rPr>
          <w:i/>
          <w:iCs/>
        </w:rPr>
        <w:t xml:space="preserve">Aggression and Violent Behaviour </w:t>
      </w:r>
      <w:r w:rsidRPr="00126B33">
        <w:t>34 pp. 102-112.</w:t>
      </w:r>
    </w:p>
    <w:p w14:paraId="13023CB0" w14:textId="12FA1D61" w:rsidR="00BB22BE" w:rsidRDefault="00BB22BE" w:rsidP="00BB22BE">
      <w:pPr>
        <w:keepNext/>
        <w:spacing w:before="240" w:after="60"/>
        <w:ind w:right="237"/>
      </w:pPr>
      <w:r>
        <w:t>Spooner, E. et al. (2022) Police Research and Evidence-based Policing. St Albans: Critical Publishing (The Professional Policing Curriculum in Practice). Available at: https://search-ebscohost-com.ezproxy.uwtsd.ac.uk/login.aspx?direct=true&amp;db=nlebk&amp;AN=3273312&amp;site=ehost-live (Accessed: 1 February 2023).</w:t>
      </w:r>
    </w:p>
    <w:p w14:paraId="0226C782" w14:textId="70035AC8" w:rsidR="00BB22BE" w:rsidRDefault="00BB22BE" w:rsidP="00BB22BE">
      <w:pPr>
        <w:keepNext/>
        <w:spacing w:before="240" w:after="60"/>
        <w:ind w:right="237"/>
      </w:pPr>
      <w:r>
        <w:t>Taylor, B. et al. (2011). 'A Randomized Controlled Trial of Different Policing Strategies at Hot Spots of Violent Crime'. Journal of Experimental Criminology, 7, pp 149-181.</w:t>
      </w:r>
    </w:p>
    <w:p w14:paraId="4BBE90C8" w14:textId="3799A35B" w:rsidR="00007099" w:rsidRPr="00007099" w:rsidRDefault="00007099" w:rsidP="00BB22BE">
      <w:pPr>
        <w:keepNext/>
        <w:spacing w:before="240" w:after="60"/>
        <w:ind w:right="237"/>
      </w:pPr>
      <w:r>
        <w:t xml:space="preserve">Waterhouse, G. et al, (2015) Myths and Legends: The reality of rape offences reported to a UK police force, </w:t>
      </w:r>
      <w:r>
        <w:rPr>
          <w:i/>
          <w:iCs/>
        </w:rPr>
        <w:t xml:space="preserve">The European Journal of Psychology Applied to Legal Context </w:t>
      </w:r>
      <w:r>
        <w:t>8 (1), pp. 1-10.</w:t>
      </w:r>
    </w:p>
    <w:p w14:paraId="360CDF85" w14:textId="77777777" w:rsidR="00BB22BE" w:rsidRDefault="00BB22BE">
      <w:pPr>
        <w:keepNext/>
        <w:spacing w:before="240" w:after="60"/>
        <w:ind w:right="237"/>
      </w:pPr>
    </w:p>
    <w:sectPr w:rsidR="00BB22B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D0400" w14:textId="77777777" w:rsidR="003E0F9D" w:rsidRDefault="003E0F9D">
      <w:r>
        <w:separator/>
      </w:r>
    </w:p>
  </w:endnote>
  <w:endnote w:type="continuationSeparator" w:id="0">
    <w:p w14:paraId="179CBD4B" w14:textId="77777777" w:rsidR="003E0F9D" w:rsidRDefault="003E0F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F667A" w14:textId="77777777" w:rsidR="0076436A" w:rsidRDefault="007643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C849A" w14:textId="77777777" w:rsidR="0076436A" w:rsidRDefault="00764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4EF91" w14:textId="77777777" w:rsidR="003E0F9D" w:rsidRDefault="003E0F9D">
      <w:r>
        <w:separator/>
      </w:r>
    </w:p>
  </w:footnote>
  <w:footnote w:type="continuationSeparator" w:id="0">
    <w:p w14:paraId="2A002D08" w14:textId="77777777" w:rsidR="003E0F9D" w:rsidRDefault="003E0F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EC7A6" w14:textId="77777777" w:rsidR="0076436A" w:rsidRDefault="007643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E905D8" w14:textId="77777777" w:rsidR="0076436A" w:rsidRDefault="007643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64671" w14:textId="77777777" w:rsidR="0076436A" w:rsidRDefault="0076436A">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DB98FD1C"/>
    <w:lvl w:ilvl="0" w:tplc="BE541312">
      <w:start w:val="1"/>
      <w:numFmt w:val="decimal"/>
      <w:lvlText w:val="%1."/>
      <w:lvlJc w:val="left"/>
      <w:pPr>
        <w:ind w:left="720" w:hanging="360"/>
      </w:pPr>
    </w:lvl>
    <w:lvl w:ilvl="1" w:tplc="1BF04406">
      <w:start w:val="1"/>
      <w:numFmt w:val="lowerLetter"/>
      <w:lvlText w:val="%2."/>
      <w:lvlJc w:val="left"/>
      <w:pPr>
        <w:ind w:left="1440" w:hanging="360"/>
      </w:pPr>
    </w:lvl>
    <w:lvl w:ilvl="2" w:tplc="21204800">
      <w:start w:val="1"/>
      <w:numFmt w:val="lowerRoman"/>
      <w:lvlText w:val="%3."/>
      <w:lvlJc w:val="right"/>
      <w:pPr>
        <w:ind w:left="2160" w:hanging="180"/>
      </w:pPr>
    </w:lvl>
    <w:lvl w:ilvl="3" w:tplc="BD38AC02">
      <w:start w:val="1"/>
      <w:numFmt w:val="decimal"/>
      <w:lvlText w:val="%4."/>
      <w:lvlJc w:val="left"/>
      <w:pPr>
        <w:ind w:left="2880" w:hanging="360"/>
      </w:pPr>
    </w:lvl>
    <w:lvl w:ilvl="4" w:tplc="434E91E8">
      <w:start w:val="1"/>
      <w:numFmt w:val="lowerLetter"/>
      <w:lvlText w:val="%5."/>
      <w:lvlJc w:val="left"/>
      <w:pPr>
        <w:ind w:left="3600" w:hanging="360"/>
      </w:pPr>
    </w:lvl>
    <w:lvl w:ilvl="5" w:tplc="E00CCC12">
      <w:start w:val="1"/>
      <w:numFmt w:val="lowerRoman"/>
      <w:lvlText w:val="%6."/>
      <w:lvlJc w:val="right"/>
      <w:pPr>
        <w:ind w:left="4320" w:hanging="180"/>
      </w:pPr>
    </w:lvl>
    <w:lvl w:ilvl="6" w:tplc="8870AB56">
      <w:start w:val="1"/>
      <w:numFmt w:val="decimal"/>
      <w:lvlText w:val="%7."/>
      <w:lvlJc w:val="left"/>
      <w:pPr>
        <w:ind w:left="5040" w:hanging="360"/>
      </w:pPr>
    </w:lvl>
    <w:lvl w:ilvl="7" w:tplc="9A86818A">
      <w:start w:val="1"/>
      <w:numFmt w:val="lowerLetter"/>
      <w:lvlText w:val="%8."/>
      <w:lvlJc w:val="left"/>
      <w:pPr>
        <w:ind w:left="5760" w:hanging="360"/>
      </w:pPr>
    </w:lvl>
    <w:lvl w:ilvl="8" w:tplc="0CA45064">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EC8AFF4"/>
    <w:lvl w:ilvl="0" w:tplc="A712F012">
      <w:start w:val="1"/>
      <w:numFmt w:val="decimal"/>
      <w:lvlText w:val="%1."/>
      <w:lvlJc w:val="left"/>
      <w:pPr>
        <w:ind w:left="720" w:hanging="360"/>
      </w:pPr>
    </w:lvl>
    <w:lvl w:ilvl="1" w:tplc="95D475F4">
      <w:start w:val="1"/>
      <w:numFmt w:val="decimal"/>
      <w:lvlText w:val="%2."/>
      <w:lvlJc w:val="left"/>
      <w:pPr>
        <w:ind w:left="1440" w:hanging="360"/>
      </w:pPr>
    </w:lvl>
    <w:lvl w:ilvl="2" w:tplc="93F0DB86">
      <w:start w:val="1"/>
      <w:numFmt w:val="lowerRoman"/>
      <w:lvlText w:val="%3."/>
      <w:lvlJc w:val="right"/>
      <w:pPr>
        <w:ind w:left="2160" w:hanging="180"/>
      </w:pPr>
    </w:lvl>
    <w:lvl w:ilvl="3" w:tplc="39E8EEAE">
      <w:start w:val="1"/>
      <w:numFmt w:val="decimal"/>
      <w:lvlText w:val="%4."/>
      <w:lvlJc w:val="left"/>
      <w:pPr>
        <w:ind w:left="2880" w:hanging="360"/>
      </w:pPr>
    </w:lvl>
    <w:lvl w:ilvl="4" w:tplc="18EC9EEA">
      <w:start w:val="1"/>
      <w:numFmt w:val="lowerLetter"/>
      <w:lvlText w:val="%5."/>
      <w:lvlJc w:val="left"/>
      <w:pPr>
        <w:ind w:left="3600" w:hanging="360"/>
      </w:pPr>
    </w:lvl>
    <w:lvl w:ilvl="5" w:tplc="E30E1F92">
      <w:start w:val="1"/>
      <w:numFmt w:val="lowerRoman"/>
      <w:lvlText w:val="%6."/>
      <w:lvlJc w:val="right"/>
      <w:pPr>
        <w:ind w:left="4320" w:hanging="180"/>
      </w:pPr>
    </w:lvl>
    <w:lvl w:ilvl="6" w:tplc="6BBECFB0">
      <w:start w:val="1"/>
      <w:numFmt w:val="decimal"/>
      <w:lvlText w:val="%7."/>
      <w:lvlJc w:val="left"/>
      <w:pPr>
        <w:ind w:left="5040" w:hanging="360"/>
      </w:pPr>
    </w:lvl>
    <w:lvl w:ilvl="7" w:tplc="4D065F64">
      <w:start w:val="1"/>
      <w:numFmt w:val="lowerLetter"/>
      <w:lvlText w:val="%8."/>
      <w:lvlJc w:val="left"/>
      <w:pPr>
        <w:ind w:left="5760" w:hanging="360"/>
      </w:pPr>
    </w:lvl>
    <w:lvl w:ilvl="8" w:tplc="00AC3666">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4477135">
    <w:abstractNumId w:val="47"/>
  </w:num>
  <w:num w:numId="2" w16cid:durableId="1631394396">
    <w:abstractNumId w:val="10"/>
  </w:num>
  <w:num w:numId="3" w16cid:durableId="1607158441">
    <w:abstractNumId w:val="1"/>
    <w:lvlOverride w:ilvl="0">
      <w:lvl w:ilvl="0">
        <w:start w:val="1"/>
        <w:numFmt w:val="bullet"/>
        <w:lvlText w:val=""/>
        <w:lvlJc w:val="left"/>
        <w:pPr>
          <w:ind w:left="720" w:hanging="360"/>
        </w:pPr>
        <w:rPr>
          <w:rFonts w:ascii="Symbol" w:hAnsi="Symbol" w:hint="default"/>
        </w:rPr>
      </w:lvl>
    </w:lvlOverride>
  </w:num>
  <w:num w:numId="4" w16cid:durableId="1804931692">
    <w:abstractNumId w:val="22"/>
  </w:num>
  <w:num w:numId="5" w16cid:durableId="23755453">
    <w:abstractNumId w:val="44"/>
  </w:num>
  <w:num w:numId="6" w16cid:durableId="373239524">
    <w:abstractNumId w:val="46"/>
  </w:num>
  <w:num w:numId="7" w16cid:durableId="1329165173">
    <w:abstractNumId w:val="34"/>
  </w:num>
  <w:num w:numId="8" w16cid:durableId="1506552012">
    <w:abstractNumId w:val="32"/>
  </w:num>
  <w:num w:numId="9" w16cid:durableId="1107383991">
    <w:abstractNumId w:val="29"/>
  </w:num>
  <w:num w:numId="10" w16cid:durableId="226772040">
    <w:abstractNumId w:val="30"/>
  </w:num>
  <w:num w:numId="11" w16cid:durableId="1811630748">
    <w:abstractNumId w:val="9"/>
  </w:num>
  <w:num w:numId="12" w16cid:durableId="226108146">
    <w:abstractNumId w:val="33"/>
  </w:num>
  <w:num w:numId="13" w16cid:durableId="1733844599">
    <w:abstractNumId w:val="17"/>
  </w:num>
  <w:num w:numId="14" w16cid:durableId="273051824">
    <w:abstractNumId w:val="16"/>
  </w:num>
  <w:num w:numId="15" w16cid:durableId="1673292174">
    <w:abstractNumId w:val="26"/>
  </w:num>
  <w:num w:numId="16" w16cid:durableId="594439874">
    <w:abstractNumId w:val="7"/>
  </w:num>
  <w:num w:numId="17" w16cid:durableId="1187404202">
    <w:abstractNumId w:val="25"/>
  </w:num>
  <w:num w:numId="18" w16cid:durableId="877468605">
    <w:abstractNumId w:val="15"/>
  </w:num>
  <w:num w:numId="19" w16cid:durableId="216819594">
    <w:abstractNumId w:val="13"/>
  </w:num>
  <w:num w:numId="20" w16cid:durableId="128804497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1500137">
    <w:abstractNumId w:val="23"/>
  </w:num>
  <w:num w:numId="22" w16cid:durableId="1544487496">
    <w:abstractNumId w:val="18"/>
  </w:num>
  <w:num w:numId="23" w16cid:durableId="493568880">
    <w:abstractNumId w:val="14"/>
  </w:num>
  <w:num w:numId="24" w16cid:durableId="842276853">
    <w:abstractNumId w:val="11"/>
  </w:num>
  <w:num w:numId="25" w16cid:durableId="243883127">
    <w:abstractNumId w:val="27"/>
  </w:num>
  <w:num w:numId="26" w16cid:durableId="131139365">
    <w:abstractNumId w:val="19"/>
  </w:num>
  <w:num w:numId="27" w16cid:durableId="1148325970">
    <w:abstractNumId w:val="40"/>
  </w:num>
  <w:num w:numId="28" w16cid:durableId="455410128">
    <w:abstractNumId w:val="35"/>
  </w:num>
  <w:num w:numId="29" w16cid:durableId="974067999">
    <w:abstractNumId w:val="39"/>
  </w:num>
  <w:num w:numId="30" w16cid:durableId="821584724">
    <w:abstractNumId w:val="20"/>
  </w:num>
  <w:num w:numId="31" w16cid:durableId="1853491080">
    <w:abstractNumId w:val="42"/>
  </w:num>
  <w:num w:numId="32" w16cid:durableId="1018505171">
    <w:abstractNumId w:val="31"/>
  </w:num>
  <w:num w:numId="33" w16cid:durableId="1458570338">
    <w:abstractNumId w:val="12"/>
  </w:num>
  <w:num w:numId="34" w16cid:durableId="1244728098">
    <w:abstractNumId w:val="43"/>
  </w:num>
  <w:num w:numId="35" w16cid:durableId="1365013649">
    <w:abstractNumId w:val="38"/>
  </w:num>
  <w:num w:numId="36" w16cid:durableId="835849669">
    <w:abstractNumId w:val="4"/>
  </w:num>
  <w:num w:numId="37" w16cid:durableId="1351562540">
    <w:abstractNumId w:val="45"/>
  </w:num>
  <w:num w:numId="38" w16cid:durableId="522673949">
    <w:abstractNumId w:val="41"/>
  </w:num>
  <w:num w:numId="39" w16cid:durableId="1474635293">
    <w:abstractNumId w:val="36"/>
  </w:num>
  <w:num w:numId="40" w16cid:durableId="99372985">
    <w:abstractNumId w:val="37"/>
  </w:num>
  <w:num w:numId="41" w16cid:durableId="323515688">
    <w:abstractNumId w:val="3"/>
  </w:num>
  <w:num w:numId="42" w16cid:durableId="1318611284">
    <w:abstractNumId w:val="5"/>
  </w:num>
  <w:num w:numId="43" w16cid:durableId="1675110816">
    <w:abstractNumId w:val="24"/>
  </w:num>
  <w:num w:numId="44" w16cid:durableId="1019966315">
    <w:abstractNumId w:val="6"/>
  </w:num>
  <w:num w:numId="45" w16cid:durableId="628436543">
    <w:abstractNumId w:val="2"/>
  </w:num>
  <w:num w:numId="46" w16cid:durableId="573391885">
    <w:abstractNumId w:val="0"/>
  </w:num>
  <w:num w:numId="47" w16cid:durableId="2039701645">
    <w:abstractNumId w:val="21"/>
  </w:num>
  <w:num w:numId="48" w16cid:durableId="227082550">
    <w:abstractNumId w:val="28"/>
  </w:num>
  <w:num w:numId="49" w16cid:durableId="1851943392">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099"/>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6B33"/>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4B3D"/>
    <w:rsid w:val="003C6185"/>
    <w:rsid w:val="003D0D2D"/>
    <w:rsid w:val="003D4710"/>
    <w:rsid w:val="003E0F9D"/>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3E0C"/>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6436A"/>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2BE"/>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BB22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college.police.uk/app/major-investigation-and-public-protection/rape-and-sexual-offences" TargetMode="External"/><Relationship Id="rId3" Type="http://schemas.openxmlformats.org/officeDocument/2006/relationships/customXml" Target="../customXml/item3.xml"/><Relationship Id="rId21" Type="http://schemas.openxmlformats.org/officeDocument/2006/relationships/hyperlink" Target="https://www.essex.police.uk/foi-ai/essex-police/our-policies-and-procedures/a/a1001-procedure--dealing-with-anti-social-behaviour/#:~:text=A%20repeat%20victim%20is%3A%20%E2%80%9Cthe%20same%20person%20suffers,necessary%20for%20it%20to%20have%20been%20previously%20reported%29"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ollege.police.uk/app/investigation/investigative-strategies/physical-evidence"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investigation/managing-investigations#investigative-action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app/investigation/forensic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library.college.police.uk/docs/appref/C909E0418-First-Responders-Brief.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6048</Words>
  <Characters>34479</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Jenkins, Poppy</cp:lastModifiedBy>
  <cp:revision>3</cp:revision>
  <cp:lastPrinted>2014-08-26T08:55:00Z</cp:lastPrinted>
  <dcterms:created xsi:type="dcterms:W3CDTF">2023-02-06T22:54:00Z</dcterms:created>
  <dcterms:modified xsi:type="dcterms:W3CDTF">2023-02-06T22:54:00Z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2023-02-06T22:06:03Z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cdbf8cea-37c5-4a2f-8cbb-527c91c12efc</vt:lpwstr>
  </property>
  <property fmtid="{D5CDD505-2E9C-101B-9397-08002B2CF9AE}" pid="9" name="MSIP_Label_f2acd28b-79a3-4a0f-b0ff-4b75658b1549_ContentBits">
    <vt:lpwstr>0</vt:lpwstr>
  </property>
</Properties>
</file>