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49F3C" w14:textId="5ABAE195" w:rsidR="00722AB8" w:rsidRPr="00FD00A6" w:rsidRDefault="00330C89">
      <w:pPr>
        <w:rPr>
          <w:u w:val="single"/>
        </w:rPr>
      </w:pPr>
      <w:r w:rsidRPr="00FD00A6">
        <w:rPr>
          <w:u w:val="single"/>
        </w:rPr>
        <w:t>Homeric Hymn to Demeter Gobbet (Lines 387-413)</w:t>
      </w:r>
    </w:p>
    <w:p w14:paraId="13689E39" w14:textId="0E677FA5" w:rsidR="00330C89" w:rsidRPr="009C533D" w:rsidRDefault="00A604EC" w:rsidP="00330C89">
      <w:pPr>
        <w:spacing w:after="0" w:line="240" w:lineRule="auto"/>
        <w:rPr>
          <w:rFonts w:eastAsia="Times New Roman" w:cstheme="minorHAnsi"/>
          <w:i/>
          <w:iCs/>
          <w:lang w:eastAsia="en-GB"/>
        </w:rPr>
      </w:pPr>
      <w:r w:rsidRPr="009C533D">
        <w:rPr>
          <w:rFonts w:eastAsia="Times New Roman" w:cstheme="minorHAnsi"/>
          <w:i/>
          <w:iCs/>
          <w:color w:val="000000"/>
          <w:lang w:eastAsia="en-GB"/>
        </w:rPr>
        <w:t>“</w:t>
      </w:r>
      <w:r w:rsidR="00330C89" w:rsidRPr="009C533D">
        <w:rPr>
          <w:rFonts w:eastAsia="Times New Roman" w:cstheme="minorHAnsi"/>
          <w:i/>
          <w:iCs/>
          <w:color w:val="000000"/>
          <w:lang w:eastAsia="en-GB"/>
        </w:rPr>
        <w:t>401 But when the earth starts blossoming with fragrant flowers of springtime, flowers of every sort, then it is that you must come up from the misty realms of darkness, once again, a great thing of wonder to gods and mortal humans alike. But what kind of ruse was used to deceive you by the powerful one, the one who receives many guests</w:t>
      </w:r>
      <w:proofErr w:type="gramStart"/>
      <w:r w:rsidR="00330C89" w:rsidRPr="009C533D">
        <w:rPr>
          <w:rFonts w:eastAsia="Times New Roman" w:cstheme="minorHAnsi"/>
          <w:i/>
          <w:iCs/>
          <w:color w:val="000000"/>
          <w:lang w:eastAsia="en-GB"/>
        </w:rPr>
        <w:t>?”[</w:t>
      </w:r>
      <w:proofErr w:type="gramEnd"/>
      <w:r w:rsidR="00330C89" w:rsidRPr="009C533D">
        <w:rPr>
          <w:rFonts w:eastAsia="Times New Roman" w:cstheme="minorHAnsi"/>
          <w:i/>
          <w:iCs/>
          <w:color w:val="000000"/>
          <w:lang w:eastAsia="en-GB"/>
        </w:rPr>
        <w:t>46] </w:t>
      </w:r>
    </w:p>
    <w:p w14:paraId="2F8AAC93" w14:textId="77777777" w:rsidR="00330C89" w:rsidRPr="009C533D" w:rsidRDefault="00330C89" w:rsidP="00330C89">
      <w:pPr>
        <w:spacing w:after="0" w:line="240" w:lineRule="auto"/>
        <w:rPr>
          <w:rFonts w:eastAsia="Times New Roman" w:cstheme="minorHAnsi"/>
          <w:i/>
          <w:iCs/>
          <w:lang w:eastAsia="en-GB"/>
        </w:rPr>
      </w:pPr>
    </w:p>
    <w:p w14:paraId="760B6242" w14:textId="77777777" w:rsidR="00330C89" w:rsidRPr="009C533D" w:rsidRDefault="00330C89" w:rsidP="00330C89">
      <w:pPr>
        <w:spacing w:after="0" w:line="240" w:lineRule="auto"/>
        <w:rPr>
          <w:rFonts w:eastAsia="Times New Roman" w:cstheme="minorHAnsi"/>
          <w:i/>
          <w:iCs/>
          <w:lang w:eastAsia="en-GB"/>
        </w:rPr>
      </w:pPr>
      <w:r w:rsidRPr="009C533D">
        <w:rPr>
          <w:rFonts w:eastAsia="Times New Roman" w:cstheme="minorHAnsi"/>
          <w:i/>
          <w:iCs/>
          <w:color w:val="000000"/>
          <w:lang w:eastAsia="en-GB"/>
        </w:rPr>
        <w:t xml:space="preserve">405 She [Demeter] was answered by Persephone, the most beautiful: “So then, Mother, I shall tell you everything, without error. When the messenger came to me, the swift Argos-killer, with the news from my father, the son of Kronos, and from the other dwellers in the sky, 10 that I should come from </w:t>
      </w:r>
      <w:proofErr w:type="spellStart"/>
      <w:r w:rsidRPr="009C533D">
        <w:rPr>
          <w:rFonts w:eastAsia="Times New Roman" w:cstheme="minorHAnsi"/>
          <w:i/>
          <w:iCs/>
          <w:color w:val="000000"/>
          <w:lang w:eastAsia="en-GB"/>
        </w:rPr>
        <w:t>Erebos</w:t>
      </w:r>
      <w:proofErr w:type="spellEnd"/>
      <w:r w:rsidRPr="009C533D">
        <w:rPr>
          <w:rFonts w:eastAsia="Times New Roman" w:cstheme="minorHAnsi"/>
          <w:i/>
          <w:iCs/>
          <w:color w:val="000000"/>
          <w:lang w:eastAsia="en-GB"/>
        </w:rPr>
        <w:t>, so that you may see me with your own eyes </w:t>
      </w:r>
    </w:p>
    <w:p w14:paraId="2DC57C88" w14:textId="77777777" w:rsidR="00330C89" w:rsidRPr="009C533D" w:rsidRDefault="00330C89" w:rsidP="00330C89">
      <w:pPr>
        <w:spacing w:after="0" w:line="240" w:lineRule="auto"/>
        <w:rPr>
          <w:rFonts w:eastAsia="Times New Roman" w:cstheme="minorHAnsi"/>
          <w:i/>
          <w:iCs/>
          <w:lang w:eastAsia="en-GB"/>
        </w:rPr>
      </w:pPr>
    </w:p>
    <w:p w14:paraId="0C473F4E" w14:textId="5C0873ED" w:rsidR="00330C89" w:rsidRPr="009C533D" w:rsidRDefault="00330C89" w:rsidP="00330C89">
      <w:pPr>
        <w:spacing w:after="0" w:line="240" w:lineRule="auto"/>
        <w:rPr>
          <w:rFonts w:eastAsia="Times New Roman" w:cstheme="minorHAnsi"/>
          <w:i/>
          <w:iCs/>
          <w:lang w:eastAsia="en-GB"/>
        </w:rPr>
      </w:pPr>
      <w:r w:rsidRPr="009C533D">
        <w:rPr>
          <w:rFonts w:eastAsia="Times New Roman" w:cstheme="minorHAnsi"/>
          <w:i/>
          <w:iCs/>
          <w:color w:val="000000"/>
          <w:lang w:eastAsia="en-GB"/>
        </w:rPr>
        <w:t xml:space="preserve">410 and let go of your wrath and terrible </w:t>
      </w:r>
      <w:proofErr w:type="spellStart"/>
      <w:r w:rsidRPr="009C533D">
        <w:rPr>
          <w:rFonts w:eastAsia="Times New Roman" w:cstheme="minorHAnsi"/>
          <w:i/>
          <w:iCs/>
          <w:color w:val="000000"/>
          <w:lang w:eastAsia="en-GB"/>
        </w:rPr>
        <w:t>mênis</w:t>
      </w:r>
      <w:proofErr w:type="spellEnd"/>
      <w:r w:rsidRPr="009C533D">
        <w:rPr>
          <w:rFonts w:eastAsia="Times New Roman" w:cstheme="minorHAnsi"/>
          <w:i/>
          <w:iCs/>
          <w:color w:val="000000"/>
          <w:lang w:eastAsia="en-GB"/>
        </w:rPr>
        <w:t xml:space="preserve"> against the immortals, then I sprang up for joy, but he, stealthily, put into my hand the berry of the pomegranate, that honey-sweet food, and he compelled me by </w:t>
      </w:r>
      <w:proofErr w:type="spellStart"/>
      <w:r w:rsidRPr="009C533D">
        <w:rPr>
          <w:rFonts w:eastAsia="Times New Roman" w:cstheme="minorHAnsi"/>
          <w:i/>
          <w:iCs/>
          <w:color w:val="000000"/>
          <w:lang w:eastAsia="en-GB"/>
        </w:rPr>
        <w:t>biâ</w:t>
      </w:r>
      <w:proofErr w:type="spellEnd"/>
      <w:r w:rsidRPr="009C533D">
        <w:rPr>
          <w:rFonts w:eastAsia="Times New Roman" w:cstheme="minorHAnsi"/>
          <w:i/>
          <w:iCs/>
          <w:color w:val="000000"/>
          <w:lang w:eastAsia="en-GB"/>
        </w:rPr>
        <w:t xml:space="preserve"> to eat of it.</w:t>
      </w:r>
      <w:r w:rsidR="00A604EC" w:rsidRPr="009C533D">
        <w:rPr>
          <w:rFonts w:eastAsia="Times New Roman" w:cstheme="minorHAnsi"/>
          <w:i/>
          <w:iCs/>
          <w:color w:val="000000"/>
          <w:lang w:eastAsia="en-GB"/>
        </w:rPr>
        <w:t>”</w:t>
      </w:r>
    </w:p>
    <w:p w14:paraId="4E6CFDC6" w14:textId="7CC7DCB9" w:rsidR="00330C89" w:rsidRPr="005311F7" w:rsidRDefault="00330C89">
      <w:pPr>
        <w:rPr>
          <w:rFonts w:cstheme="minorHAnsi"/>
          <w:sz w:val="20"/>
          <w:szCs w:val="20"/>
        </w:rPr>
      </w:pPr>
    </w:p>
    <w:p w14:paraId="4CFBA11D"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To begin, the context of lines 387-413 are towards the end of the hymn, during this scene we have two narrators, the first is Demeter who is reunited with her daughter and enquires about what “kind of ruse” tricked her daughter as she is now aware of the Pomegranate seeds that Persephone ate (from omitted context) and that she must spend a third of the year in the underworld and two-thirds of the year with her, as also shown by lines 401-2 which highlight she must come up from the underworld once spring returns. We then have the speaker shift to Persephone who details in the first person how after she learned from Hermes that she was able to return to her mother that Hades “compelled me by β</w:t>
      </w:r>
      <w:proofErr w:type="spellStart"/>
      <w:r w:rsidRPr="00DF334E">
        <w:rPr>
          <w:rFonts w:eastAsia="Times New Roman" w:cstheme="minorHAnsi"/>
          <w:color w:val="000000"/>
          <w:lang w:eastAsia="en-GB"/>
        </w:rPr>
        <w:t>ίη</w:t>
      </w:r>
      <w:proofErr w:type="spellEnd"/>
      <w:r w:rsidRPr="00DF334E">
        <w:rPr>
          <w:rFonts w:eastAsia="Times New Roman" w:cstheme="minorHAnsi"/>
          <w:color w:val="000000"/>
          <w:lang w:eastAsia="en-GB"/>
        </w:rPr>
        <w:t>” to eat pomegranate seeds, thus explaining why narratively Persephone must split her time between the two realms.</w:t>
      </w:r>
    </w:p>
    <w:p w14:paraId="6C60B1FF"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It’s important to note though that Nagy’s translation omits a textually disputed section this being lines 387-401, this omission is explained by Nagy in the commentary for the translation where he states, “these lines are incomplete: the gaps in the text are caused by a tear in the manuscript” this is because the hymn itself in preserved in one medieval manuscript, however, the reconstructed context is what was detailed above. (Nagy, 1782)</w:t>
      </w:r>
    </w:p>
    <w:p w14:paraId="54996305"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How this specific section of the hymn fits in with the wider thematic section of the hymn is notably demonstrated by two key themes, Power, and Separation. </w:t>
      </w:r>
    </w:p>
    <w:p w14:paraId="1B789980"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Beginning with the theme of separation this in the wider context of the whole hymn refers to the physical separation of mother and daughter and the separation/isolation of Demeter from the rest of the gods. Focusing on the mother-daughter separation as its most textually relevant to this section, we can see that even though this is meant to be a resolution to the conflict and their separation as the two are finally reunited, this isn’t a full resolution as Persephone will still be continually separated from Demeter for a section of the year due to her marriage because of the pomegranate seeds.</w:t>
      </w:r>
    </w:p>
    <w:p w14:paraId="7CA57F70"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This also ties into the wider historical context of the hymn to Demeter, lines 401-402 show the aetiological reasoning for the seasons. “But when the earth starts blossoming with fragrant flowers of springtime...” Being in reference to Spring the Season of Persephone’s return, as she stays with her mother for two-thirds of the year, that marks Winter as the season she stays in the underworld as it’s the harshest season and means to reflect the grief Demeter feels during this time.</w:t>
      </w:r>
    </w:p>
    <w:p w14:paraId="7416F7E0" w14:textId="77777777"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t> </w:t>
      </w:r>
    </w:p>
    <w:p w14:paraId="303046E2" w14:textId="29D46A13" w:rsidR="00DF334E" w:rsidRPr="00DF334E" w:rsidRDefault="00DF334E" w:rsidP="00DF334E">
      <w:pPr>
        <w:spacing w:before="240" w:after="240" w:line="240" w:lineRule="auto"/>
        <w:rPr>
          <w:rFonts w:eastAsia="Times New Roman" w:cstheme="minorHAnsi"/>
          <w:sz w:val="24"/>
          <w:szCs w:val="24"/>
          <w:lang w:eastAsia="en-GB"/>
        </w:rPr>
      </w:pPr>
      <w:r w:rsidRPr="00DF334E">
        <w:rPr>
          <w:rFonts w:eastAsia="Times New Roman" w:cstheme="minorHAnsi"/>
          <w:color w:val="000000"/>
          <w:lang w:eastAsia="en-GB"/>
        </w:rPr>
        <w:lastRenderedPageBreak/>
        <w:t xml:space="preserve">Now moving on to the theme of power we have Demeter on line 404 emphasising Hades’ power by referring to him as “the powerful one” which by proxy also shows Persephone’s lack of power in the situation as she was both abducted and “compelled” to eat the pomegranate. However, there’s an argument to be said that Persephone did gain power from this marriage as she became queen of the underworld which other translations and commentaries on the text also note, for example in Foley’s interpretation there is a promise of gaining of </w:t>
      </w:r>
      <w:proofErr w:type="spellStart"/>
      <w:r w:rsidRPr="00DF334E">
        <w:rPr>
          <w:rFonts w:eastAsia="Times New Roman" w:cstheme="minorHAnsi"/>
          <w:color w:val="000000"/>
          <w:lang w:eastAsia="en-GB"/>
        </w:rPr>
        <w:t>tîmai</w:t>
      </w:r>
      <w:proofErr w:type="spellEnd"/>
      <w:r w:rsidRPr="00DF334E">
        <w:rPr>
          <w:rFonts w:eastAsia="Times New Roman" w:cstheme="minorHAnsi"/>
          <w:color w:val="000000"/>
          <w:lang w:eastAsia="en-GB"/>
        </w:rPr>
        <w:t xml:space="preserve"> (honours) separate from her mother. (Foley, 1994) Adding onto this, historically speaking marriage did help women gain some power (although it did not close the power gap between sexes.) Foley also adds that unlike mortal women Persephone also isn’t fully under her husband’s control, as she “will spend more time with her natal family rather than spouse” thus meaning he doesn’t have full control over her. (Foley, 1994)               A further interpretation of potential power gain comes from Foley’s commentary on the hymn where she states that Persephone was promised three things by Hades, “rule over all living things on earth, honours among the gods, and vengeance against those who wrong her…” (lines 364-369 of commentary).                                                                           </w:t>
      </w:r>
      <w:r w:rsidR="00A604EC">
        <w:rPr>
          <w:rFonts w:eastAsia="Times New Roman" w:cstheme="minorHAnsi"/>
          <w:color w:val="000000"/>
          <w:lang w:eastAsia="en-GB"/>
        </w:rPr>
        <w:t xml:space="preserve">                                                                                </w:t>
      </w:r>
      <w:r w:rsidRPr="00DF334E">
        <w:rPr>
          <w:rFonts w:eastAsia="Times New Roman" w:cstheme="minorHAnsi"/>
          <w:color w:val="000000"/>
          <w:lang w:eastAsia="en-GB"/>
        </w:rPr>
        <w:t>Foley highlights, however, that Persephone lost her autonomy in exchange for these gains as Queen of the Underworld in her interpretive essays on the hymn and uses that to argue for a loss of power despite the gains in her translations. (Foley, 1994)</w:t>
      </w:r>
    </w:p>
    <w:p w14:paraId="15B24B35" w14:textId="0F66CE66" w:rsidR="00F66F13" w:rsidRPr="00DF334E" w:rsidRDefault="00DF334E" w:rsidP="00DF334E">
      <w:pPr>
        <w:rPr>
          <w:rFonts w:cstheme="minorHAnsi"/>
          <w:color w:val="212529"/>
          <w:shd w:val="clear" w:color="auto" w:fill="F1F1F1"/>
        </w:rPr>
      </w:pPr>
      <w:r w:rsidRPr="00DF334E">
        <w:rPr>
          <w:rFonts w:eastAsia="Times New Roman" w:cstheme="minorHAnsi"/>
          <w:color w:val="000000"/>
          <w:lang w:eastAsia="en-GB"/>
        </w:rPr>
        <w:t>Furthermore, there’s more to say about the discussion around the word “β</w:t>
      </w:r>
      <w:proofErr w:type="spellStart"/>
      <w:r w:rsidRPr="00DF334E">
        <w:rPr>
          <w:rFonts w:eastAsia="Times New Roman" w:cstheme="minorHAnsi"/>
          <w:color w:val="000000"/>
          <w:lang w:eastAsia="en-GB"/>
        </w:rPr>
        <w:t>ίη</w:t>
      </w:r>
      <w:proofErr w:type="spellEnd"/>
      <w:r w:rsidRPr="00DF334E">
        <w:rPr>
          <w:rFonts w:eastAsia="Times New Roman" w:cstheme="minorHAnsi"/>
          <w:color w:val="000000"/>
          <w:lang w:eastAsia="en-GB"/>
        </w:rPr>
        <w:t>” and how to interpret it in the context of Persephone’s autonomy in the decision to eat the pomegranate seeds, which connects to both Foley and the overarching theme of power.                                                                        </w:t>
      </w:r>
      <w:r w:rsidR="00A604EC">
        <w:rPr>
          <w:rFonts w:eastAsia="Times New Roman" w:cstheme="minorHAnsi"/>
          <w:color w:val="000000"/>
          <w:lang w:eastAsia="en-GB"/>
        </w:rPr>
        <w:t xml:space="preserve">                                                                                               </w:t>
      </w:r>
      <w:r w:rsidRPr="00DF334E">
        <w:rPr>
          <w:rFonts w:eastAsia="Times New Roman" w:cstheme="minorHAnsi"/>
          <w:color w:val="000000"/>
          <w:lang w:eastAsia="en-GB"/>
        </w:rPr>
        <w:t xml:space="preserve"> Across many retellings of the abduction myths, there are several variants of how Persephone came to eat the pomegranate seeds. In the Homeric Hymn Nagy’s use of the word β</w:t>
      </w:r>
      <w:proofErr w:type="spellStart"/>
      <w:r w:rsidRPr="00DF334E">
        <w:rPr>
          <w:rFonts w:eastAsia="Times New Roman" w:cstheme="minorHAnsi"/>
          <w:color w:val="000000"/>
          <w:lang w:eastAsia="en-GB"/>
        </w:rPr>
        <w:t>ίη</w:t>
      </w:r>
      <w:proofErr w:type="spellEnd"/>
      <w:r w:rsidRPr="00DF334E">
        <w:rPr>
          <w:rFonts w:eastAsia="Times New Roman" w:cstheme="minorHAnsi"/>
          <w:color w:val="000000"/>
          <w:lang w:eastAsia="en-GB"/>
        </w:rPr>
        <w:t xml:space="preserve"> suggests force, as that’s the closest translation we have, which is supported by the connotation of the word to a goddess mentioned in White’s translation of the Theogony (II. 383-403) this being “Bia (Force)” sibling of Nike and </w:t>
      </w:r>
      <w:proofErr w:type="spellStart"/>
      <w:r w:rsidRPr="00DF334E">
        <w:rPr>
          <w:rFonts w:eastAsia="Times New Roman" w:cstheme="minorHAnsi"/>
          <w:color w:val="000000"/>
          <w:lang w:eastAsia="en-GB"/>
        </w:rPr>
        <w:t>Cratos</w:t>
      </w:r>
      <w:proofErr w:type="spellEnd"/>
      <w:r w:rsidRPr="00DF334E">
        <w:rPr>
          <w:rFonts w:eastAsia="Times New Roman" w:cstheme="minorHAnsi"/>
          <w:color w:val="000000"/>
          <w:lang w:eastAsia="en-GB"/>
        </w:rPr>
        <w:t xml:space="preserve"> and the personification of force in the context of might and bodily strength. (White,1914)              </w:t>
      </w:r>
      <w:r w:rsidRPr="00DF334E">
        <w:rPr>
          <w:rFonts w:eastAsia="Times New Roman" w:cstheme="minorHAnsi"/>
          <w:color w:val="000000"/>
          <w:lang w:eastAsia="en-GB"/>
        </w:rPr>
        <w:tab/>
        <w:t xml:space="preserve">                                                                                                                 </w:t>
      </w:r>
      <w:r w:rsidR="00A604EC">
        <w:rPr>
          <w:rFonts w:eastAsia="Times New Roman" w:cstheme="minorHAnsi"/>
          <w:color w:val="000000"/>
          <w:lang w:eastAsia="en-GB"/>
        </w:rPr>
        <w:t xml:space="preserve">                                                      </w:t>
      </w:r>
      <w:r w:rsidRPr="00DF334E">
        <w:rPr>
          <w:rFonts w:eastAsia="Times New Roman" w:cstheme="minorHAnsi"/>
          <w:color w:val="000000"/>
          <w:lang w:eastAsia="en-GB"/>
        </w:rPr>
        <w:t xml:space="preserve">However, in Miller and </w:t>
      </w:r>
      <w:proofErr w:type="spellStart"/>
      <w:r w:rsidRPr="00DF334E">
        <w:rPr>
          <w:rFonts w:eastAsia="Times New Roman" w:cstheme="minorHAnsi"/>
          <w:color w:val="000000"/>
          <w:lang w:eastAsia="en-GB"/>
        </w:rPr>
        <w:t>Goold’s</w:t>
      </w:r>
      <w:proofErr w:type="spellEnd"/>
      <w:r w:rsidRPr="00DF334E">
        <w:rPr>
          <w:rFonts w:eastAsia="Times New Roman" w:cstheme="minorHAnsi"/>
          <w:color w:val="000000"/>
          <w:lang w:eastAsia="en-GB"/>
        </w:rPr>
        <w:t xml:space="preserve"> translation of Ovid’s </w:t>
      </w:r>
      <w:r w:rsidRPr="00DF334E">
        <w:rPr>
          <w:rFonts w:eastAsia="Times New Roman" w:cstheme="minorHAnsi"/>
          <w:i/>
          <w:iCs/>
          <w:color w:val="000000"/>
          <w:lang w:eastAsia="en-GB"/>
        </w:rPr>
        <w:t>Metamorphoses</w:t>
      </w:r>
      <w:r w:rsidRPr="00DF334E">
        <w:rPr>
          <w:rFonts w:eastAsia="Times New Roman" w:cstheme="minorHAnsi"/>
          <w:color w:val="000000"/>
          <w:lang w:eastAsia="en-GB"/>
        </w:rPr>
        <w:t xml:space="preserve"> (</w:t>
      </w:r>
      <w:r w:rsidRPr="00DF334E">
        <w:rPr>
          <w:rFonts w:eastAsia="Times New Roman" w:cstheme="minorHAnsi"/>
          <w:color w:val="000000"/>
          <w:u w:val="single"/>
          <w:lang w:eastAsia="en-GB"/>
        </w:rPr>
        <w:t>5.341-661</w:t>
      </w:r>
      <w:r w:rsidRPr="00DF334E">
        <w:rPr>
          <w:rFonts w:eastAsia="Times New Roman" w:cstheme="minorHAnsi"/>
          <w:color w:val="000000"/>
          <w:lang w:eastAsia="en-GB"/>
        </w:rPr>
        <w:t xml:space="preserve">), Persephone picks out seven of the seeds and eats them herself, furthermore, in Fraser and </w:t>
      </w:r>
      <w:proofErr w:type="spellStart"/>
      <w:r w:rsidRPr="00DF334E">
        <w:rPr>
          <w:rFonts w:eastAsia="Times New Roman" w:cstheme="minorHAnsi"/>
          <w:color w:val="000000"/>
          <w:lang w:eastAsia="en-GB"/>
        </w:rPr>
        <w:t>Goold’s</w:t>
      </w:r>
      <w:proofErr w:type="spellEnd"/>
      <w:r w:rsidRPr="00DF334E">
        <w:rPr>
          <w:rFonts w:eastAsia="Times New Roman" w:cstheme="minorHAnsi"/>
          <w:color w:val="000000"/>
          <w:lang w:eastAsia="en-GB"/>
        </w:rPr>
        <w:t xml:space="preserve"> translation of Ovid’s </w:t>
      </w:r>
      <w:r w:rsidRPr="00DF334E">
        <w:rPr>
          <w:rFonts w:eastAsia="Times New Roman" w:cstheme="minorHAnsi"/>
          <w:i/>
          <w:iCs/>
          <w:color w:val="000000"/>
          <w:lang w:eastAsia="en-GB"/>
        </w:rPr>
        <w:t>Fasti</w:t>
      </w:r>
      <w:r w:rsidRPr="00DF334E">
        <w:rPr>
          <w:rFonts w:eastAsia="Times New Roman" w:cstheme="minorHAnsi"/>
          <w:color w:val="000000"/>
          <w:lang w:eastAsia="en-GB"/>
        </w:rPr>
        <w:t xml:space="preserve"> (</w:t>
      </w:r>
      <w:proofErr w:type="spellStart"/>
      <w:r w:rsidRPr="00DF334E">
        <w:rPr>
          <w:rFonts w:eastAsia="Times New Roman" w:cstheme="minorHAnsi"/>
          <w:color w:val="000000"/>
          <w:lang w:eastAsia="en-GB"/>
        </w:rPr>
        <w:t>i</w:t>
      </w:r>
      <w:proofErr w:type="spellEnd"/>
      <w:r w:rsidRPr="00DF334E">
        <w:rPr>
          <w:rFonts w:eastAsia="Times New Roman" w:cstheme="minorHAnsi"/>
          <w:color w:val="000000"/>
          <w:lang w:eastAsia="en-GB"/>
        </w:rPr>
        <w:t xml:space="preserve"> 4.417-620) she picks out 3 seeds in total. This leads us to the discussion around the Pomegranate which ties into narrative tropes and </w:t>
      </w:r>
      <w:proofErr w:type="gramStart"/>
      <w:r w:rsidRPr="00DF334E">
        <w:rPr>
          <w:rFonts w:eastAsia="Times New Roman" w:cstheme="minorHAnsi"/>
          <w:color w:val="000000"/>
          <w:lang w:eastAsia="en-GB"/>
        </w:rPr>
        <w:t>both of the key</w:t>
      </w:r>
      <w:proofErr w:type="gramEnd"/>
      <w:r w:rsidRPr="00DF334E">
        <w:rPr>
          <w:rFonts w:eastAsia="Times New Roman" w:cstheme="minorHAnsi"/>
          <w:color w:val="000000"/>
          <w:lang w:eastAsia="en-GB"/>
        </w:rPr>
        <w:t xml:space="preserve"> themes present in this small section of the hymn. Historically Pomegranates have always been linked to fertility, so the specific use of pomegranate in the abduction myth could symbolise a couple of things. One is the loss of virginity and consummation of marriage; the colour of the fruit is reminiscent of blood (they were also known as fruits of the dead) and from a narrative perspective having Persephone eat the fruit of fertility given by hades could be symbolic of them consummating the marriage. If we connect this to the discussion on Persephone’s autonomy under the theme of power, then there’s also the angle that the act of eating the fruit could show her own autonomy as she’s consummating her marriage to Hades. But we should also consider that the pomegranate is quite clearly a literary trope and plot point which ties into the overarching theme of separation, the pomegranate acts as a narrative plot to ensure that Persephone can’t just return to Demeter and stay there, so the widespread use of the pomegranate across all the depictions of this myth is, therefore, a trope.</w:t>
      </w:r>
    </w:p>
    <w:p w14:paraId="06A69316" w14:textId="77777777" w:rsidR="00FD00A6" w:rsidRPr="005311F7" w:rsidRDefault="00FD00A6" w:rsidP="00EF5FBE">
      <w:pPr>
        <w:pStyle w:val="NormalWeb"/>
        <w:spacing w:before="0" w:beforeAutospacing="0" w:after="240" w:afterAutospacing="0" w:line="360" w:lineRule="atLeast"/>
        <w:rPr>
          <w:rFonts w:asciiTheme="minorHAnsi" w:hAnsiTheme="minorHAnsi" w:cstheme="minorHAnsi"/>
          <w:color w:val="212529"/>
          <w:sz w:val="22"/>
          <w:szCs w:val="22"/>
          <w:shd w:val="clear" w:color="auto" w:fill="F1F1F1"/>
        </w:rPr>
      </w:pPr>
    </w:p>
    <w:p w14:paraId="3205D516" w14:textId="77777777" w:rsidR="00FD00A6" w:rsidRPr="005311F7" w:rsidRDefault="00FD00A6" w:rsidP="00EF5FBE">
      <w:pPr>
        <w:pStyle w:val="NormalWeb"/>
        <w:spacing w:before="0" w:beforeAutospacing="0" w:after="240" w:afterAutospacing="0" w:line="360" w:lineRule="atLeast"/>
        <w:rPr>
          <w:rFonts w:asciiTheme="minorHAnsi" w:hAnsiTheme="minorHAnsi" w:cstheme="minorHAnsi"/>
          <w:color w:val="212529"/>
          <w:sz w:val="22"/>
          <w:szCs w:val="22"/>
          <w:shd w:val="clear" w:color="auto" w:fill="F1F1F1"/>
        </w:rPr>
      </w:pPr>
    </w:p>
    <w:p w14:paraId="6D101EA2" w14:textId="77777777" w:rsidR="00526A8E" w:rsidRDefault="00526A8E" w:rsidP="00EF5FBE">
      <w:pPr>
        <w:pStyle w:val="NormalWeb"/>
        <w:spacing w:before="0" w:beforeAutospacing="0" w:after="240" w:afterAutospacing="0" w:line="360" w:lineRule="atLeast"/>
        <w:rPr>
          <w:rFonts w:ascii="Roboto" w:hAnsi="Roboto"/>
          <w:color w:val="212529"/>
          <w:sz w:val="21"/>
          <w:szCs w:val="21"/>
          <w:u w:val="single"/>
          <w:shd w:val="clear" w:color="auto" w:fill="F1F1F1"/>
        </w:rPr>
      </w:pPr>
    </w:p>
    <w:p w14:paraId="5BF1E9ED" w14:textId="5F6CD40F" w:rsidR="00EE73A1" w:rsidRPr="00EE73A1" w:rsidRDefault="00FD00A6" w:rsidP="00EF5FBE">
      <w:pPr>
        <w:pStyle w:val="NormalWeb"/>
        <w:spacing w:before="0" w:beforeAutospacing="0" w:after="240" w:afterAutospacing="0" w:line="360" w:lineRule="atLeast"/>
        <w:rPr>
          <w:rFonts w:ascii="Roboto" w:hAnsi="Roboto"/>
          <w:color w:val="212529"/>
          <w:sz w:val="21"/>
          <w:szCs w:val="21"/>
          <w:u w:val="single"/>
          <w:shd w:val="clear" w:color="auto" w:fill="F1F1F1"/>
        </w:rPr>
      </w:pPr>
      <w:r w:rsidRPr="00EE73A1">
        <w:rPr>
          <w:rFonts w:ascii="Roboto" w:hAnsi="Roboto"/>
          <w:color w:val="212529"/>
          <w:sz w:val="21"/>
          <w:szCs w:val="21"/>
          <w:u w:val="single"/>
          <w:shd w:val="clear" w:color="auto" w:fill="F1F1F1"/>
        </w:rPr>
        <w:t>Reference List</w:t>
      </w:r>
      <w:r w:rsidR="00EE73A1">
        <w:rPr>
          <w:rFonts w:ascii="Roboto" w:hAnsi="Roboto"/>
          <w:color w:val="212529"/>
          <w:sz w:val="21"/>
          <w:szCs w:val="21"/>
          <w:u w:val="single"/>
          <w:shd w:val="clear" w:color="auto" w:fill="F1F1F1"/>
        </w:rPr>
        <w:t xml:space="preserve">              </w:t>
      </w:r>
    </w:p>
    <w:p w14:paraId="4DCDF288" w14:textId="5BD422C1" w:rsidR="00EE73A1" w:rsidRPr="00EE73A1" w:rsidRDefault="00EE73A1" w:rsidP="00EE73A1">
      <w:pPr>
        <w:pStyle w:val="NormalWeb"/>
        <w:spacing w:before="0" w:beforeAutospacing="0" w:after="240" w:afterAutospacing="0" w:line="360" w:lineRule="atLeast"/>
        <w:rPr>
          <w:rFonts w:asciiTheme="minorHAnsi" w:hAnsiTheme="minorHAnsi" w:cstheme="minorHAnsi"/>
          <w:color w:val="000000"/>
          <w:sz w:val="22"/>
          <w:szCs w:val="22"/>
        </w:rPr>
      </w:pPr>
      <w:r w:rsidRPr="00EE73A1">
        <w:rPr>
          <w:rFonts w:asciiTheme="minorHAnsi" w:hAnsiTheme="minorHAnsi" w:cstheme="minorHAnsi"/>
          <w:color w:val="000000"/>
          <w:sz w:val="22"/>
          <w:szCs w:val="22"/>
        </w:rPr>
        <w:t>Gregory Nagy (1782). </w:t>
      </w:r>
      <w:r w:rsidRPr="00EE73A1">
        <w:rPr>
          <w:rFonts w:asciiTheme="minorHAnsi" w:hAnsiTheme="minorHAnsi" w:cstheme="minorHAnsi"/>
          <w:i/>
          <w:iCs/>
          <w:color w:val="000000"/>
          <w:sz w:val="22"/>
          <w:szCs w:val="22"/>
        </w:rPr>
        <w:t xml:space="preserve">Homeric Hymn to </w:t>
      </w:r>
      <w:r w:rsidR="00526A8E" w:rsidRPr="00EE73A1">
        <w:rPr>
          <w:rFonts w:asciiTheme="minorHAnsi" w:hAnsiTheme="minorHAnsi" w:cstheme="minorHAnsi"/>
          <w:i/>
          <w:iCs/>
          <w:color w:val="000000"/>
          <w:sz w:val="22"/>
          <w:szCs w:val="22"/>
        </w:rPr>
        <w:t xml:space="preserve">Demeter </w:t>
      </w:r>
      <w:r w:rsidR="00526A8E" w:rsidRPr="00EE73A1">
        <w:rPr>
          <w:rFonts w:asciiTheme="minorHAnsi" w:hAnsiTheme="minorHAnsi" w:cstheme="minorHAnsi"/>
          <w:color w:val="000000"/>
          <w:sz w:val="22"/>
          <w:szCs w:val="22"/>
        </w:rPr>
        <w:t>[</w:t>
      </w:r>
      <w:r w:rsidRPr="00EE73A1">
        <w:rPr>
          <w:rFonts w:asciiTheme="minorHAnsi" w:hAnsiTheme="minorHAnsi" w:cstheme="minorHAnsi"/>
          <w:color w:val="000000"/>
          <w:sz w:val="22"/>
          <w:szCs w:val="22"/>
        </w:rPr>
        <w:t>online] Available at: https://chs.harvard.edu/primary-source/homeric-hymn-to-demeter-sb/ [Accessed 26 Sep. 2022].</w:t>
      </w:r>
    </w:p>
    <w:p w14:paraId="12A649EC" w14:textId="41198741" w:rsidR="00EE73A1" w:rsidRPr="00EE73A1" w:rsidRDefault="00EE73A1" w:rsidP="00EE73A1">
      <w:pPr>
        <w:rPr>
          <w:rFonts w:cstheme="minorHAnsi"/>
          <w:color w:val="262626"/>
          <w:shd w:val="clear" w:color="auto" w:fill="F5F5F5"/>
        </w:rPr>
      </w:pPr>
      <w:r w:rsidRPr="00EE73A1">
        <w:rPr>
          <w:rFonts w:cstheme="minorHAnsi"/>
          <w:color w:val="000000"/>
        </w:rPr>
        <w:t>‌</w:t>
      </w:r>
      <w:r w:rsidRPr="00EE73A1">
        <w:rPr>
          <w:rFonts w:cstheme="minorHAnsi"/>
          <w:color w:val="262626"/>
          <w:shd w:val="clear" w:color="auto" w:fill="F5F5F5"/>
        </w:rPr>
        <w:t xml:space="preserve"> </w:t>
      </w:r>
      <w:r w:rsidRPr="00EE73A1">
        <w:rPr>
          <w:rFonts w:cstheme="minorHAnsi"/>
          <w:color w:val="262626"/>
          <w:shd w:val="clear" w:color="auto" w:fill="F5F5F5"/>
        </w:rPr>
        <w:t>Helene P. Foley (1994) </w:t>
      </w:r>
      <w:r w:rsidRPr="00EE73A1">
        <w:rPr>
          <w:rFonts w:cstheme="minorHAnsi"/>
          <w:i/>
          <w:iCs/>
          <w:color w:val="262626"/>
          <w:bdr w:val="none" w:sz="0" w:space="0" w:color="auto" w:frame="1"/>
          <w:shd w:val="clear" w:color="auto" w:fill="F5F5F5"/>
        </w:rPr>
        <w:t xml:space="preserve">The Homeric Hymn to </w:t>
      </w:r>
      <w:r w:rsidR="00526A8E" w:rsidRPr="00EE73A1">
        <w:rPr>
          <w:rFonts w:cstheme="minorHAnsi"/>
          <w:i/>
          <w:iCs/>
          <w:color w:val="262626"/>
          <w:bdr w:val="none" w:sz="0" w:space="0" w:color="auto" w:frame="1"/>
          <w:shd w:val="clear" w:color="auto" w:fill="F5F5F5"/>
        </w:rPr>
        <w:t>Demeter:</w:t>
      </w:r>
      <w:r w:rsidRPr="00EE73A1">
        <w:rPr>
          <w:rFonts w:cstheme="minorHAnsi"/>
          <w:i/>
          <w:iCs/>
          <w:color w:val="262626"/>
          <w:bdr w:val="none" w:sz="0" w:space="0" w:color="auto" w:frame="1"/>
          <w:shd w:val="clear" w:color="auto" w:fill="F5F5F5"/>
        </w:rPr>
        <w:t xml:space="preserve"> Translation, Commentary, and Interpretive Essays</w:t>
      </w:r>
      <w:r w:rsidRPr="00EE73A1">
        <w:rPr>
          <w:rFonts w:cstheme="minorHAnsi"/>
          <w:color w:val="262626"/>
          <w:shd w:val="clear" w:color="auto" w:fill="F5F5F5"/>
        </w:rPr>
        <w:t>. Princeton, N.J.: Princeton University Press. Available at: https://search-ebscohost-com.ezproxy.uwtsd.ac.uk/login.aspx?direct=true&amp;db=nlebk&amp;AN=608746&amp;site=ehost-live (Accessed: 25 September 2022).</w:t>
      </w:r>
    </w:p>
    <w:p w14:paraId="7AA6B19D" w14:textId="3E85CA7E" w:rsidR="00EE73A1" w:rsidRPr="00EE73A1" w:rsidRDefault="00EE73A1" w:rsidP="003A47E2">
      <w:pPr>
        <w:pStyle w:val="NormalWeb"/>
        <w:spacing w:before="0" w:beforeAutospacing="0" w:after="240" w:afterAutospacing="0" w:line="360" w:lineRule="atLeast"/>
        <w:rPr>
          <w:rFonts w:asciiTheme="minorHAnsi" w:hAnsiTheme="minorHAnsi" w:cstheme="minorHAnsi"/>
          <w:color w:val="000000"/>
          <w:sz w:val="22"/>
          <w:szCs w:val="22"/>
        </w:rPr>
      </w:pPr>
      <w:r w:rsidRPr="00EE73A1">
        <w:rPr>
          <w:rFonts w:asciiTheme="minorHAnsi" w:hAnsiTheme="minorHAnsi" w:cstheme="minorHAnsi"/>
          <w:color w:val="212529"/>
          <w:sz w:val="22"/>
          <w:szCs w:val="22"/>
          <w:shd w:val="clear" w:color="auto" w:fill="F1F1F1"/>
        </w:rPr>
        <w:t>Hugh G. Evelyn-White (1914) Hesiod. </w:t>
      </w:r>
      <w:r w:rsidRPr="00EE73A1">
        <w:rPr>
          <w:rStyle w:val="Emphasis"/>
          <w:rFonts w:asciiTheme="minorHAnsi" w:hAnsiTheme="minorHAnsi" w:cstheme="minorHAnsi"/>
          <w:color w:val="212529"/>
          <w:sz w:val="22"/>
          <w:szCs w:val="22"/>
          <w:shd w:val="clear" w:color="auto" w:fill="F1F1F1"/>
        </w:rPr>
        <w:t xml:space="preserve">The Homeric Hymns. </w:t>
      </w:r>
      <w:proofErr w:type="gramStart"/>
      <w:r w:rsidRPr="00EE73A1">
        <w:rPr>
          <w:rStyle w:val="Emphasis"/>
          <w:rFonts w:asciiTheme="minorHAnsi" w:hAnsiTheme="minorHAnsi" w:cstheme="minorHAnsi"/>
          <w:color w:val="212529"/>
          <w:sz w:val="22"/>
          <w:szCs w:val="22"/>
          <w:shd w:val="clear" w:color="auto" w:fill="F1F1F1"/>
        </w:rPr>
        <w:t>And,</w:t>
      </w:r>
      <w:proofErr w:type="gramEnd"/>
      <w:r w:rsidRPr="00EE73A1">
        <w:rPr>
          <w:rStyle w:val="Emphasis"/>
          <w:rFonts w:asciiTheme="minorHAnsi" w:hAnsiTheme="minorHAnsi" w:cstheme="minorHAnsi"/>
          <w:color w:val="212529"/>
          <w:sz w:val="22"/>
          <w:szCs w:val="22"/>
          <w:shd w:val="clear" w:color="auto" w:fill="F1F1F1"/>
        </w:rPr>
        <w:t xml:space="preserve"> </w:t>
      </w:r>
      <w:proofErr w:type="spellStart"/>
      <w:r w:rsidRPr="00EE73A1">
        <w:rPr>
          <w:rStyle w:val="Emphasis"/>
          <w:rFonts w:asciiTheme="minorHAnsi" w:hAnsiTheme="minorHAnsi" w:cstheme="minorHAnsi"/>
          <w:color w:val="212529"/>
          <w:sz w:val="22"/>
          <w:szCs w:val="22"/>
          <w:shd w:val="clear" w:color="auto" w:fill="F1F1F1"/>
        </w:rPr>
        <w:t>Homerica</w:t>
      </w:r>
      <w:proofErr w:type="spellEnd"/>
      <w:r w:rsidRPr="00EE73A1">
        <w:rPr>
          <w:rFonts w:asciiTheme="minorHAnsi" w:hAnsiTheme="minorHAnsi" w:cstheme="minorHAnsi"/>
          <w:color w:val="212529"/>
          <w:sz w:val="22"/>
          <w:szCs w:val="22"/>
          <w:shd w:val="clear" w:color="auto" w:fill="F1F1F1"/>
        </w:rPr>
        <w:t xml:space="preserve">. London, England: William Heinemann Ltd. </w:t>
      </w:r>
      <w:r w:rsidRPr="00EE73A1">
        <w:rPr>
          <w:rFonts w:asciiTheme="minorHAnsi" w:hAnsiTheme="minorHAnsi" w:cstheme="minorHAnsi"/>
          <w:color w:val="000000"/>
          <w:sz w:val="22"/>
          <w:szCs w:val="22"/>
        </w:rPr>
        <w:t>Available at: https://archive.org/details/hesiodhomerichym00hesi_0/page/n23/mode/2up [Accessed 26 Sep. 2022].</w:t>
      </w:r>
    </w:p>
    <w:p w14:paraId="35F0C8DA" w14:textId="34FA1FE7" w:rsidR="003A47E2" w:rsidRPr="00EE73A1" w:rsidRDefault="00E0381A" w:rsidP="003A47E2">
      <w:pPr>
        <w:pStyle w:val="NormalWeb"/>
        <w:spacing w:before="0" w:beforeAutospacing="0" w:after="240" w:afterAutospacing="0" w:line="360" w:lineRule="atLeast"/>
        <w:rPr>
          <w:rFonts w:asciiTheme="minorHAnsi" w:hAnsiTheme="minorHAnsi" w:cstheme="minorHAnsi"/>
          <w:color w:val="000000"/>
          <w:sz w:val="22"/>
          <w:szCs w:val="22"/>
        </w:rPr>
      </w:pPr>
      <w:r w:rsidRPr="00EE73A1">
        <w:rPr>
          <w:rFonts w:asciiTheme="minorHAnsi" w:hAnsiTheme="minorHAnsi" w:cstheme="minorHAnsi"/>
          <w:sz w:val="22"/>
          <w:szCs w:val="22"/>
        </w:rPr>
        <w:t xml:space="preserve">Miller and </w:t>
      </w:r>
      <w:proofErr w:type="spellStart"/>
      <w:r w:rsidRPr="00EE73A1">
        <w:rPr>
          <w:rFonts w:asciiTheme="minorHAnsi" w:hAnsiTheme="minorHAnsi" w:cstheme="minorHAnsi"/>
          <w:sz w:val="22"/>
          <w:szCs w:val="22"/>
        </w:rPr>
        <w:t>Goold</w:t>
      </w:r>
      <w:proofErr w:type="spellEnd"/>
      <w:r w:rsidR="003A47E2" w:rsidRPr="00EE73A1">
        <w:rPr>
          <w:rFonts w:asciiTheme="minorHAnsi" w:hAnsiTheme="minorHAnsi" w:cstheme="minorHAnsi"/>
          <w:color w:val="000000"/>
          <w:sz w:val="22"/>
          <w:szCs w:val="22"/>
        </w:rPr>
        <w:t>. (</w:t>
      </w:r>
      <w:r w:rsidR="006835CF" w:rsidRPr="00EE73A1">
        <w:rPr>
          <w:rFonts w:asciiTheme="minorHAnsi" w:hAnsiTheme="minorHAnsi" w:cstheme="minorHAnsi"/>
          <w:color w:val="000000"/>
          <w:sz w:val="22"/>
          <w:szCs w:val="22"/>
        </w:rPr>
        <w:t>1989</w:t>
      </w:r>
      <w:r w:rsidR="003A47E2" w:rsidRPr="00EE73A1">
        <w:rPr>
          <w:rFonts w:asciiTheme="minorHAnsi" w:hAnsiTheme="minorHAnsi" w:cstheme="minorHAnsi"/>
          <w:color w:val="000000"/>
          <w:sz w:val="22"/>
          <w:szCs w:val="22"/>
        </w:rPr>
        <w:t>). </w:t>
      </w:r>
      <w:r w:rsidRPr="00EE73A1">
        <w:rPr>
          <w:rFonts w:asciiTheme="minorHAnsi" w:hAnsiTheme="minorHAnsi" w:cstheme="minorHAnsi"/>
          <w:sz w:val="22"/>
          <w:szCs w:val="22"/>
        </w:rPr>
        <w:t xml:space="preserve">Ovid’s </w:t>
      </w:r>
      <w:r w:rsidRPr="00EE73A1">
        <w:rPr>
          <w:rFonts w:asciiTheme="minorHAnsi" w:hAnsiTheme="minorHAnsi" w:cstheme="minorHAnsi"/>
          <w:i/>
          <w:iCs/>
          <w:sz w:val="22"/>
          <w:szCs w:val="22"/>
        </w:rPr>
        <w:t>Metamorphoses</w:t>
      </w:r>
      <w:r w:rsidRPr="00EE73A1">
        <w:rPr>
          <w:rFonts w:asciiTheme="minorHAnsi" w:hAnsiTheme="minorHAnsi" w:cstheme="minorHAnsi"/>
          <w:sz w:val="22"/>
          <w:szCs w:val="22"/>
        </w:rPr>
        <w:t xml:space="preserve"> </w:t>
      </w:r>
      <w:r w:rsidR="003A47E2" w:rsidRPr="00EE73A1">
        <w:rPr>
          <w:rFonts w:asciiTheme="minorHAnsi" w:hAnsiTheme="minorHAnsi" w:cstheme="minorHAnsi"/>
          <w:i/>
          <w:iCs/>
          <w:color w:val="000000"/>
          <w:sz w:val="22"/>
          <w:szCs w:val="22"/>
        </w:rPr>
        <w:t>Book I</w:t>
      </w:r>
      <w:r w:rsidR="003A47E2" w:rsidRPr="00EE73A1">
        <w:rPr>
          <w:rFonts w:asciiTheme="minorHAnsi" w:hAnsiTheme="minorHAnsi" w:cstheme="minorHAnsi"/>
          <w:color w:val="000000"/>
          <w:sz w:val="22"/>
          <w:szCs w:val="22"/>
        </w:rPr>
        <w:t>.</w:t>
      </w:r>
      <w:r w:rsidR="00C91CA0" w:rsidRPr="00EE73A1">
        <w:rPr>
          <w:rFonts w:asciiTheme="minorHAnsi" w:hAnsiTheme="minorHAnsi" w:cstheme="minorHAnsi"/>
          <w:color w:val="0F1111"/>
          <w:sz w:val="22"/>
          <w:szCs w:val="22"/>
          <w:shd w:val="clear" w:color="auto" w:fill="FFFFFF"/>
        </w:rPr>
        <w:t xml:space="preserve"> </w:t>
      </w:r>
      <w:r w:rsidR="00C91CA0" w:rsidRPr="00EE73A1">
        <w:rPr>
          <w:rFonts w:asciiTheme="minorHAnsi" w:hAnsiTheme="minorHAnsi" w:cstheme="minorHAnsi"/>
          <w:color w:val="0F1111"/>
          <w:sz w:val="22"/>
          <w:szCs w:val="22"/>
          <w:shd w:val="clear" w:color="auto" w:fill="FFFFFF"/>
        </w:rPr>
        <w:t xml:space="preserve">Loeb; 3rd ed. edition </w:t>
      </w:r>
      <w:r w:rsidR="003A47E2" w:rsidRPr="00EE73A1">
        <w:rPr>
          <w:rFonts w:asciiTheme="minorHAnsi" w:hAnsiTheme="minorHAnsi" w:cstheme="minorHAnsi"/>
          <w:color w:val="000000"/>
          <w:sz w:val="22"/>
          <w:szCs w:val="22"/>
        </w:rPr>
        <w:t>[online] Available at: https://www.loebclassics.com/view/ovid-metamorphoses/1916/pb_LCL042.3.xml?rskey=WmUjSu&amp;result=2 [Accessed 26 Sep. 2022].</w:t>
      </w:r>
    </w:p>
    <w:p w14:paraId="7252E426" w14:textId="5AD2DBFF" w:rsidR="003A47E2" w:rsidRPr="00EE73A1" w:rsidRDefault="00E0381A" w:rsidP="00AA3D72">
      <w:pPr>
        <w:pStyle w:val="NormalWeb"/>
        <w:spacing w:before="0" w:beforeAutospacing="0" w:after="240" w:afterAutospacing="0" w:line="360" w:lineRule="atLeast"/>
        <w:rPr>
          <w:rFonts w:asciiTheme="minorHAnsi" w:hAnsiTheme="minorHAnsi" w:cstheme="minorHAnsi"/>
          <w:color w:val="000000"/>
          <w:sz w:val="22"/>
          <w:szCs w:val="22"/>
        </w:rPr>
      </w:pPr>
      <w:r w:rsidRPr="00EE73A1">
        <w:rPr>
          <w:rFonts w:asciiTheme="minorHAnsi" w:hAnsiTheme="minorHAnsi" w:cstheme="minorHAnsi"/>
          <w:sz w:val="22"/>
          <w:szCs w:val="22"/>
        </w:rPr>
        <w:t xml:space="preserve">Fraser and </w:t>
      </w:r>
      <w:proofErr w:type="spellStart"/>
      <w:r w:rsidRPr="00EE73A1">
        <w:rPr>
          <w:rFonts w:asciiTheme="minorHAnsi" w:hAnsiTheme="minorHAnsi" w:cstheme="minorHAnsi"/>
          <w:sz w:val="22"/>
          <w:szCs w:val="22"/>
        </w:rPr>
        <w:t>Goold</w:t>
      </w:r>
      <w:proofErr w:type="spellEnd"/>
      <w:r w:rsidR="00882711" w:rsidRPr="00EE73A1">
        <w:rPr>
          <w:rFonts w:asciiTheme="minorHAnsi" w:hAnsiTheme="minorHAnsi" w:cstheme="minorHAnsi"/>
          <w:color w:val="000000"/>
          <w:sz w:val="22"/>
          <w:szCs w:val="22"/>
        </w:rPr>
        <w:t>. (</w:t>
      </w:r>
      <w:r w:rsidR="00D5565E" w:rsidRPr="00EE73A1">
        <w:rPr>
          <w:rFonts w:asciiTheme="minorHAnsi" w:hAnsiTheme="minorHAnsi" w:cstheme="minorHAnsi"/>
          <w:color w:val="000000"/>
          <w:sz w:val="22"/>
          <w:szCs w:val="22"/>
        </w:rPr>
        <w:t>1931</w:t>
      </w:r>
      <w:r w:rsidR="00882711" w:rsidRPr="00EE73A1">
        <w:rPr>
          <w:rFonts w:asciiTheme="minorHAnsi" w:hAnsiTheme="minorHAnsi" w:cstheme="minorHAnsi"/>
          <w:color w:val="000000"/>
          <w:sz w:val="22"/>
          <w:szCs w:val="22"/>
        </w:rPr>
        <w:t>). </w:t>
      </w:r>
      <w:r w:rsidRPr="00EE73A1">
        <w:rPr>
          <w:rFonts w:asciiTheme="minorHAnsi" w:hAnsiTheme="minorHAnsi" w:cstheme="minorHAnsi"/>
          <w:sz w:val="22"/>
          <w:szCs w:val="22"/>
        </w:rPr>
        <w:t xml:space="preserve">Ovid’s </w:t>
      </w:r>
      <w:r w:rsidR="00526A8E" w:rsidRPr="00EE73A1">
        <w:rPr>
          <w:rFonts w:asciiTheme="minorHAnsi" w:hAnsiTheme="minorHAnsi" w:cstheme="minorHAnsi"/>
          <w:i/>
          <w:iCs/>
          <w:sz w:val="22"/>
          <w:szCs w:val="22"/>
        </w:rPr>
        <w:t>Fasti</w:t>
      </w:r>
      <w:r w:rsidR="00526A8E" w:rsidRPr="00EE73A1">
        <w:rPr>
          <w:rFonts w:asciiTheme="minorHAnsi" w:hAnsiTheme="minorHAnsi" w:cstheme="minorHAnsi"/>
          <w:sz w:val="22"/>
          <w:szCs w:val="22"/>
        </w:rPr>
        <w:t xml:space="preserve"> </w:t>
      </w:r>
      <w:r w:rsidR="00526A8E" w:rsidRPr="00526A8E">
        <w:rPr>
          <w:rFonts w:asciiTheme="minorHAnsi" w:hAnsiTheme="minorHAnsi" w:cstheme="minorHAnsi"/>
          <w:i/>
          <w:iCs/>
          <w:sz w:val="22"/>
          <w:szCs w:val="22"/>
        </w:rPr>
        <w:t>Book</w:t>
      </w:r>
      <w:r w:rsidR="00882711" w:rsidRPr="00EE73A1">
        <w:rPr>
          <w:rFonts w:asciiTheme="minorHAnsi" w:hAnsiTheme="minorHAnsi" w:cstheme="minorHAnsi"/>
          <w:i/>
          <w:iCs/>
          <w:color w:val="000000"/>
          <w:sz w:val="22"/>
          <w:szCs w:val="22"/>
        </w:rPr>
        <w:t xml:space="preserve"> I</w:t>
      </w:r>
      <w:r w:rsidR="00882711" w:rsidRPr="00EE73A1">
        <w:rPr>
          <w:rFonts w:asciiTheme="minorHAnsi" w:hAnsiTheme="minorHAnsi" w:cstheme="minorHAnsi"/>
          <w:color w:val="000000"/>
          <w:sz w:val="22"/>
          <w:szCs w:val="22"/>
        </w:rPr>
        <w:t>.</w:t>
      </w:r>
      <w:r w:rsidR="00AA3D72" w:rsidRPr="00EE73A1">
        <w:rPr>
          <w:rFonts w:asciiTheme="minorHAnsi" w:hAnsiTheme="minorHAnsi" w:cstheme="minorHAnsi"/>
          <w:color w:val="333333"/>
          <w:sz w:val="22"/>
          <w:szCs w:val="22"/>
        </w:rPr>
        <w:t xml:space="preserve"> </w:t>
      </w:r>
      <w:r w:rsidR="00AA3D72" w:rsidRPr="00EE73A1">
        <w:rPr>
          <w:rFonts w:asciiTheme="minorHAnsi" w:hAnsiTheme="minorHAnsi" w:cstheme="minorHAnsi"/>
          <w:color w:val="333333"/>
          <w:sz w:val="22"/>
          <w:szCs w:val="22"/>
        </w:rPr>
        <w:t>Harvard University Press</w:t>
      </w:r>
      <w:r w:rsidR="00882711" w:rsidRPr="00EE73A1">
        <w:rPr>
          <w:rFonts w:asciiTheme="minorHAnsi" w:hAnsiTheme="minorHAnsi" w:cstheme="minorHAnsi"/>
          <w:color w:val="000000"/>
          <w:sz w:val="22"/>
          <w:szCs w:val="22"/>
        </w:rPr>
        <w:t xml:space="preserve"> [online] Available at: https://www.loebclassics.com/view/ovid-fasti/1931/pb_LCL253.3.xml?rskey=ENUoZN&amp;result=1 [Accessed 26 Sep. 2022].</w:t>
      </w:r>
    </w:p>
    <w:p w14:paraId="604AC97D" w14:textId="5966C2C5" w:rsidR="00EF646C" w:rsidRPr="00EE73A1" w:rsidRDefault="00EF646C"/>
    <w:p w14:paraId="6702F6A1" w14:textId="77777777" w:rsidR="00B8227E" w:rsidRDefault="00B8227E" w:rsidP="00B8227E">
      <w:pPr>
        <w:pStyle w:val="NormalWeb"/>
        <w:rPr>
          <w:color w:val="000000"/>
        </w:rPr>
      </w:pPr>
      <w:r w:rsidRPr="00EE73A1">
        <w:rPr>
          <w:color w:val="000000"/>
        </w:rPr>
        <w:t>‌</w:t>
      </w:r>
    </w:p>
    <w:p w14:paraId="122313B5" w14:textId="77777777" w:rsidR="00B8227E" w:rsidRDefault="00B8227E"/>
    <w:sectPr w:rsidR="00B822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61F38"/>
    <w:multiLevelType w:val="hybridMultilevel"/>
    <w:tmpl w:val="513CD534"/>
    <w:lvl w:ilvl="0" w:tplc="1C9ACAAA">
      <w:start w:val="3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897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C89"/>
    <w:rsid w:val="00002C4F"/>
    <w:rsid w:val="0007637F"/>
    <w:rsid w:val="000A785B"/>
    <w:rsid w:val="000A7E3C"/>
    <w:rsid w:val="000B5E99"/>
    <w:rsid w:val="000C15A0"/>
    <w:rsid w:val="000F786F"/>
    <w:rsid w:val="00114551"/>
    <w:rsid w:val="00114877"/>
    <w:rsid w:val="00115095"/>
    <w:rsid w:val="00126061"/>
    <w:rsid w:val="0012680E"/>
    <w:rsid w:val="00191B69"/>
    <w:rsid w:val="001A1EB0"/>
    <w:rsid w:val="001B0EAF"/>
    <w:rsid w:val="002135D1"/>
    <w:rsid w:val="00223083"/>
    <w:rsid w:val="0026446F"/>
    <w:rsid w:val="0026618C"/>
    <w:rsid w:val="002671A5"/>
    <w:rsid w:val="00280B34"/>
    <w:rsid w:val="002B0F24"/>
    <w:rsid w:val="00302A17"/>
    <w:rsid w:val="00313AB6"/>
    <w:rsid w:val="0032377F"/>
    <w:rsid w:val="003241F6"/>
    <w:rsid w:val="00330C89"/>
    <w:rsid w:val="0033396B"/>
    <w:rsid w:val="00346865"/>
    <w:rsid w:val="00352214"/>
    <w:rsid w:val="00363528"/>
    <w:rsid w:val="00375735"/>
    <w:rsid w:val="00396B6B"/>
    <w:rsid w:val="003A3994"/>
    <w:rsid w:val="003A47E2"/>
    <w:rsid w:val="003C6118"/>
    <w:rsid w:val="003E0AEE"/>
    <w:rsid w:val="003E2105"/>
    <w:rsid w:val="004056D6"/>
    <w:rsid w:val="00406BE3"/>
    <w:rsid w:val="0043782D"/>
    <w:rsid w:val="004404E4"/>
    <w:rsid w:val="00455089"/>
    <w:rsid w:val="00463D37"/>
    <w:rsid w:val="004941B3"/>
    <w:rsid w:val="004A1DB5"/>
    <w:rsid w:val="004B3938"/>
    <w:rsid w:val="004D1C30"/>
    <w:rsid w:val="0050074D"/>
    <w:rsid w:val="005105B5"/>
    <w:rsid w:val="005134EE"/>
    <w:rsid w:val="00516906"/>
    <w:rsid w:val="00526A8E"/>
    <w:rsid w:val="005311F7"/>
    <w:rsid w:val="005372FC"/>
    <w:rsid w:val="00554EB3"/>
    <w:rsid w:val="00597E03"/>
    <w:rsid w:val="005B5716"/>
    <w:rsid w:val="005F0324"/>
    <w:rsid w:val="005F5D95"/>
    <w:rsid w:val="00603DD6"/>
    <w:rsid w:val="00611877"/>
    <w:rsid w:val="006246CA"/>
    <w:rsid w:val="006530F0"/>
    <w:rsid w:val="00662684"/>
    <w:rsid w:val="006835CF"/>
    <w:rsid w:val="006B2819"/>
    <w:rsid w:val="006C7960"/>
    <w:rsid w:val="006D0E3D"/>
    <w:rsid w:val="006E1935"/>
    <w:rsid w:val="006E6EF6"/>
    <w:rsid w:val="006F5954"/>
    <w:rsid w:val="007035F2"/>
    <w:rsid w:val="00707D6D"/>
    <w:rsid w:val="00722AB8"/>
    <w:rsid w:val="00743EAD"/>
    <w:rsid w:val="007465B0"/>
    <w:rsid w:val="00770529"/>
    <w:rsid w:val="007904B6"/>
    <w:rsid w:val="007923F2"/>
    <w:rsid w:val="007C34CA"/>
    <w:rsid w:val="007D7186"/>
    <w:rsid w:val="00805EC6"/>
    <w:rsid w:val="00822457"/>
    <w:rsid w:val="0083110C"/>
    <w:rsid w:val="008530D2"/>
    <w:rsid w:val="00853521"/>
    <w:rsid w:val="00855D1F"/>
    <w:rsid w:val="00864F41"/>
    <w:rsid w:val="00870FA5"/>
    <w:rsid w:val="00882711"/>
    <w:rsid w:val="008915D4"/>
    <w:rsid w:val="00897C00"/>
    <w:rsid w:val="008B3E54"/>
    <w:rsid w:val="008C56A9"/>
    <w:rsid w:val="008D7FC5"/>
    <w:rsid w:val="00927EE6"/>
    <w:rsid w:val="009426AA"/>
    <w:rsid w:val="00953660"/>
    <w:rsid w:val="009623B5"/>
    <w:rsid w:val="009670D2"/>
    <w:rsid w:val="0097795F"/>
    <w:rsid w:val="0098317C"/>
    <w:rsid w:val="009C533D"/>
    <w:rsid w:val="009D03F3"/>
    <w:rsid w:val="009D44D1"/>
    <w:rsid w:val="009E3A92"/>
    <w:rsid w:val="009E3AA3"/>
    <w:rsid w:val="00A073BD"/>
    <w:rsid w:val="00A1135E"/>
    <w:rsid w:val="00A14576"/>
    <w:rsid w:val="00A26609"/>
    <w:rsid w:val="00A604EC"/>
    <w:rsid w:val="00A707B3"/>
    <w:rsid w:val="00A7216F"/>
    <w:rsid w:val="00A7799B"/>
    <w:rsid w:val="00A96258"/>
    <w:rsid w:val="00AA3D72"/>
    <w:rsid w:val="00AF5142"/>
    <w:rsid w:val="00B045B6"/>
    <w:rsid w:val="00B8227E"/>
    <w:rsid w:val="00B9282A"/>
    <w:rsid w:val="00B95E24"/>
    <w:rsid w:val="00BA078F"/>
    <w:rsid w:val="00BA723C"/>
    <w:rsid w:val="00BD6238"/>
    <w:rsid w:val="00BE54D9"/>
    <w:rsid w:val="00BF6E8B"/>
    <w:rsid w:val="00C11994"/>
    <w:rsid w:val="00C24AF8"/>
    <w:rsid w:val="00C459F9"/>
    <w:rsid w:val="00C514BC"/>
    <w:rsid w:val="00C86681"/>
    <w:rsid w:val="00C91CA0"/>
    <w:rsid w:val="00C95007"/>
    <w:rsid w:val="00CA4643"/>
    <w:rsid w:val="00CC67B4"/>
    <w:rsid w:val="00CF08CE"/>
    <w:rsid w:val="00D25F02"/>
    <w:rsid w:val="00D5565E"/>
    <w:rsid w:val="00D619FD"/>
    <w:rsid w:val="00D6281C"/>
    <w:rsid w:val="00D66FE5"/>
    <w:rsid w:val="00DC4CF2"/>
    <w:rsid w:val="00DD5172"/>
    <w:rsid w:val="00DD594B"/>
    <w:rsid w:val="00DE1892"/>
    <w:rsid w:val="00DF0BBF"/>
    <w:rsid w:val="00DF334E"/>
    <w:rsid w:val="00DF6380"/>
    <w:rsid w:val="00E0381A"/>
    <w:rsid w:val="00E10766"/>
    <w:rsid w:val="00E20822"/>
    <w:rsid w:val="00E51550"/>
    <w:rsid w:val="00E96A74"/>
    <w:rsid w:val="00EB0946"/>
    <w:rsid w:val="00EC47A6"/>
    <w:rsid w:val="00EE591C"/>
    <w:rsid w:val="00EE73A1"/>
    <w:rsid w:val="00EF5FBE"/>
    <w:rsid w:val="00EF646C"/>
    <w:rsid w:val="00F11C54"/>
    <w:rsid w:val="00F17B45"/>
    <w:rsid w:val="00F42DEA"/>
    <w:rsid w:val="00F44A7E"/>
    <w:rsid w:val="00F4587B"/>
    <w:rsid w:val="00F66A54"/>
    <w:rsid w:val="00F66F13"/>
    <w:rsid w:val="00F91166"/>
    <w:rsid w:val="00FC157E"/>
    <w:rsid w:val="00FD00A6"/>
    <w:rsid w:val="00FE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AD28"/>
  <w15:chartTrackingRefBased/>
  <w15:docId w15:val="{746BCD27-4122-4326-AF3E-109ACE8F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C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3D37"/>
    <w:rPr>
      <w:i/>
      <w:iCs/>
    </w:rPr>
  </w:style>
  <w:style w:type="character" w:customStyle="1" w:styleId="apple-tab-span">
    <w:name w:val="apple-tab-span"/>
    <w:basedOn w:val="DefaultParagraphFont"/>
    <w:rsid w:val="00DF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20726">
      <w:bodyDiv w:val="1"/>
      <w:marLeft w:val="0"/>
      <w:marRight w:val="0"/>
      <w:marTop w:val="0"/>
      <w:marBottom w:val="0"/>
      <w:divBdr>
        <w:top w:val="none" w:sz="0" w:space="0" w:color="auto"/>
        <w:left w:val="none" w:sz="0" w:space="0" w:color="auto"/>
        <w:bottom w:val="none" w:sz="0" w:space="0" w:color="auto"/>
        <w:right w:val="none" w:sz="0" w:space="0" w:color="auto"/>
      </w:divBdr>
    </w:div>
    <w:div w:id="641543958">
      <w:bodyDiv w:val="1"/>
      <w:marLeft w:val="0"/>
      <w:marRight w:val="0"/>
      <w:marTop w:val="0"/>
      <w:marBottom w:val="0"/>
      <w:divBdr>
        <w:top w:val="none" w:sz="0" w:space="0" w:color="auto"/>
        <w:left w:val="none" w:sz="0" w:space="0" w:color="auto"/>
        <w:bottom w:val="none" w:sz="0" w:space="0" w:color="auto"/>
        <w:right w:val="none" w:sz="0" w:space="0" w:color="auto"/>
      </w:divBdr>
    </w:div>
    <w:div w:id="1059937909">
      <w:bodyDiv w:val="1"/>
      <w:marLeft w:val="0"/>
      <w:marRight w:val="0"/>
      <w:marTop w:val="0"/>
      <w:marBottom w:val="0"/>
      <w:divBdr>
        <w:top w:val="none" w:sz="0" w:space="0" w:color="auto"/>
        <w:left w:val="none" w:sz="0" w:space="0" w:color="auto"/>
        <w:bottom w:val="none" w:sz="0" w:space="0" w:color="auto"/>
        <w:right w:val="none" w:sz="0" w:space="0" w:color="auto"/>
      </w:divBdr>
    </w:div>
    <w:div w:id="1173060393">
      <w:bodyDiv w:val="1"/>
      <w:marLeft w:val="0"/>
      <w:marRight w:val="0"/>
      <w:marTop w:val="0"/>
      <w:marBottom w:val="0"/>
      <w:divBdr>
        <w:top w:val="none" w:sz="0" w:space="0" w:color="auto"/>
        <w:left w:val="none" w:sz="0" w:space="0" w:color="auto"/>
        <w:bottom w:val="none" w:sz="0" w:space="0" w:color="auto"/>
        <w:right w:val="none" w:sz="0" w:space="0" w:color="auto"/>
      </w:divBdr>
    </w:div>
    <w:div w:id="1519004033">
      <w:bodyDiv w:val="1"/>
      <w:marLeft w:val="0"/>
      <w:marRight w:val="0"/>
      <w:marTop w:val="0"/>
      <w:marBottom w:val="0"/>
      <w:divBdr>
        <w:top w:val="none" w:sz="0" w:space="0" w:color="auto"/>
        <w:left w:val="none" w:sz="0" w:space="0" w:color="auto"/>
        <w:bottom w:val="none" w:sz="0" w:space="0" w:color="auto"/>
        <w:right w:val="none" w:sz="0" w:space="0" w:color="auto"/>
      </w:divBdr>
    </w:div>
    <w:div w:id="186917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TotalTime>
  <Pages>3</Pages>
  <Words>1322</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157</cp:revision>
  <dcterms:created xsi:type="dcterms:W3CDTF">2022-09-25T17:33:00Z</dcterms:created>
  <dcterms:modified xsi:type="dcterms:W3CDTF">2022-09-26T12:28:00Z</dcterms:modified>
</cp:coreProperties>
</file>