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045B44B" wp14:paraId="6F9B90DB" wp14:textId="2DAD986A">
      <w:pPr>
        <w:spacing w:before="0" w:beforeAutospacing="off" w:after="160" w:afterAutospacing="off" w:line="257" w:lineRule="auto"/>
        <w:jc w:val="cente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3045B44B" w:rsidR="05C4AA87">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Certificate of Higher Education skills for the Workplace</w:t>
      </w:r>
    </w:p>
    <w:p xmlns:wp14="http://schemas.microsoft.com/office/word/2010/wordml" w:rsidP="3045B44B" wp14:paraId="6FFA031E" wp14:textId="661C1ABF">
      <w:pPr>
        <w:spacing w:before="0" w:beforeAutospacing="off" w:after="160" w:afterAutospacing="off" w:line="257"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3045B44B" wp14:paraId="766D3687" wp14:textId="11EBAB8E">
      <w:pPr>
        <w:spacing w:before="0" w:beforeAutospacing="off" w:after="160" w:afterAutospacing="off" w:line="257" w:lineRule="auto"/>
        <w:jc w:val="cente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3045B44B" w:rsidR="1315516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LCHS4003 </w:t>
      </w:r>
      <w:r w:rsidRPr="3045B44B" w:rsidR="52338EF7">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Introduction to Health and Social Care</w:t>
      </w:r>
    </w:p>
    <w:p xmlns:wp14="http://schemas.microsoft.com/office/word/2010/wordml" w:rsidP="3045B44B" wp14:paraId="5EF7CA20" wp14:textId="53BD82E5">
      <w:pPr>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3045B44B" wp14:paraId="683F8D65" wp14:textId="59F3D058">
      <w:pPr>
        <w:jc w:val="cente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3045B44B" w:rsidR="4F9326BA">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Assignment Title: Written Assignment</w:t>
      </w:r>
    </w:p>
    <w:p xmlns:wp14="http://schemas.microsoft.com/office/word/2010/wordml" w:rsidP="3045B44B" wp14:paraId="12F66497" wp14:textId="3FD271F0">
      <w:pPr>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3045B44B" wp14:paraId="7F30A869" wp14:textId="27B8758C">
      <w:pPr>
        <w:jc w:val="cente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3045B44B" w:rsidR="1315516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Lecturer: A</w:t>
      </w:r>
      <w:r w:rsidRPr="3045B44B" w:rsidR="002FAA5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ishat Bakre</w:t>
      </w:r>
    </w:p>
    <w:p xmlns:wp14="http://schemas.microsoft.com/office/word/2010/wordml" w:rsidP="3045B44B" wp14:paraId="5A82207A" wp14:textId="53C89C38">
      <w:pPr>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3045B44B" wp14:paraId="075C48FF" wp14:textId="09E7B102">
      <w:pPr>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045B44B" w:rsidR="1315516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Student Name: Sadia Ousman</w:t>
      </w:r>
    </w:p>
    <w:p xmlns:wp14="http://schemas.microsoft.com/office/word/2010/wordml" w:rsidP="3045B44B" wp14:paraId="4BBAD5CE" wp14:textId="2A131CDB">
      <w:pPr>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3045B44B" wp14:paraId="5144E270" wp14:textId="645563DC">
      <w:pPr>
        <w:jc w:val="cente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3045B44B" w:rsidR="1315516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Student Number: 2235624</w:t>
      </w:r>
    </w:p>
    <w:p xmlns:wp14="http://schemas.microsoft.com/office/word/2010/wordml" w:rsidP="3045B44B" wp14:paraId="1397AB04" wp14:textId="6647945D">
      <w:pPr>
        <w:jc w:val="cente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xmlns:wp14="http://schemas.microsoft.com/office/word/2010/wordml" w:rsidP="3045B44B" wp14:paraId="4266D5D2" wp14:textId="71D89081">
      <w:pPr>
        <w:jc w:val="cente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xmlns:wp14="http://schemas.microsoft.com/office/word/2010/wordml" w:rsidP="3045B44B" wp14:paraId="5A031AC7" wp14:textId="205013E7">
      <w:pPr>
        <w:jc w:val="cente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xmlns:wp14="http://schemas.microsoft.com/office/word/2010/wordml" w:rsidP="3045B44B" wp14:paraId="6B2F7222" wp14:textId="30E266AE">
      <w:pPr>
        <w:jc w:val="cente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xmlns:wp14="http://schemas.microsoft.com/office/word/2010/wordml" w:rsidP="3045B44B" wp14:paraId="44CEECD1" wp14:textId="4D50D168">
      <w:pPr>
        <w:jc w:val="cente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xmlns:wp14="http://schemas.microsoft.com/office/word/2010/wordml" w:rsidP="3045B44B" wp14:paraId="2D43B660" wp14:textId="1323D405">
      <w:pPr>
        <w:jc w:val="cente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xmlns:wp14="http://schemas.microsoft.com/office/word/2010/wordml" w:rsidP="3045B44B" wp14:paraId="79D3A957" wp14:textId="629D26A4">
      <w:pPr>
        <w:jc w:val="cente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xmlns:wp14="http://schemas.microsoft.com/office/word/2010/wordml" w:rsidP="3045B44B" wp14:paraId="7115105F" wp14:textId="331C41D3">
      <w:pPr>
        <w:jc w:val="cente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xmlns:wp14="http://schemas.microsoft.com/office/word/2010/wordml" w:rsidP="3045B44B" wp14:paraId="17BA3300" wp14:textId="206BE477">
      <w:pPr>
        <w:jc w:val="cente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xmlns:wp14="http://schemas.microsoft.com/office/word/2010/wordml" w:rsidP="3045B44B" wp14:paraId="0DBE4F1F" wp14:textId="409767DD">
      <w:pPr>
        <w:jc w:val="cente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xmlns:wp14="http://schemas.microsoft.com/office/word/2010/wordml" w:rsidP="3045B44B" wp14:paraId="40462C19" wp14:textId="62A5625B">
      <w:pPr>
        <w:jc w:val="cente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xmlns:wp14="http://schemas.microsoft.com/office/word/2010/wordml" w:rsidP="3045B44B" wp14:paraId="45245F27" wp14:textId="3DA2B535">
      <w:pPr>
        <w:jc w:val="cente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xmlns:wp14="http://schemas.microsoft.com/office/word/2010/wordml" w:rsidP="3045B44B" wp14:paraId="65247D18" wp14:textId="7C994B92">
      <w:pPr>
        <w:jc w:val="cente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xmlns:wp14="http://schemas.microsoft.com/office/word/2010/wordml" w:rsidP="3045B44B" wp14:paraId="64DCDAD4" wp14:textId="2AE23B86">
      <w:pPr>
        <w:jc w:val="cente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xmlns:wp14="http://schemas.microsoft.com/office/word/2010/wordml" w:rsidP="3045B44B" wp14:paraId="4B34DD15" wp14:textId="736AD1A9">
      <w:pPr>
        <w:jc w:val="cente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xmlns:wp14="http://schemas.microsoft.com/office/word/2010/wordml" w:rsidP="3045B44B" wp14:paraId="2D45FE82" wp14:textId="5A931C8D">
      <w:pPr>
        <w:jc w:val="cente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xmlns:wp14="http://schemas.microsoft.com/office/word/2010/wordml" w:rsidP="3045B44B" wp14:paraId="6AF08594" wp14:textId="1609C7F5">
      <w:pPr>
        <w:jc w:val="cente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xmlns:wp14="http://schemas.microsoft.com/office/word/2010/wordml" w:rsidP="3045B44B" wp14:paraId="4DBD8817" wp14:textId="6CBB180E">
      <w:pPr>
        <w:jc w:val="cente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xmlns:wp14="http://schemas.microsoft.com/office/word/2010/wordml" w:rsidP="3045B44B" wp14:paraId="2688D0CD" wp14:textId="1E292975">
      <w:pPr>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045B44B" w:rsidR="2235FB4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Context</w:t>
      </w:r>
    </w:p>
    <w:p xmlns:wp14="http://schemas.microsoft.com/office/word/2010/wordml" w:rsidP="3045B44B" wp14:paraId="4AD253E9" wp14:textId="69D1A2B8">
      <w:pPr>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3045B44B" wp14:paraId="0E51D7C2" wp14:textId="445BADDF">
      <w:pPr>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045B44B" w:rsidR="2235FB4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 Report on Effective Practice in the Care of Mrs Mann</w:t>
      </w:r>
    </w:p>
    <w:p xmlns:wp14="http://schemas.microsoft.com/office/word/2010/wordml" w:rsidP="3045B44B" wp14:paraId="600DEF00" wp14:textId="03051280">
      <w:pPr>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3045B44B" wp14:paraId="194F7EF8" wp14:textId="06B0335A">
      <w:pPr>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045B44B" w:rsidR="2235FB4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Introduction</w:t>
      </w:r>
    </w:p>
    <w:p xmlns:wp14="http://schemas.microsoft.com/office/word/2010/wordml" w:rsidP="3045B44B" wp14:paraId="2B95F581" wp14:textId="2F7C58B9">
      <w:pPr>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3045B44B" wp14:paraId="32CF27D9" wp14:textId="4DA81CDE">
      <w:pPr>
        <w:pStyle w:val="Normal"/>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045B44B" w:rsidR="3045B44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1. </w:t>
      </w:r>
      <w:r w:rsidRPr="3045B44B" w:rsidR="52ED63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Importance of Effective Communication</w:t>
      </w:r>
    </w:p>
    <w:p xmlns:wp14="http://schemas.microsoft.com/office/word/2010/wordml" w:rsidP="3045B44B" wp14:paraId="05D6B065" wp14:textId="2CF4E078">
      <w:pPr>
        <w:pStyle w:val="Normal"/>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3045B44B" wp14:paraId="77C6959B" wp14:textId="01F7E818">
      <w:pPr>
        <w:pStyle w:val="Normal"/>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045B44B" w:rsidR="256B8CD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Using The </w:t>
      </w:r>
      <w:r w:rsidRPr="3045B44B" w:rsidR="52ED63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Berlo (1960) </w:t>
      </w:r>
      <w:r w:rsidRPr="3045B44B" w:rsidR="76D38DE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Communication Model (SMCR)</w:t>
      </w:r>
    </w:p>
    <w:p xmlns:wp14="http://schemas.microsoft.com/office/word/2010/wordml" w:rsidP="3045B44B" wp14:paraId="30D78042" wp14:textId="29F0908A">
      <w:pPr>
        <w:pStyle w:val="Normal"/>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3045B44B" wp14:paraId="75C66899" wp14:textId="1FC510AF">
      <w:pPr>
        <w:pStyle w:val="Normal"/>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045B44B" w:rsidR="343735C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 The Importance of Good Administrative Skills</w:t>
      </w:r>
    </w:p>
    <w:p xmlns:wp14="http://schemas.microsoft.com/office/word/2010/wordml" w:rsidP="3045B44B" wp14:paraId="4F9E9113" wp14:textId="640F7212">
      <w:pPr>
        <w:pStyle w:val="Normal"/>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3045B44B" wp14:paraId="3C5BCDF0" wp14:textId="613A2297">
      <w:pPr>
        <w:pStyle w:val="Normal"/>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045B44B" w:rsidR="343735C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3. The importance of Collaborative Working</w:t>
      </w:r>
    </w:p>
    <w:p xmlns:wp14="http://schemas.microsoft.com/office/word/2010/wordml" w:rsidP="3045B44B" wp14:paraId="2C24A666" wp14:textId="5A5F8A75">
      <w:pPr>
        <w:pStyle w:val="Normal"/>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3045B44B" wp14:paraId="480894B8" wp14:textId="7B1BC073">
      <w:pPr>
        <w:pStyle w:val="Normal"/>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045B44B" w:rsidR="343735C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Conclusion</w:t>
      </w:r>
    </w:p>
    <w:p xmlns:wp14="http://schemas.microsoft.com/office/word/2010/wordml" w:rsidP="3045B44B" wp14:paraId="2C64161C" wp14:textId="6487A751">
      <w:pPr>
        <w:pStyle w:val="Normal"/>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3045B44B" wp14:paraId="6D270A89" wp14:textId="45371F3E">
      <w:pPr>
        <w:pStyle w:val="Normal"/>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045B44B" w:rsidR="343735C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Reference List</w:t>
      </w:r>
    </w:p>
    <w:p xmlns:wp14="http://schemas.microsoft.com/office/word/2010/wordml" w:rsidP="3045B44B" wp14:paraId="5E5787A5" wp14:textId="6E9A4AD5">
      <w:pPr>
        <w:rPr>
          <w:rFonts w:ascii="Arial" w:hAnsi="Arial" w:eastAsia="Arial" w:cs="Arial" w:asciiTheme="minorAscii" w:hAnsiTheme="minorAscii" w:eastAsiaTheme="minorAscii" w:cstheme="minorAscii"/>
          <w:sz w:val="22"/>
          <w:szCs w:val="22"/>
        </w:rPr>
      </w:pPr>
    </w:p>
    <w:p w:rsidR="3045B44B" w:rsidP="3045B44B" w:rsidRDefault="3045B44B" w14:paraId="42D47AC3" w14:textId="33707D8C">
      <w:pPr>
        <w:rPr>
          <w:rFonts w:ascii="Arial" w:hAnsi="Arial" w:eastAsia="Arial" w:cs="Arial" w:asciiTheme="minorAscii" w:hAnsiTheme="minorAscii" w:eastAsiaTheme="minorAscii" w:cstheme="minorAscii"/>
          <w:sz w:val="22"/>
          <w:szCs w:val="22"/>
        </w:rPr>
      </w:pPr>
    </w:p>
    <w:p w:rsidR="3045B44B" w:rsidP="3045B44B" w:rsidRDefault="3045B44B" w14:paraId="17F4C2F2" w14:textId="447D946C">
      <w:pPr>
        <w:rPr>
          <w:rFonts w:ascii="Arial" w:hAnsi="Arial" w:eastAsia="Arial" w:cs="Arial" w:asciiTheme="minorAscii" w:hAnsiTheme="minorAscii" w:eastAsiaTheme="minorAscii" w:cstheme="minorAscii"/>
          <w:sz w:val="22"/>
          <w:szCs w:val="22"/>
        </w:rPr>
      </w:pPr>
    </w:p>
    <w:p w:rsidR="3045B44B" w:rsidP="3045B44B" w:rsidRDefault="3045B44B" w14:paraId="1E6F61CA" w14:textId="2A6BAB46">
      <w:pPr>
        <w:rPr>
          <w:rFonts w:ascii="Arial" w:hAnsi="Arial" w:eastAsia="Arial" w:cs="Arial" w:asciiTheme="minorAscii" w:hAnsiTheme="minorAscii" w:eastAsiaTheme="minorAscii" w:cstheme="minorAscii"/>
          <w:sz w:val="22"/>
          <w:szCs w:val="22"/>
        </w:rPr>
      </w:pPr>
    </w:p>
    <w:p w:rsidR="3045B44B" w:rsidP="3045B44B" w:rsidRDefault="3045B44B" w14:paraId="4864D1BE" w14:textId="1C191628">
      <w:pPr>
        <w:rPr>
          <w:rFonts w:ascii="Arial" w:hAnsi="Arial" w:eastAsia="Arial" w:cs="Arial" w:asciiTheme="minorAscii" w:hAnsiTheme="minorAscii" w:eastAsiaTheme="minorAscii" w:cstheme="minorAscii"/>
          <w:sz w:val="22"/>
          <w:szCs w:val="22"/>
        </w:rPr>
      </w:pPr>
    </w:p>
    <w:p w:rsidR="3045B44B" w:rsidP="3045B44B" w:rsidRDefault="3045B44B" w14:paraId="2F154288" w14:textId="384B93F2">
      <w:pPr>
        <w:rPr>
          <w:rFonts w:ascii="Arial" w:hAnsi="Arial" w:eastAsia="Arial" w:cs="Arial" w:asciiTheme="minorAscii" w:hAnsiTheme="minorAscii" w:eastAsiaTheme="minorAscii" w:cstheme="minorAscii"/>
          <w:sz w:val="22"/>
          <w:szCs w:val="22"/>
        </w:rPr>
      </w:pPr>
    </w:p>
    <w:p w:rsidR="3045B44B" w:rsidP="3045B44B" w:rsidRDefault="3045B44B" w14:paraId="44F10061" w14:textId="31E50929">
      <w:pPr>
        <w:rPr>
          <w:rFonts w:ascii="Arial" w:hAnsi="Arial" w:eastAsia="Arial" w:cs="Arial" w:asciiTheme="minorAscii" w:hAnsiTheme="minorAscii" w:eastAsiaTheme="minorAscii" w:cstheme="minorAscii"/>
          <w:sz w:val="22"/>
          <w:szCs w:val="22"/>
        </w:rPr>
      </w:pPr>
    </w:p>
    <w:p w:rsidR="3045B44B" w:rsidP="3045B44B" w:rsidRDefault="3045B44B" w14:paraId="45CFD986" w14:textId="1D9FCCD8">
      <w:pPr>
        <w:rPr>
          <w:rFonts w:ascii="Arial" w:hAnsi="Arial" w:eastAsia="Arial" w:cs="Arial" w:asciiTheme="minorAscii" w:hAnsiTheme="minorAscii" w:eastAsiaTheme="minorAscii" w:cstheme="minorAscii"/>
          <w:sz w:val="22"/>
          <w:szCs w:val="22"/>
        </w:rPr>
      </w:pPr>
    </w:p>
    <w:p w:rsidR="3045B44B" w:rsidP="3045B44B" w:rsidRDefault="3045B44B" w14:paraId="4FAADACB" w14:textId="041BE4AB">
      <w:pPr>
        <w:rPr>
          <w:rFonts w:ascii="Arial" w:hAnsi="Arial" w:eastAsia="Arial" w:cs="Arial" w:asciiTheme="minorAscii" w:hAnsiTheme="minorAscii" w:eastAsiaTheme="minorAscii" w:cstheme="minorAscii"/>
          <w:sz w:val="22"/>
          <w:szCs w:val="22"/>
        </w:rPr>
      </w:pPr>
    </w:p>
    <w:p w:rsidR="3045B44B" w:rsidP="3045B44B" w:rsidRDefault="3045B44B" w14:paraId="0A333778" w14:textId="3536017E">
      <w:pPr>
        <w:rPr>
          <w:rFonts w:ascii="Arial" w:hAnsi="Arial" w:eastAsia="Arial" w:cs="Arial" w:asciiTheme="minorAscii" w:hAnsiTheme="minorAscii" w:eastAsiaTheme="minorAscii" w:cstheme="minorAscii"/>
          <w:sz w:val="22"/>
          <w:szCs w:val="22"/>
        </w:rPr>
      </w:pPr>
    </w:p>
    <w:p w:rsidR="3045B44B" w:rsidP="3045B44B" w:rsidRDefault="3045B44B" w14:paraId="5C283FCA" w14:textId="333F3350">
      <w:pPr>
        <w:rPr>
          <w:rFonts w:ascii="Arial" w:hAnsi="Arial" w:eastAsia="Arial" w:cs="Arial" w:asciiTheme="minorAscii" w:hAnsiTheme="minorAscii" w:eastAsiaTheme="minorAscii" w:cstheme="minorAscii"/>
          <w:sz w:val="22"/>
          <w:szCs w:val="22"/>
        </w:rPr>
      </w:pPr>
    </w:p>
    <w:p w:rsidR="3045B44B" w:rsidP="3045B44B" w:rsidRDefault="3045B44B" w14:paraId="54EA9CB8" w14:textId="338E4FF0">
      <w:pPr>
        <w:pStyle w:val="Normal"/>
        <w:rPr>
          <w:rFonts w:ascii="Arial" w:hAnsi="Arial" w:eastAsia="Arial" w:cs="Arial" w:asciiTheme="minorAscii" w:hAnsiTheme="minorAscii" w:eastAsiaTheme="minorAscii" w:cstheme="minorAscii"/>
          <w:sz w:val="22"/>
          <w:szCs w:val="22"/>
        </w:rPr>
      </w:pPr>
    </w:p>
    <w:p w:rsidR="2BAE844A" w:rsidP="3045B44B" w:rsidRDefault="2BAE844A" w14:paraId="288F50D2" w14:textId="564FBC04">
      <w:pPr>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 Report on Effective Practice in the Care of Mrs Mann</w:t>
      </w:r>
      <w:r>
        <w:br/>
      </w:r>
    </w:p>
    <w:p w:rsidR="2BAE844A" w:rsidP="3045B44B" w:rsidRDefault="2BAE844A" w14:paraId="5D5E2691" w14:textId="6C38815F">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Introduction</w:t>
      </w:r>
    </w:p>
    <w:p w:rsidR="3045B44B" w:rsidP="3045B44B" w:rsidRDefault="3045B44B" w14:paraId="05B6B9C2" w14:textId="415F4852">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2BAE844A" w:rsidP="3045B44B" w:rsidRDefault="2BAE844A" w14:paraId="6F359106" w14:textId="4719E191">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The transition from hospital to home-based care for vulnerable individuals is a critical period where the integration of multiple support systems is paramount for safety and recovery. The case of Mrs Mann, a 72-year-old woman with limited English </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proficiency</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recovering from hip replacement surgery, highlights the intricate challenges within community health and social care. An incident involving a delayed medication adjustment, precipitated by inconsistent documentation and communication failures, underscores systemic vulnerabilities. This report will analyse this case study by examining three foundational pillars of effective care. First, it will discuss the importance of effective communication with Mrs Mann and her family, guided by the Equality Act 2010 and Berlo's communication model. Second, it will explore the critical role of administrative skills and record-keeping, underpinned by the Data Protection Act 2018. Finally, it will examine the necessity of collaborative working among the multi-agency team, proposing strategies to overcome </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common challenges</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and ensure a cohesive, person-centred approach to her rehabilitation.</w:t>
      </w:r>
    </w:p>
    <w:p w:rsidR="3045B44B" w:rsidP="3045B44B" w:rsidRDefault="3045B44B" w14:paraId="1CB3F310" w14:textId="14D19C9F">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2BAE844A" w:rsidP="3045B44B" w:rsidRDefault="2BAE844A" w14:paraId="011FBD72" w14:textId="62BE0345">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1. The Importance of Effective Communication</w:t>
      </w:r>
    </w:p>
    <w:p w:rsidR="3045B44B" w:rsidP="3045B44B" w:rsidRDefault="3045B44B" w14:paraId="08C079F1" w14:textId="045A4ADD">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2BAE844A" w:rsidP="3045B44B" w:rsidRDefault="2BAE844A" w14:paraId="27C85370" w14:textId="4D80B247">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Effective communication is the bedrock of safe, ethical, and person-centred care. For Mrs Mann, whose first language is Urdu, communication barriers pose a direct risk to her safety and well-being, as </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evidenced</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by the delayed medication adjustment. The General Medical Council (2018) stipulates that practitioners must take reasonable steps to meet patients’ communication needs, a duty that extends to all health and social care professionals. To communicate effectively, the team must adhere to the core principles of the Equality Act 2010, which legally mandates making ‘reasonable adjustments’ to prevent discrimination arising from a disability, including barriers related to language (Equality and Human Rights Commission, 2010). Relying on Mrs Mann’s daughter as an informal interpreter is a suboptimal adjustment; it risks confidentiality, places an undue burden on the family, and may lead to clinical inaccuracies. A professional interpreter should be engaged for critical discussions to ensure equity of access and understanding.</w:t>
      </w:r>
    </w:p>
    <w:p w:rsidR="3045B44B" w:rsidP="3045B44B" w:rsidRDefault="3045B44B" w14:paraId="3A215FC3" w14:textId="1B6F8AC0">
      <w:pPr>
        <w:pStyle w:val="Normal"/>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33B5F99C" w:rsidP="3045B44B" w:rsidRDefault="33B5F99C" w14:paraId="3DE54657" w14:textId="786728AC">
      <w:pPr>
        <w:pStyle w:val="Normal"/>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r w:rsidRPr="3045B44B" w:rsidR="33B5F99C">
        <w:rPr>
          <w:rFonts w:ascii="Arial" w:hAnsi="Arial" w:eastAsia="Arial" w:cs="Arial" w:asciiTheme="minorAscii" w:hAnsiTheme="minorAscii" w:eastAsiaTheme="minorAscii" w:cstheme="minorAscii"/>
          <w:sz w:val="22"/>
          <w:szCs w:val="22"/>
        </w:rPr>
        <w:t xml:space="preserve">Using The </w:t>
      </w:r>
      <w:r w:rsidRPr="3045B44B" w:rsidR="6428363C">
        <w:rPr>
          <w:rFonts w:ascii="Arial" w:hAnsi="Arial" w:eastAsia="Arial" w:cs="Arial" w:asciiTheme="minorAscii" w:hAnsiTheme="minorAscii" w:eastAsiaTheme="minorAscii" w:cstheme="minorAscii"/>
          <w:sz w:val="22"/>
          <w:szCs w:val="22"/>
        </w:rPr>
        <w:t>Berlo (1960) Communication Model (SMCR)</w:t>
      </w:r>
    </w:p>
    <w:p w:rsidR="3045B44B" w:rsidP="3045B44B" w:rsidRDefault="3045B44B" w14:paraId="0B4424D1" w14:textId="7B29BF54">
      <w:pPr>
        <w:pStyle w:val="Normal"/>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2BAE844A" w:rsidP="3045B44B" w:rsidRDefault="2BAE844A" w14:paraId="7CC9D90A" w14:textId="07D60471">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Berlo's (1960) Sender-Message-Channel-Receiver (SMCR) model provides a valuable framework for analysing and improving interactions with Mrs Mann. This model emphasises that effective communication depends on multiple factors across its components. The Source (Sender), such as the care worker or physiotherapist, must </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possess</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positive attitudes towards Mrs Mann’s situation, have sufficient communication skills to convey simple, clear messages, and understand the social system and culture to ensure respect. The Message itself must be structured with clear, jargon-free content and treated with care codes that convey empathy and patience. The Channel should be multi-sensory; alongside an interpreter (auditory), using visual aids, diagrams, or translated leaflets (visual) and </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demonstrating</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tasks kinaesthetically can enhance understanding. Finally, the Receiver (Mrs Mann) must be considered in terms of her language skills, cultural background, and potential anxiety. By systematically applying this model, practitioners can move beyond simply transmitting information to ensuring it is encoded and decoded accurately, fostering a therapeutic relationship built on trust and mutual understanding, thereby mitigating risks and upholding Mrs Mann’s dignity.</w:t>
      </w:r>
    </w:p>
    <w:p w:rsidR="3045B44B" w:rsidP="3045B44B" w:rsidRDefault="3045B44B" w14:paraId="1D397BE6" w14:textId="4B8CDAA3">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2BAE844A" w:rsidP="3045B44B" w:rsidRDefault="2BAE844A" w14:paraId="46C7D79E" w14:textId="30C9180A">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2. The Importance of Good Administrative Skills</w:t>
      </w:r>
    </w:p>
    <w:p w:rsidR="3045B44B" w:rsidP="3045B44B" w:rsidRDefault="3045B44B" w14:paraId="596D63A4" w14:textId="5800CA63">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2BAE844A" w:rsidP="3045B44B" w:rsidRDefault="2BAE844A" w14:paraId="5C078B3E" w14:textId="43A4855C">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Good administrative skills, particularly meticulous record-keeping, are a clinical imperative, not a clerical afterthought. In Mrs Mann’s case, the "inconsistent documentation" directly contributed to a breakdown in care, leading to a delayed medication adjustment. Accurate, contemporaneous records provide a continuous and reliable narrative of a service user’s condition, care, and progress, enabling all involved professionals to make informed, </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timely</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decisions. The Nursing and Midwifery Council (2018) mandates that records must be clear, </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accurate</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and completed as soon as possible after an event. Consistent documentation would have ensured that observations made by one care worker were </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immediately</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visible to others, the GP, and the physiotherapist, creating a safety net that could have flagged the need for a medication review sooner.</w:t>
      </w:r>
    </w:p>
    <w:p w:rsidR="3045B44B" w:rsidP="3045B44B" w:rsidRDefault="3045B44B" w14:paraId="7C458216" w14:textId="5C1650C8">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2BAE844A" w:rsidP="3045B44B" w:rsidRDefault="2BAE844A" w14:paraId="0C5D452D" w14:textId="7F8328EC">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These record-keeping practices are legally underpinned by the Data Protection Act 2018 (DPA), which incorporates the UK General Data Protection Regulation (UK GDPR). The DPA outlines key principles for processing personal data, several of which are directly applicable to Mrs Mann’s care (ICO, 2018). The principle of ‘accuracy’ requires that personal data must be kept up to date and every reasonable step taken to rectify inaccuracies, directly addressing the issue of inconsistent notes. The principle of ‘integrity and confidentiality’ (security) mandates that data must be processed securely, using </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appropriate technical</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and organisational measures. This means Mrs Mann’s digital or paper-based records must be stored securely and only accessible to authorised personnel involved in her direct care. Furthermore, the ‘purpose limitation’ principle means her information can only be used for the specific purpose of providing her care. Adherence to the DPA and complementary policy frameworks like the Caldicott Principles, which govern the use of confidential patient information, ensures that sensitive data is shared appropriately and lawfully between the care agency, GP, and physiotherapist, creating a secure and trustworthy care environment (Caldicott2, 2013).</w:t>
      </w:r>
    </w:p>
    <w:p w:rsidR="3045B44B" w:rsidP="3045B44B" w:rsidRDefault="3045B44B" w14:paraId="089B3741" w14:textId="231D11A8">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2BAE844A" w:rsidP="3045B44B" w:rsidRDefault="2BAE844A" w14:paraId="6009324E" w14:textId="42DFAF9C">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3. The Importance of Collaborative Working</w:t>
      </w:r>
    </w:p>
    <w:p w:rsidR="3045B44B" w:rsidP="3045B44B" w:rsidRDefault="3045B44B" w14:paraId="4603B512" w14:textId="6E48CCD5">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2BAE844A" w:rsidP="3045B44B" w:rsidRDefault="2BAE844A" w14:paraId="69F4D59F" w14:textId="0E4B4A6D">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Mrs Mann’s care involves a multi-agency team including domiciliary care workers, a community physiotherapist, and a GP. Effective collaboration between these professionals is essential to deliver a coordinated, holistic rehabilitation plan. Without it, care becomes fragmented, leading to duplicated efforts, conflicting advice, and critical information, such as the need for a medication adjustment, being missed. This incident is a classic example of a systems failure where collaboration broke down. To foster effective collaboration, regular and structured communication channels must be </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established</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This could include scheduled multi-disciplinary team (MDT) meetings, either in person or virtually, to discuss Mrs Mann’s progress, set shared goals, and address emerging risks (NHS England, 2019). A key approach is the use of a single, shared electronic care plan that all parties can access and contribute to, ensuring everyone is working towards the same rehabilitation </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objectives</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w:t>
      </w:r>
    </w:p>
    <w:p w:rsidR="3045B44B" w:rsidP="3045B44B" w:rsidRDefault="3045B44B" w14:paraId="20486819" w14:textId="121AA279">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2BAE844A" w:rsidP="3045B44B" w:rsidRDefault="2BAE844A" w14:paraId="03F4E3C8" w14:textId="17E4C27F">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Common challenges</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in multi-agency working include professional hierarchies, different organisational cultures and priorities, and practical difficulties in coordinating schedules. To overcome these, it is vital to </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establish</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 culture of mutual respect and a clear understanding of each professional’s role and </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expertise</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The GP brings medical authority, the physiotherapist directs functional rehabilitation, and the care workers provide essential day-to-day practical support and observational insights. Strategies to mitigate challenges include appointing a designated key worker or care coordinator to act as </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 central point</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of contact and to </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facilitate</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information flow. Furthermore, developing clear joint protocols for communication and escalation, informed by interprofessional education, can help break down barriers and foster a shared identity focused on Mrs Mann’s recovery (Charles et al., 2020). By prioritising these collaborative frameworks, the team can create a seamless support system, ensuring her rehabilitation is progressive, safe, and effective.</w:t>
      </w:r>
    </w:p>
    <w:p w:rsidR="3045B44B" w:rsidP="3045B44B" w:rsidRDefault="3045B44B" w14:paraId="59E1681A" w14:textId="6A4A992C">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2BAE844A" w:rsidP="3045B44B" w:rsidRDefault="2BAE844A" w14:paraId="327D8DAA" w14:textId="618234B1">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Conclusion</w:t>
      </w:r>
    </w:p>
    <w:p w:rsidR="3045B44B" w:rsidP="3045B44B" w:rsidRDefault="3045B44B" w14:paraId="6B10ED53" w14:textId="53D92FB2">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2BAE844A" w:rsidP="3045B44B" w:rsidRDefault="2BAE844A" w14:paraId="7EFD3488" w14:textId="628F4E67">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The case of Mrs Mann serves as a critical reminder that high-quality community care is an intricate system reliant on the robust integration of communication, administration, and collaboration. The medication incident was not an isolated error but a symptom of systemic weaknesses across these three domains. Upholding the Equality Act 2010 through the strategic application of Berlo's SMCR model is essential to ensure Mrs Mann is an active, understood participant in her care. Simultaneously, rigorous record-keeping, governed by the stringent principles of the Data Protection Act 2018, forms the legal and practical backbone of patient safety, ensuring information is </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accurate</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secure, and shared appropriately. Finally, overcoming the inherent challenges of multi-agency work through deliberate strategies of coordination and mutual respect is crucial for building a unified team. By systematically strengthening these three pillars, health and social care providers can transform care delivery, ensuring it is truly person-centred, safe, and effective for all vulnerable individuals like Mrs Mann.</w:t>
      </w:r>
    </w:p>
    <w:p w:rsidR="3045B44B" w:rsidP="3045B44B" w:rsidRDefault="3045B44B" w14:paraId="75309362" w14:textId="209DD36F">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2BAE844A" w:rsidP="3045B44B" w:rsidRDefault="2BAE844A" w14:paraId="7E8E6BEE" w14:textId="6B0A91BB">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Reference List</w:t>
      </w:r>
    </w:p>
    <w:p w:rsidR="3045B44B" w:rsidP="3045B44B" w:rsidRDefault="3045B44B" w14:paraId="1ED7017A" w14:textId="3C3F1594">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2BAE844A" w:rsidP="3045B44B" w:rsidRDefault="2BAE844A" w14:paraId="13917691" w14:textId="20409ABF">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Berlo, D.K. (1960) The Process of Communication: An Introduction to Theory and Practice. New York: Holt, </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Rinehart</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and Winston.</w:t>
      </w:r>
    </w:p>
    <w:p w:rsidR="3045B44B" w:rsidP="3045B44B" w:rsidRDefault="3045B44B" w14:paraId="5C8211E8" w14:textId="7F38CE07">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2BAE844A" w:rsidP="3045B44B" w:rsidRDefault="2BAE844A" w14:paraId="68D24333" w14:textId="5610A885">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Caldicott2 (2013) The Information Governance Review. [online] Available at: </w:t>
      </w:r>
      <w:hyperlink r:id="Re49bcfa4aa8543c2">
        <w:r w:rsidRPr="3045B44B" w:rsidR="2BAE844A">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https://www.gov.uk/government/publications/the-information-governance-review</w:t>
        </w:r>
      </w:hyperlink>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1</w:t>
      </w:r>
      <w:r w:rsidRPr="3045B44B" w:rsidR="6269F1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2</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3045B44B" w:rsidR="742B901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November</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202</w:t>
      </w:r>
      <w:r w:rsidRPr="3045B44B" w:rsidR="281EAD7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5</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w:t>
      </w:r>
    </w:p>
    <w:p w:rsidR="3045B44B" w:rsidP="3045B44B" w:rsidRDefault="3045B44B" w14:paraId="23B1FC11" w14:textId="658462AA">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2BAE844A" w:rsidP="3045B44B" w:rsidRDefault="2BAE844A" w14:paraId="4E526BCE" w14:textId="0B223453">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Charles, A., Ewbank, L. and Naylor, C. (2020) The road to renewal: five priorities for health and care. The King's Fund. [online] Available at: </w:t>
      </w:r>
      <w:hyperlink r:id="Rea21b066bbf1477c">
        <w:r w:rsidRPr="3045B44B" w:rsidR="2BAE844A">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https://www.kingsfund.org.uk/publications/covid-19-road-renewal-health-and-care</w:t>
        </w:r>
      </w:hyperlink>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1</w:t>
      </w:r>
      <w:r w:rsidRPr="3045B44B" w:rsidR="5D70747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3 November</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202</w:t>
      </w:r>
      <w:r w:rsidRPr="3045B44B" w:rsidR="62F9DB31">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5</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w:t>
      </w:r>
    </w:p>
    <w:p w:rsidR="3045B44B" w:rsidP="3045B44B" w:rsidRDefault="3045B44B" w14:paraId="5F345A43" w14:textId="223BADE1">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2BAE844A" w:rsidP="3045B44B" w:rsidRDefault="2BAE844A" w14:paraId="5725F683" w14:textId="13BDF728">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Equality and Human Rights Commission (2010) Equality Act 2010. [online] Available at: </w:t>
      </w:r>
      <w:hyperlink r:id="Rd64e89becbb343ac">
        <w:r w:rsidRPr="3045B44B" w:rsidR="2BAE844A">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https://www.equalityhumanrights.com/en/equality-act-2010/what-equality-act</w:t>
        </w:r>
      </w:hyperlink>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w:t>
      </w:r>
      <w:r w:rsidRPr="3045B44B" w:rsidR="29F8078C">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d: 1</w:t>
      </w:r>
      <w:r w:rsidRPr="3045B44B" w:rsidR="47ACDE9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1</w:t>
      </w:r>
      <w:r w:rsidRPr="3045B44B" w:rsidR="29F8078C">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November</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202</w:t>
      </w:r>
      <w:r w:rsidRPr="3045B44B" w:rsidR="0FC1289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5</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w:t>
      </w:r>
    </w:p>
    <w:p w:rsidR="3045B44B" w:rsidP="3045B44B" w:rsidRDefault="3045B44B" w14:paraId="2DF3CDF7" w14:textId="0A678A17">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2BAE844A" w:rsidP="3045B44B" w:rsidRDefault="2BAE844A" w14:paraId="7E50F607" w14:textId="2A8AE035">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General Medical Council (2018) Good medical practice. [online] Available at: </w:t>
      </w:r>
      <w:hyperlink r:id="Ra9bb0dbf0c3d4f3a">
        <w:r w:rsidRPr="3045B44B" w:rsidR="2BAE844A">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https://www.gmc-uk.org/ethical-guidance/ethical-guidance-for-doctors/good-medical-practice</w:t>
        </w:r>
      </w:hyperlink>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1</w:t>
      </w:r>
      <w:r w:rsidRPr="3045B44B" w:rsidR="3B395BF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1</w:t>
      </w:r>
      <w:r w:rsidRPr="3045B44B" w:rsidR="61325A7C">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November</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202</w:t>
      </w:r>
      <w:r w:rsidRPr="3045B44B" w:rsidR="3D04F40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5</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w:t>
      </w:r>
    </w:p>
    <w:p w:rsidR="3045B44B" w:rsidP="3045B44B" w:rsidRDefault="3045B44B" w14:paraId="53DF6740" w14:textId="26126868">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2BAE844A" w:rsidP="3045B44B" w:rsidRDefault="2BAE844A" w14:paraId="6711849F" w14:textId="04ABE3F0">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Information Commissioner's Office (2018) Guide to the UK General Data Protection Regulation (UK GDPR). [online] Available at: </w:t>
      </w:r>
      <w:hyperlink r:id="Rce89019f50664c4d">
        <w:r w:rsidRPr="3045B44B" w:rsidR="2BAE844A">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https://ico.org.uk/for-organisations/guide-to-data-protection/guide-to-the-general-data-protection-regulation-gdpr/</w:t>
        </w:r>
      </w:hyperlink>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1</w:t>
      </w:r>
      <w:r w:rsidRPr="3045B44B" w:rsidR="61A81DE1">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2</w:t>
      </w:r>
      <w:r w:rsidRPr="3045B44B" w:rsidR="22012F63">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Novem</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ber 202</w:t>
      </w:r>
      <w:r w:rsidRPr="3045B44B" w:rsidR="30E0AFFE">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5</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w:t>
      </w:r>
    </w:p>
    <w:p w:rsidR="3045B44B" w:rsidP="3045B44B" w:rsidRDefault="3045B44B" w14:paraId="67658FAA" w14:textId="13D8943D">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2BAE844A" w:rsidP="3045B44B" w:rsidRDefault="2BAE844A" w14:paraId="4764A789" w14:textId="0EA7644D">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NHS England (2019) The NHS Long Term Plan. [online] Available at: </w:t>
      </w:r>
      <w:hyperlink r:id="Rfef4ea2aa98a4e44">
        <w:r w:rsidRPr="3045B44B" w:rsidR="2BAE844A">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https://www.longtermplan.nhs.uk/</w:t>
        </w:r>
      </w:hyperlink>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1</w:t>
      </w:r>
      <w:r w:rsidRPr="3045B44B" w:rsidR="1784F288">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3 Novem</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ber 202</w:t>
      </w:r>
      <w:r w:rsidRPr="3045B44B" w:rsidR="541A648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5</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w:t>
      </w:r>
    </w:p>
    <w:p w:rsidR="3045B44B" w:rsidP="3045B44B" w:rsidRDefault="3045B44B" w14:paraId="1901F256" w14:textId="0915C6A3">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2BAE844A" w:rsidP="3045B44B" w:rsidRDefault="2BAE844A" w14:paraId="65EAFB88" w14:textId="2CA1DD2C">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Nursing and Midwifery Council (2018) The Code: Professional standards of practice and behaviour for nurses, </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midwives</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and nursing associates. [online] Available at: </w:t>
      </w:r>
      <w:hyperlink r:id="Rca0c503f27844d57">
        <w:r w:rsidRPr="3045B44B" w:rsidR="2BAE844A">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https://www.nmc.org.uk/standards/code/</w:t>
        </w:r>
      </w:hyperlink>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1</w:t>
      </w:r>
      <w:r w:rsidRPr="3045B44B" w:rsidR="7B21A68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2</w:t>
      </w:r>
      <w:r w:rsidRPr="3045B44B" w:rsidR="21E5EA3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Novem</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ber 202</w:t>
      </w:r>
      <w:r w:rsidRPr="3045B44B" w:rsidR="6855FCE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5</w:t>
      </w:r>
      <w:r w:rsidRPr="3045B44B" w:rsidR="2BAE844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w:t>
      </w:r>
    </w:p>
    <w:p w:rsidR="3045B44B" w:rsidP="3045B44B" w:rsidRDefault="3045B44B" w14:paraId="7A6E3BF0" w14:textId="0D1FDFAE">
      <w:pPr>
        <w:pStyle w:val="Normal"/>
        <w:rPr>
          <w:rFonts w:ascii="Arial" w:hAnsi="Arial" w:eastAsia="Arial" w:cs="Arial" w:asciiTheme="minorAscii" w:hAnsiTheme="minorAscii" w:eastAsiaTheme="minorAscii" w:cstheme="minorAscii"/>
          <w:sz w:val="22"/>
          <w:szCs w:val="22"/>
        </w:rPr>
      </w:pPr>
    </w:p>
    <w:sectPr>
      <w:pgSz w:w="11906" w:h="16838" w:orient="portrait"/>
      <w:pgMar w:top="1440" w:right="1440" w:bottom="1440" w:left="1440" w:header="720" w:footer="720" w:gutter="0"/>
      <w:cols w:space="720"/>
      <w:docGrid w:linePitch="360"/>
      <w:headerReference w:type="default" r:id="Rc5d8272012264f58"/>
      <w:footerReference w:type="default" r:id="R202a8225dcc64fd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045B44B" w:rsidTr="3045B44B" w14:paraId="1EC435D1">
      <w:trPr>
        <w:trHeight w:val="300"/>
      </w:trPr>
      <w:tc>
        <w:tcPr>
          <w:tcW w:w="3005" w:type="dxa"/>
          <w:tcMar/>
        </w:tcPr>
        <w:p w:rsidR="3045B44B" w:rsidP="3045B44B" w:rsidRDefault="3045B44B" w14:paraId="40E6C93D" w14:textId="398261CF">
          <w:pPr>
            <w:pStyle w:val="Header"/>
            <w:bidi w:val="0"/>
            <w:ind w:left="-115"/>
            <w:jc w:val="left"/>
          </w:pPr>
        </w:p>
      </w:tc>
      <w:tc>
        <w:tcPr>
          <w:tcW w:w="3005" w:type="dxa"/>
          <w:tcMar/>
        </w:tcPr>
        <w:p w:rsidR="3045B44B" w:rsidP="3045B44B" w:rsidRDefault="3045B44B" w14:paraId="088B2130" w14:textId="62D14999">
          <w:pPr>
            <w:pStyle w:val="Header"/>
            <w:bidi w:val="0"/>
            <w:jc w:val="center"/>
          </w:pPr>
        </w:p>
      </w:tc>
      <w:tc>
        <w:tcPr>
          <w:tcW w:w="3005" w:type="dxa"/>
          <w:tcMar/>
        </w:tcPr>
        <w:p w:rsidR="3045B44B" w:rsidP="3045B44B" w:rsidRDefault="3045B44B" w14:paraId="754BF45D" w14:textId="336A38BE">
          <w:pPr>
            <w:pStyle w:val="Header"/>
            <w:bidi w:val="0"/>
            <w:ind w:right="-115"/>
            <w:jc w:val="right"/>
          </w:pPr>
          <w:r>
            <w:fldChar w:fldCharType="begin"/>
          </w:r>
          <w:r>
            <w:instrText xml:space="preserve">PAGE</w:instrText>
          </w:r>
          <w:r>
            <w:fldChar w:fldCharType="separate"/>
          </w:r>
          <w:r>
            <w:fldChar w:fldCharType="end"/>
          </w:r>
        </w:p>
      </w:tc>
    </w:tr>
  </w:tbl>
  <w:p w:rsidR="3045B44B" w:rsidP="3045B44B" w:rsidRDefault="3045B44B" w14:paraId="19942667" w14:textId="46D9111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045B44B" w:rsidTr="3045B44B" w14:paraId="4EAE5019">
      <w:trPr>
        <w:trHeight w:val="300"/>
      </w:trPr>
      <w:tc>
        <w:tcPr>
          <w:tcW w:w="3005" w:type="dxa"/>
          <w:tcMar/>
        </w:tcPr>
        <w:p w:rsidR="3045B44B" w:rsidP="3045B44B" w:rsidRDefault="3045B44B" w14:paraId="27EC3688" w14:textId="51772A70">
          <w:pPr>
            <w:pStyle w:val="Header"/>
            <w:bidi w:val="0"/>
            <w:ind w:left="-115"/>
            <w:jc w:val="left"/>
          </w:pPr>
        </w:p>
      </w:tc>
      <w:tc>
        <w:tcPr>
          <w:tcW w:w="3005" w:type="dxa"/>
          <w:tcMar/>
        </w:tcPr>
        <w:p w:rsidR="3045B44B" w:rsidP="3045B44B" w:rsidRDefault="3045B44B" w14:paraId="5692E6CE" w14:textId="7E2B0890">
          <w:pPr>
            <w:pStyle w:val="Header"/>
            <w:bidi w:val="0"/>
            <w:jc w:val="center"/>
          </w:pPr>
        </w:p>
      </w:tc>
      <w:tc>
        <w:tcPr>
          <w:tcW w:w="3005" w:type="dxa"/>
          <w:tcMar/>
        </w:tcPr>
        <w:p w:rsidR="3045B44B" w:rsidP="3045B44B" w:rsidRDefault="3045B44B" w14:paraId="2BE79C99" w14:textId="38C59D15">
          <w:pPr>
            <w:pStyle w:val="Header"/>
            <w:bidi w:val="0"/>
            <w:ind w:right="-115"/>
            <w:jc w:val="right"/>
          </w:pPr>
        </w:p>
      </w:tc>
    </w:tr>
  </w:tbl>
  <w:p w:rsidR="3045B44B" w:rsidP="3045B44B" w:rsidRDefault="3045B44B" w14:paraId="2243B378" w14:textId="36C38D6C">
    <w:pPr>
      <w:pStyle w:val="Header"/>
      <w:bidi w:val="0"/>
    </w:pPr>
  </w:p>
</w:hdr>
</file>

<file path=word/numbering.xml><?xml version="1.0" encoding="utf-8"?>
<w:numbering xmlns:w="http://schemas.openxmlformats.org/wordprocessingml/2006/main">
  <w:abstractNum xmlns:w="http://schemas.openxmlformats.org/wordprocessingml/2006/main" w:abstractNumId="1">
    <w:nsid w:val="3a6960f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4446EE"/>
    <w:rsid w:val="002FAA55"/>
    <w:rsid w:val="02656324"/>
    <w:rsid w:val="027162F7"/>
    <w:rsid w:val="02A280D4"/>
    <w:rsid w:val="044446EE"/>
    <w:rsid w:val="05751DE1"/>
    <w:rsid w:val="05C4AA87"/>
    <w:rsid w:val="0AD14AC6"/>
    <w:rsid w:val="0C92A268"/>
    <w:rsid w:val="0DE7EF99"/>
    <w:rsid w:val="0FC1289B"/>
    <w:rsid w:val="1315516F"/>
    <w:rsid w:val="1469E128"/>
    <w:rsid w:val="1599EB93"/>
    <w:rsid w:val="1784F288"/>
    <w:rsid w:val="19BC930E"/>
    <w:rsid w:val="19BC930E"/>
    <w:rsid w:val="19D2ED17"/>
    <w:rsid w:val="1A323BEA"/>
    <w:rsid w:val="1BA5628E"/>
    <w:rsid w:val="1D10113D"/>
    <w:rsid w:val="1EC4046A"/>
    <w:rsid w:val="21E5EA30"/>
    <w:rsid w:val="22012F63"/>
    <w:rsid w:val="2235FB4F"/>
    <w:rsid w:val="24C9BE17"/>
    <w:rsid w:val="24C9BE17"/>
    <w:rsid w:val="256B8CD7"/>
    <w:rsid w:val="281EAD7A"/>
    <w:rsid w:val="29F8078C"/>
    <w:rsid w:val="2A16D133"/>
    <w:rsid w:val="2A43E739"/>
    <w:rsid w:val="2A5E612A"/>
    <w:rsid w:val="2BAE844A"/>
    <w:rsid w:val="2C64C95F"/>
    <w:rsid w:val="2CA7E515"/>
    <w:rsid w:val="3045B44B"/>
    <w:rsid w:val="30E0AFFE"/>
    <w:rsid w:val="33B5F99C"/>
    <w:rsid w:val="343735C4"/>
    <w:rsid w:val="34BBBEDF"/>
    <w:rsid w:val="3B395BF6"/>
    <w:rsid w:val="3D04F40B"/>
    <w:rsid w:val="429D302D"/>
    <w:rsid w:val="43BD4451"/>
    <w:rsid w:val="44AF3850"/>
    <w:rsid w:val="4571E5C0"/>
    <w:rsid w:val="47ACDE94"/>
    <w:rsid w:val="47DD081B"/>
    <w:rsid w:val="47DD081B"/>
    <w:rsid w:val="4F9326BA"/>
    <w:rsid w:val="50E92C44"/>
    <w:rsid w:val="50E92C44"/>
    <w:rsid w:val="52338EF7"/>
    <w:rsid w:val="52ED6350"/>
    <w:rsid w:val="541A648B"/>
    <w:rsid w:val="54333A00"/>
    <w:rsid w:val="550C8C0A"/>
    <w:rsid w:val="550C8C0A"/>
    <w:rsid w:val="56696931"/>
    <w:rsid w:val="5C57980B"/>
    <w:rsid w:val="5D707472"/>
    <w:rsid w:val="5E0E607D"/>
    <w:rsid w:val="5EA0DF6E"/>
    <w:rsid w:val="61325A7C"/>
    <w:rsid w:val="61A81DE1"/>
    <w:rsid w:val="6269F1FF"/>
    <w:rsid w:val="62F9DB31"/>
    <w:rsid w:val="6428363C"/>
    <w:rsid w:val="669F2D69"/>
    <w:rsid w:val="66E01CCC"/>
    <w:rsid w:val="66E01CCC"/>
    <w:rsid w:val="6701A9AA"/>
    <w:rsid w:val="6855FCE0"/>
    <w:rsid w:val="68EA2E5E"/>
    <w:rsid w:val="6C26CFBF"/>
    <w:rsid w:val="6C26CFBF"/>
    <w:rsid w:val="6C8B047F"/>
    <w:rsid w:val="6C8B047F"/>
    <w:rsid w:val="720F4D57"/>
    <w:rsid w:val="72614DBC"/>
    <w:rsid w:val="742B9010"/>
    <w:rsid w:val="74FB8E76"/>
    <w:rsid w:val="754DA0CB"/>
    <w:rsid w:val="76D38DEE"/>
    <w:rsid w:val="77D15F2B"/>
    <w:rsid w:val="7A0B1289"/>
    <w:rsid w:val="7B21A682"/>
    <w:rsid w:val="7F3367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2C47A"/>
  <w15:chartTrackingRefBased/>
  <w15:docId w15:val="{3D249DA1-2669-4DF6-A9A5-77344EE4F29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045B44B"/>
    <w:pPr>
      <w:spacing/>
      <w:ind w:left="720"/>
      <w:contextualSpacing/>
    </w:pPr>
  </w:style>
  <w:style w:type="character" w:styleId="Hyperlink">
    <w:uiPriority w:val="99"/>
    <w:name w:val="Hyperlink"/>
    <w:basedOn w:val="DefaultParagraphFont"/>
    <w:unhideWhenUsed/>
    <w:rsid w:val="3045B44B"/>
    <w:rPr>
      <w:color w:val="467886"/>
      <w:u w:val="single"/>
    </w:rPr>
  </w:style>
  <w:style w:type="paragraph" w:styleId="Header">
    <w:uiPriority w:val="99"/>
    <w:name w:val="header"/>
    <w:basedOn w:val="Normal"/>
    <w:unhideWhenUsed/>
    <w:rsid w:val="3045B44B"/>
    <w:pPr>
      <w:tabs>
        <w:tab w:val="center" w:leader="none" w:pos="4680"/>
        <w:tab w:val="right" w:leader="none" w:pos="9360"/>
      </w:tabs>
      <w:spacing w:after="0" w:line="240" w:lineRule="auto"/>
    </w:pPr>
  </w:style>
  <w:style w:type="paragraph" w:styleId="Footer">
    <w:uiPriority w:val="99"/>
    <w:name w:val="footer"/>
    <w:basedOn w:val="Normal"/>
    <w:unhideWhenUsed/>
    <w:rsid w:val="3045B44B"/>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ov.uk/government/publications/the-information-governance-review" TargetMode="External" Id="Re49bcfa4aa8543c2" /><Relationship Type="http://schemas.openxmlformats.org/officeDocument/2006/relationships/hyperlink" Target="https://www.kingsfund.org.uk/publications/covid-19-road-renewal-health-and-care" TargetMode="External" Id="Rea21b066bbf1477c" /><Relationship Type="http://schemas.openxmlformats.org/officeDocument/2006/relationships/hyperlink" Target="https://www.equalityhumanrights.com/en/equality-act-2010/what-equality-act" TargetMode="External" Id="Rd64e89becbb343ac" /><Relationship Type="http://schemas.openxmlformats.org/officeDocument/2006/relationships/hyperlink" Target="https://www.gmc-uk.org/ethical-guidance/ethical-guidance-for-doctors/good-medical-practice" TargetMode="External" Id="Ra9bb0dbf0c3d4f3a" /><Relationship Type="http://schemas.openxmlformats.org/officeDocument/2006/relationships/hyperlink" Target="https://ico.org.uk/for-organisations/guide-to-data-protection/guide-to-the-general-data-protection-regulation-gdpr/" TargetMode="External" Id="Rce89019f50664c4d" /><Relationship Type="http://schemas.openxmlformats.org/officeDocument/2006/relationships/hyperlink" Target="https://www.longtermplan.nhs.uk/" TargetMode="External" Id="Rfef4ea2aa98a4e44" /><Relationship Type="http://schemas.openxmlformats.org/officeDocument/2006/relationships/hyperlink" Target="https://www.nmc.org.uk/standards/code/" TargetMode="External" Id="Rca0c503f27844d57" /><Relationship Type="http://schemas.openxmlformats.org/officeDocument/2006/relationships/header" Target="/word/header.xml" Id="Rc5d8272012264f58" /><Relationship Type="http://schemas.openxmlformats.org/officeDocument/2006/relationships/footer" Target="/word/footer.xml" Id="R202a8225dcc64fd3" /><Relationship Type="http://schemas.openxmlformats.org/officeDocument/2006/relationships/numbering" Target="/word/numbering.xml" Id="R69d87dbb4fa34d4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Sadia Ousman (2235624)</dc:creator>
  <keywords/>
  <dc:description/>
  <lastModifiedBy>Sadia Ousman (2235624)</lastModifiedBy>
  <revision>2</revision>
  <dcterms:created xsi:type="dcterms:W3CDTF">2025-11-13T23:17:19.9163249Z</dcterms:created>
  <dcterms:modified xsi:type="dcterms:W3CDTF">2025-11-14T00:07:15.2924259Z</dcterms:modified>
</coreProperties>
</file>